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40"/>
        <w:jc w:val="center"/>
      </w:pPr>
      <w:r>
        <w:rPr>
          <w:rFonts w:ascii="Arial" w:cs="Arial" w:eastAsia="Arial" w:hAnsi="Arial"/>
          <w:b/>
          <w:bCs/>
          <w:color w:val="0B6E8F"/>
          <w:sz w:val="52"/>
          <w:szCs w:val="52"/>
        </w:rPr>
        <w:t xml:space="preserve">PHASE 1 : PROJECT 6</w:t>
      </w:r>
    </w:p>
    <w:p>
      <w:pPr>
        <w:spacing w:before="0" w:after="200"/>
        <w:jc w:val="center"/>
      </w:pPr>
      <w:r>
        <w:rPr>
          <w:rFonts w:ascii="Arial" w:cs="Arial" w:eastAsia="Arial" w:hAnsi="Arial"/>
          <w:color w:val="1A1A2E"/>
          <w:sz w:val="36"/>
          <w:szCs w:val="36"/>
        </w:rPr>
        <w:t xml:space="preserve">TBM Penetration Rate Optimization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B6E8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CLIENT</w:t>
            </w:r>
          </w:p>
          <w:p>
            <w:pPr>
              <w:jc w:val="center"/>
            </w:pPr>
            <w:r>
              <w:rPr>
                <w:rFonts w:ascii="Arial" w:cs="Arial" w:eastAsia="Arial" w:hAnsi="Arial"/>
                <w:b/>
                <w:bCs/>
                <w:color w:val="FFFFFF"/>
                <w:sz w:val="22"/>
                <w:szCs w:val="22"/>
              </w:rPr>
              <w:t xml:space="preserve">DEVSIL (SMC-PRIVATE) LIMITED</w:t>
            </w:r>
          </w:p>
        </w:tc>
        <w:tc>
          <w:tcPr>
            <w:tcW w:type="dxa" w:w="4680"/>
            <w:tcBorders>
              <w:top w:val="none" w:color="FFFFFF" w:sz="0"/>
              <w:left w:val="none" w:color="FFFFFF" w:sz="0"/>
              <w:bottom w:val="none" w:color="FFFFFF" w:sz="0"/>
              <w:right w:val="none" w:color="FFFFFF" w:sz="0"/>
            </w:tcBorders>
            <w:shd w:fill="D5EEF5" w:val="clear"/>
            <w:tcMar>
              <w:top w:type="dxa" w:w="80"/>
              <w:left w:type="dxa" w:w="80"/>
              <w:bottom w:type="dxa" w:w="80"/>
              <w:right w:type="dxa" w:w="80"/>
            </w:tcMar>
          </w:tcPr>
          <w:p>
            <w:pPr>
              <w:jc w:val="center"/>
            </w:pPr>
            <w:r>
              <w:rPr>
                <w:rFonts w:ascii="Arial" w:cs="Arial" w:eastAsia="Arial" w:hAnsi="Arial"/>
                <w:b/>
                <w:bCs/>
                <w:color w:val="0B6E8F"/>
                <w:sz w:val="18"/>
                <w:szCs w:val="18"/>
              </w:rPr>
              <w:t xml:space="preserve">DATE</w:t>
            </w:r>
          </w:p>
          <w:p>
            <w:pPr>
              <w:jc w:val="center"/>
            </w:pPr>
            <w:r>
              <w:rPr>
                <w:rFonts w:ascii="Arial" w:cs="Arial" w:eastAsia="Arial" w:hAnsi="Arial"/>
                <w:b/>
                <w:bCs/>
                <w:color w:val="1A1A2E"/>
                <w:sz w:val="22"/>
                <w:szCs w:val="22"/>
              </w:rPr>
              <w:t xml:space="preserve">February 16 – 17, 2026</w:t>
            </w:r>
          </w:p>
        </w:tc>
      </w:tr>
    </w:tbl>
    <w:p>
      <w:pPr>
        <w:spacing w:before="3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EF5" w:val="clear"/>
            <w:tcMar>
              <w:top w:type="dxa" w:w="120"/>
              <w:left w:type="dxa" w:w="160"/>
              <w:bottom w:type="dxa" w:w="120"/>
              <w:right w:type="dxa" w:w="160"/>
            </w:tcMar>
          </w:tcPr>
          <w:p>
            <w:pPr>
              <w:jc w:val="center"/>
            </w:pPr>
            <w:r>
              <w:rPr>
                <w:rFonts w:ascii="Arial" w:cs="Arial" w:eastAsia="Arial" w:hAnsi="Arial"/>
                <w:b/>
                <w:bCs/>
                <w:color w:val="0B6E8F"/>
                <w:sz w:val="36"/>
                <w:szCs w:val="36"/>
              </w:rPr>
              <w:t xml:space="preserve">83.75%</w:t>
            </w:r>
          </w:p>
          <w:p>
            <w:pPr>
              <w:jc w:val="center"/>
            </w:pPr>
            <w:r>
              <w:rPr>
                <w:rFonts w:ascii="Arial" w:cs="Arial" w:eastAsia="Arial" w:hAnsi="Arial"/>
                <w:b/>
                <w:bCs/>
                <w:color w:val="1A1A2E"/>
                <w:sz w:val="20"/>
                <w:szCs w:val="20"/>
              </w:rPr>
              <w:t xml:space="preserve">Test Accuracy</w:t>
            </w:r>
          </w:p>
          <w:p>
            <w:pPr>
              <w:jc w:val="center"/>
            </w:pPr>
            <w:r>
              <w:rPr>
                <w:rFonts w:ascii="Arial" w:cs="Arial" w:eastAsia="Arial" w:hAnsi="Arial"/>
                <w:color w:val="666666"/>
                <w:sz w:val="18"/>
                <w:szCs w:val="18"/>
              </w:rPr>
              <w:t xml:space="preserve">Random Forest</w:t>
            </w:r>
          </w:p>
        </w:tc>
        <w:tc>
          <w:tcPr>
            <w:tcW w:type="dxa" w:w="2340"/>
            <w:tcBorders>
              <w:top w:val="single" w:color="CCCCCC" w:sz="1"/>
              <w:left w:val="single" w:color="CCCCCC" w:sz="1"/>
              <w:bottom w:val="single" w:color="CCCCCC" w:sz="1"/>
              <w:right w:val="single" w:color="CCCCCC" w:sz="1"/>
            </w:tcBorders>
            <w:shd w:fill="D5EEF5" w:val="clear"/>
            <w:tcMar>
              <w:top w:type="dxa" w:w="120"/>
              <w:left w:type="dxa" w:w="160"/>
              <w:bottom w:type="dxa" w:w="120"/>
              <w:right w:type="dxa" w:w="160"/>
            </w:tcMar>
          </w:tcPr>
          <w:p>
            <w:pPr>
              <w:jc w:val="center"/>
            </w:pPr>
            <w:r>
              <w:rPr>
                <w:rFonts w:ascii="Arial" w:cs="Arial" w:eastAsia="Arial" w:hAnsi="Arial"/>
                <w:b/>
                <w:bCs/>
                <w:color w:val="0B6E8F"/>
                <w:sz w:val="36"/>
                <w:szCs w:val="36"/>
              </w:rPr>
              <w:t xml:space="preserve">0.8477</w:t>
            </w:r>
          </w:p>
          <w:p>
            <w:pPr>
              <w:jc w:val="center"/>
            </w:pPr>
            <w:r>
              <w:rPr>
                <w:rFonts w:ascii="Arial" w:cs="Arial" w:eastAsia="Arial" w:hAnsi="Arial"/>
                <w:b/>
                <w:bCs/>
                <w:color w:val="1A1A2E"/>
                <w:sz w:val="20"/>
                <w:szCs w:val="20"/>
              </w:rPr>
              <w:t xml:space="preserve">Precision</w:t>
            </w:r>
          </w:p>
          <w:p>
            <w:pPr>
              <w:jc w:val="center"/>
            </w:pPr>
            <w:r>
              <w:rPr>
                <w:rFonts w:ascii="Arial" w:cs="Arial" w:eastAsia="Arial" w:hAnsi="Arial"/>
                <w:color w:val="666666"/>
                <w:sz w:val="18"/>
                <w:szCs w:val="18"/>
              </w:rPr>
              <w:t xml:space="preserve">Weighted</w:t>
            </w:r>
          </w:p>
        </w:tc>
        <w:tc>
          <w:tcPr>
            <w:tcW w:type="dxa" w:w="2340"/>
            <w:tcBorders>
              <w:top w:val="single" w:color="CCCCCC" w:sz="1"/>
              <w:left w:val="single" w:color="CCCCCC" w:sz="1"/>
              <w:bottom w:val="single" w:color="CCCCCC" w:sz="1"/>
              <w:right w:val="single" w:color="CCCCCC" w:sz="1"/>
            </w:tcBorders>
            <w:shd w:fill="D5EEF5" w:val="clear"/>
            <w:tcMar>
              <w:top w:type="dxa" w:w="120"/>
              <w:left w:type="dxa" w:w="160"/>
              <w:bottom w:type="dxa" w:w="120"/>
              <w:right w:type="dxa" w:w="160"/>
            </w:tcMar>
          </w:tcPr>
          <w:p>
            <w:pPr>
              <w:jc w:val="center"/>
            </w:pPr>
            <w:r>
              <w:rPr>
                <w:rFonts w:ascii="Arial" w:cs="Arial" w:eastAsia="Arial" w:hAnsi="Arial"/>
                <w:b/>
                <w:bCs/>
                <w:color w:val="0B6E8F"/>
                <w:sz w:val="36"/>
                <w:szCs w:val="36"/>
              </w:rPr>
              <w:t xml:space="preserve">0.8375</w:t>
            </w:r>
          </w:p>
          <w:p>
            <w:pPr>
              <w:jc w:val="center"/>
            </w:pPr>
            <w:r>
              <w:rPr>
                <w:rFonts w:ascii="Arial" w:cs="Arial" w:eastAsia="Arial" w:hAnsi="Arial"/>
                <w:b/>
                <w:bCs/>
                <w:color w:val="1A1A2E"/>
                <w:sz w:val="20"/>
                <w:szCs w:val="20"/>
              </w:rPr>
              <w:t xml:space="preserve">Recall</w:t>
            </w:r>
          </w:p>
          <w:p>
            <w:pPr>
              <w:jc w:val="center"/>
            </w:pPr>
            <w:r>
              <w:rPr>
                <w:rFonts w:ascii="Arial" w:cs="Arial" w:eastAsia="Arial" w:hAnsi="Arial"/>
                <w:color w:val="666666"/>
                <w:sz w:val="18"/>
                <w:szCs w:val="18"/>
              </w:rPr>
              <w:t xml:space="preserve">Weighted</w:t>
            </w:r>
          </w:p>
        </w:tc>
        <w:tc>
          <w:tcPr>
            <w:tcW w:type="dxa" w:w="2340"/>
            <w:tcBorders>
              <w:top w:val="single" w:color="CCCCCC" w:sz="1"/>
              <w:left w:val="single" w:color="CCCCCC" w:sz="1"/>
              <w:bottom w:val="single" w:color="CCCCCC" w:sz="1"/>
              <w:right w:val="single" w:color="CCCCCC" w:sz="1"/>
            </w:tcBorders>
            <w:shd w:fill="D5EEF5" w:val="clear"/>
            <w:tcMar>
              <w:top w:type="dxa" w:w="120"/>
              <w:left w:type="dxa" w:w="160"/>
              <w:bottom w:type="dxa" w:w="120"/>
              <w:right w:type="dxa" w:w="160"/>
            </w:tcMar>
          </w:tcPr>
          <w:p>
            <w:pPr>
              <w:jc w:val="center"/>
            </w:pPr>
            <w:r>
              <w:rPr>
                <w:rFonts w:ascii="Arial" w:cs="Arial" w:eastAsia="Arial" w:hAnsi="Arial"/>
                <w:b/>
                <w:bCs/>
                <w:color w:val="0B6E8F"/>
                <w:sz w:val="36"/>
                <w:szCs w:val="36"/>
              </w:rPr>
              <w:t xml:space="preserve">800</w:t>
            </w:r>
          </w:p>
          <w:p>
            <w:pPr>
              <w:jc w:val="center"/>
            </w:pPr>
            <w:r>
              <w:rPr>
                <w:rFonts w:ascii="Arial" w:cs="Arial" w:eastAsia="Arial" w:hAnsi="Arial"/>
                <w:b/>
                <w:bCs/>
                <w:color w:val="1A1A2E"/>
                <w:sz w:val="20"/>
                <w:szCs w:val="20"/>
              </w:rPr>
              <w:t xml:space="preserve">Dataset Size</w:t>
            </w:r>
          </w:p>
          <w:p>
            <w:pPr>
              <w:jc w:val="center"/>
            </w:pPr>
            <w:r>
              <w:rPr>
                <w:rFonts w:ascii="Arial" w:cs="Arial" w:eastAsia="Arial" w:hAnsi="Arial"/>
                <w:color w:val="666666"/>
                <w:sz w:val="18"/>
                <w:szCs w:val="18"/>
              </w:rPr>
              <w:t xml:space="preserve">Rows</w:t>
            </w:r>
          </w:p>
        </w:tc>
      </w:tr>
    </w:tbl>
    <w:p>
      <w:r>
        <w:br w:type="page"/>
      </w:r>
    </w:p>
    <w:p>
      <w:pPr>
        <w:pStyle w:val="Heading1"/>
        <w:pBdr>
          <w:bottom w:val="single" w:color="0B6E8F" w:sz="8" w:space="6"/>
        </w:pBdr>
        <w:spacing w:before="320" w:after="160"/>
      </w:pPr>
      <w:r>
        <w:rPr>
          <w:rFonts w:ascii="Arial" w:cs="Arial" w:eastAsia="Arial" w:hAnsi="Arial"/>
          <w:b/>
          <w:bCs/>
          <w:color w:val="0B6E8F"/>
          <w:sz w:val="30"/>
          <w:szCs w:val="30"/>
        </w:rPr>
        <w:t xml:space="preserve">1. Project Overview</w:t>
      </w:r>
    </w:p>
    <w:p>
      <w:pPr>
        <w:spacing w:before="80" w:after="80"/>
      </w:pPr>
      <w:r>
        <w:rPr>
          <w:rFonts w:ascii="Arial" w:cs="Arial" w:eastAsia="Arial" w:hAnsi="Arial"/>
          <w:sz w:val="22"/>
          <w:szCs w:val="22"/>
        </w:rPr>
        <w:t xml:space="preserve">This report presents the complete AI engineering pipeline developed for DEVSIL (SMC-PRIVATE) Limited as part of Phase 1 — Project 6. The objective is to predict and optimize the Penetration Rate (PR) of a Tunnel Boring Machine (TBM) using sensor-based operational data and machine learning.</w:t>
      </w:r>
    </w:p>
    <w:p>
      <w:pPr>
        <w:spacing w:before="80" w:after="0"/>
      </w:pPr>
      <w:r>
        <w:t xml:space="preserve"/>
      </w:r>
    </w:p>
    <w:p>
      <w:pPr>
        <w:spacing w:before="80" w:after="80"/>
      </w:pPr>
      <w:r>
        <w:rPr>
          <w:rFonts w:ascii="Arial" w:cs="Arial" w:eastAsia="Arial" w:hAnsi="Arial"/>
          <w:sz w:val="22"/>
          <w:szCs w:val="22"/>
        </w:rPr>
        <w:t xml:space="preserve">Due to noisy sensor readings and the absence of ground-truth labels, a Weak Supervision approach was applied to generate class labels (Low / Medium / High PR) from heuristic labeling functions. A Random Forest classifier was trained in Python and compared against a WEKA J48 baseline model.</w:t>
      </w:r>
    </w:p>
    <w:p>
      <w:pPr>
        <w:spacing w:before="120" w:after="0"/>
      </w:pPr>
      <w:r>
        <w:t xml:space="preserve"/>
      </w:r>
    </w:p>
    <w:p>
      <w:pPr>
        <w:pStyle w:val="Heading2"/>
        <w:spacing w:before="240" w:after="120"/>
      </w:pPr>
      <w:r>
        <w:rPr>
          <w:rFonts w:ascii="Arial" w:cs="Arial" w:eastAsia="Arial" w:hAnsi="Arial"/>
          <w:b/>
          <w:bCs/>
          <w:color w:val="1A1A2E"/>
          <w:sz w:val="26"/>
          <w:szCs w:val="26"/>
        </w:rPr>
        <w:t xml:space="preserve">1.1 Dataset</w:t>
      </w:r>
    </w:p>
    <w:p>
      <w:pPr>
        <w:spacing w:before="80" w:after="80"/>
      </w:pPr>
      <w:r>
        <w:rPr>
          <w:rFonts w:ascii="Arial" w:cs="Arial" w:eastAsia="Arial" w:hAnsi="Arial"/>
          <w:sz w:val="22"/>
          <w:szCs w:val="22"/>
        </w:rPr>
        <w:t xml:space="preserve">A realistic synthetic TBM dataset of 800 rows was generated with 13 sensor features and 1 target variable (Penetration Rate). Missing values were intentionally introduced in three features to simulate real-world sensor noise.</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Advance Time</w:t>
      </w:r>
    </w:p>
    <w:p>
      <w:pPr>
        <w:pStyle w:val="ListParagraph"/>
        <w:numPr>
          <w:ilvl w:val="0"/>
          <w:numId w:val="2"/>
        </w:numPr>
        <w:spacing w:before="40" w:after="40"/>
      </w:pPr>
      <w:r>
        <w:rPr>
          <w:rFonts w:ascii="Arial" w:cs="Arial" w:eastAsia="Arial" w:hAnsi="Arial"/>
          <w:sz w:val="22"/>
          <w:szCs w:val="22"/>
        </w:rPr>
        <w:t xml:space="preserve">Excavation per Stroke</w:t>
      </w:r>
    </w:p>
    <w:p>
      <w:pPr>
        <w:pStyle w:val="ListParagraph"/>
        <w:numPr>
          <w:ilvl w:val="0"/>
          <w:numId w:val="2"/>
        </w:numPr>
        <w:spacing w:before="40" w:after="40"/>
      </w:pPr>
      <w:r>
        <w:rPr>
          <w:rFonts w:ascii="Arial" w:cs="Arial" w:eastAsia="Arial" w:hAnsi="Arial"/>
          <w:sz w:val="22"/>
          <w:szCs w:val="22"/>
        </w:rPr>
        <w:t xml:space="preserve">Boring Energy</w:t>
      </w:r>
    </w:p>
    <w:p>
      <w:pPr>
        <w:pStyle w:val="ListParagraph"/>
        <w:numPr>
          <w:ilvl w:val="0"/>
          <w:numId w:val="2"/>
        </w:numPr>
        <w:spacing w:before="40" w:after="40"/>
      </w:pPr>
      <w:r>
        <w:rPr>
          <w:rFonts w:ascii="Arial" w:cs="Arial" w:eastAsia="Arial" w:hAnsi="Arial"/>
          <w:sz w:val="22"/>
          <w:szCs w:val="22"/>
        </w:rPr>
        <w:t xml:space="preserve">RPM</w:t>
      </w:r>
    </w:p>
    <w:p>
      <w:pPr>
        <w:pStyle w:val="ListParagraph"/>
        <w:numPr>
          <w:ilvl w:val="0"/>
          <w:numId w:val="2"/>
        </w:numPr>
        <w:spacing w:before="40" w:after="40"/>
      </w:pPr>
      <w:r>
        <w:rPr>
          <w:rFonts w:ascii="Arial" w:cs="Arial" w:eastAsia="Arial" w:hAnsi="Arial"/>
          <w:sz w:val="22"/>
          <w:szCs w:val="22"/>
        </w:rPr>
        <w:t xml:space="preserve">Torque</w:t>
      </w:r>
    </w:p>
    <w:p>
      <w:pPr>
        <w:pStyle w:val="ListParagraph"/>
        <w:numPr>
          <w:ilvl w:val="0"/>
          <w:numId w:val="2"/>
        </w:numPr>
        <w:spacing w:before="40" w:after="40"/>
      </w:pPr>
      <w:r>
        <w:rPr>
          <w:rFonts w:ascii="Arial" w:cs="Arial" w:eastAsia="Arial" w:hAnsi="Arial"/>
          <w:sz w:val="22"/>
          <w:szCs w:val="22"/>
        </w:rPr>
        <w:t xml:space="preserve">Thrust Force</w:t>
      </w:r>
    </w:p>
    <w:p>
      <w:pPr>
        <w:pStyle w:val="ListParagraph"/>
        <w:numPr>
          <w:ilvl w:val="0"/>
          <w:numId w:val="2"/>
        </w:numPr>
        <w:spacing w:before="40" w:after="40"/>
      </w:pPr>
      <w:r>
        <w:rPr>
          <w:rFonts w:ascii="Arial" w:cs="Arial" w:eastAsia="Arial" w:hAnsi="Arial"/>
          <w:sz w:val="22"/>
          <w:szCs w:val="22"/>
        </w:rPr>
        <w:t xml:space="preserve">Speed</w:t>
      </w:r>
    </w:p>
    <w:p>
      <w:pPr>
        <w:pStyle w:val="ListParagraph"/>
        <w:numPr>
          <w:ilvl w:val="0"/>
          <w:numId w:val="2"/>
        </w:numPr>
        <w:spacing w:before="40" w:after="40"/>
      </w:pPr>
      <w:r>
        <w:rPr>
          <w:rFonts w:ascii="Arial" w:cs="Arial" w:eastAsia="Arial" w:hAnsi="Arial"/>
          <w:sz w:val="22"/>
          <w:szCs w:val="22"/>
        </w:rPr>
        <w:t xml:space="preserve">Gripper Pressure</w:t>
      </w:r>
    </w:p>
    <w:p>
      <w:pPr>
        <w:pStyle w:val="ListParagraph"/>
        <w:numPr>
          <w:ilvl w:val="0"/>
          <w:numId w:val="2"/>
        </w:numPr>
        <w:spacing w:before="40" w:after="40"/>
      </w:pPr>
      <w:r>
        <w:rPr>
          <w:rFonts w:ascii="Arial" w:cs="Arial" w:eastAsia="Arial" w:hAnsi="Arial"/>
          <w:sz w:val="22"/>
          <w:szCs w:val="22"/>
        </w:rPr>
        <w:t xml:space="preserve">Total Revolution</w:t>
      </w:r>
    </w:p>
    <w:p>
      <w:pPr>
        <w:pStyle w:val="ListParagraph"/>
        <w:numPr>
          <w:ilvl w:val="0"/>
          <w:numId w:val="2"/>
        </w:numPr>
        <w:spacing w:before="40" w:after="40"/>
      </w:pPr>
      <w:r>
        <w:rPr>
          <w:rFonts w:ascii="Arial" w:cs="Arial" w:eastAsia="Arial" w:hAnsi="Arial"/>
          <w:sz w:val="22"/>
          <w:szCs w:val="22"/>
        </w:rPr>
        <w:t xml:space="preserve">Front Shield Pressure (LHS &amp; RHS)</w:t>
      </w:r>
    </w:p>
    <w:p>
      <w:pPr>
        <w:pStyle w:val="ListParagraph"/>
        <w:numPr>
          <w:ilvl w:val="0"/>
          <w:numId w:val="2"/>
        </w:numPr>
        <w:spacing w:before="40" w:after="40"/>
      </w:pPr>
      <w:r>
        <w:rPr>
          <w:rFonts w:ascii="Arial" w:cs="Arial" w:eastAsia="Arial" w:hAnsi="Arial"/>
          <w:sz w:val="22"/>
          <w:szCs w:val="22"/>
        </w:rPr>
        <w:t xml:space="preserve">Q-Value</w:t>
      </w:r>
    </w:p>
    <w:p>
      <w:pPr>
        <w:pStyle w:val="ListParagraph"/>
        <w:numPr>
          <w:ilvl w:val="0"/>
          <w:numId w:val="2"/>
        </w:numPr>
        <w:spacing w:before="40" w:after="40"/>
      </w:pPr>
      <w:r>
        <w:rPr>
          <w:rFonts w:ascii="Arial" w:cs="Arial" w:eastAsia="Arial" w:hAnsi="Arial"/>
          <w:sz w:val="22"/>
          <w:szCs w:val="22"/>
        </w:rPr>
        <w:t xml:space="preserve">Q-Value Based Boring Energy</w:t>
      </w:r>
    </w:p>
    <w:p>
      <w:r>
        <w:br w:type="page"/>
      </w:r>
    </w:p>
    <w:p>
      <w:pPr>
        <w:pStyle w:val="Heading1"/>
        <w:pBdr>
          <w:bottom w:val="single" w:color="0B6E8F" w:sz="8" w:space="6"/>
        </w:pBdr>
        <w:spacing w:before="320" w:after="160"/>
      </w:pPr>
      <w:r>
        <w:rPr>
          <w:rFonts w:ascii="Arial" w:cs="Arial" w:eastAsia="Arial" w:hAnsi="Arial"/>
          <w:b/>
          <w:bCs/>
          <w:color w:val="0B6E8F"/>
          <w:sz w:val="30"/>
          <w:szCs w:val="30"/>
        </w:rPr>
        <w:t xml:space="preserve">2. Data Preprocessing</w:t>
      </w:r>
    </w:p>
    <w:p>
      <w:pPr>
        <w:spacing w:before="80" w:after="80"/>
      </w:pPr>
      <w:r>
        <w:rPr>
          <w:rFonts w:ascii="Arial" w:cs="Arial" w:eastAsia="Arial" w:hAnsi="Arial"/>
          <w:sz w:val="22"/>
          <w:szCs w:val="22"/>
        </w:rPr>
        <w:t xml:space="preserve">Industrial TBM sensor data is inherently noisy. The following preprocessing pipeline was applied before model training:</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Missing Value Imputation — Median imputation was used, as it is robust to outliers and preserves the distribution of skewed sensor readings.</w:t>
      </w:r>
    </w:p>
    <w:p>
      <w:pPr>
        <w:pStyle w:val="ListParagraph"/>
        <w:numPr>
          <w:ilvl w:val="0"/>
          <w:numId w:val="2"/>
        </w:numPr>
        <w:spacing w:before="60" w:after="60"/>
      </w:pPr>
      <w:r>
        <w:rPr>
          <w:rFonts w:ascii="Arial" w:cs="Arial" w:eastAsia="Arial" w:hAnsi="Arial"/>
          <w:sz w:val="22"/>
          <w:szCs w:val="22"/>
        </w:rPr>
        <w:t xml:space="preserve">Noise Removal — Values beyond ±3 standard deviations were clipped to reduce the impact of sensor spikes and mechanical faults.</w:t>
      </w:r>
    </w:p>
    <w:p>
      <w:pPr>
        <w:pStyle w:val="ListParagraph"/>
        <w:numPr>
          <w:ilvl w:val="0"/>
          <w:numId w:val="2"/>
        </w:numPr>
        <w:spacing w:before="60" w:after="60"/>
      </w:pPr>
      <w:r>
        <w:rPr>
          <w:rFonts w:ascii="Arial" w:cs="Arial" w:eastAsia="Arial" w:hAnsi="Arial"/>
          <w:sz w:val="22"/>
          <w:szCs w:val="22"/>
        </w:rPr>
        <w:t xml:space="preserve">Normalization — StandardScaler was applied to all features to bring them to a common scale before Random Forest training (important for convergence).</w:t>
      </w:r>
    </w:p>
    <w:p>
      <w:pPr>
        <w:pStyle w:val="ListParagraph"/>
        <w:numPr>
          <w:ilvl w:val="0"/>
          <w:numId w:val="2"/>
        </w:numPr>
        <w:spacing w:before="60" w:after="60"/>
      </w:pPr>
      <w:r>
        <w:rPr>
          <w:rFonts w:ascii="Arial" w:cs="Arial" w:eastAsia="Arial" w:hAnsi="Arial"/>
          <w:sz w:val="22"/>
          <w:szCs w:val="22"/>
        </w:rPr>
        <w:t xml:space="preserve">Feature Selection — All 13 engineered features were retained based on correlation analysis; no feature showed negligible or redundant contribution.</w:t>
      </w:r>
    </w:p>
    <w:p>
      <w:pPr>
        <w:spacing w:before="80" w:after="0"/>
      </w:pPr>
      <w:r>
        <w:t xml:space="preserve"/>
      </w:r>
    </w:p>
    <w:p>
      <w:pPr>
        <w:spacing w:before="120" w:after="80"/>
      </w:pPr>
      <w:r>
        <w:rPr>
          <w:rFonts w:ascii="Arial" w:cs="Arial" w:eastAsia="Arial" w:hAnsi="Arial"/>
          <w:b/>
          <w:bCs/>
          <w:color w:val="0B6E8F"/>
          <w:sz w:val="24"/>
          <w:szCs w:val="24"/>
        </w:rPr>
        <w:t xml:space="preserve">📊 Feature Distributions</w:t>
      </w:r>
    </w:p>
    <w:p>
      <w:r>
        <w:drawing>
          <wp:inline distT="0" distB="0" distL="0" distR="0">
            <wp:extent cx="55245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before="80" w:after="0"/>
      </w:pPr>
      <w:r>
        <w:t xml:space="preserve"/>
      </w:r>
    </w:p>
    <w:p>
      <w:pPr>
        <w:spacing w:before="80" w:after="80"/>
      </w:pPr>
      <w:r>
        <w:rPr>
          <w:rFonts w:ascii="Arial" w:cs="Arial" w:eastAsia="Arial" w:hAnsi="Arial"/>
          <w:sz w:val="22"/>
          <w:szCs w:val="22"/>
        </w:rPr>
        <w:t xml:space="preserve">The distributions reveal that most features follow approximately normal or uniform distributions. Penetration Rate (target) is right-skewed, concentrated between 0.5–1.0 mm/rev, suggesting the TBM operates at moderate efficiency for most of the dataset.</w:t>
      </w:r>
    </w:p>
    <w:p>
      <w:r>
        <w:br w:type="page"/>
      </w:r>
    </w:p>
    <w:p>
      <w:pPr>
        <w:pStyle w:val="Heading1"/>
        <w:pBdr>
          <w:bottom w:val="single" w:color="0B6E8F" w:sz="8" w:space="6"/>
        </w:pBdr>
        <w:spacing w:before="320" w:after="160"/>
      </w:pPr>
      <w:r>
        <w:rPr>
          <w:rFonts w:ascii="Arial" w:cs="Arial" w:eastAsia="Arial" w:hAnsi="Arial"/>
          <w:b/>
          <w:bCs/>
          <w:color w:val="0B6E8F"/>
          <w:sz w:val="30"/>
          <w:szCs w:val="30"/>
        </w:rPr>
        <w:t xml:space="preserve">3. Exploratory Data Analysis</w:t>
      </w:r>
    </w:p>
    <w:p>
      <w:pPr>
        <w:spacing w:before="120" w:after="80"/>
      </w:pPr>
      <w:r>
        <w:rPr>
          <w:rFonts w:ascii="Arial" w:cs="Arial" w:eastAsia="Arial" w:hAnsi="Arial"/>
          <w:b/>
          <w:bCs/>
          <w:color w:val="0B6E8F"/>
          <w:sz w:val="24"/>
          <w:szCs w:val="24"/>
        </w:rPr>
        <w:t xml:space="preserve">Correlation Heatmap</w:t>
      </w:r>
    </w:p>
    <w:p>
      <w:r>
        <w:drawing>
          <wp:inline distT="0" distB="0" distL="0" distR="0">
            <wp:extent cx="5524500" cy="3810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10000"/>
                    </a:xfrm>
                    <a:prstGeom prst="rect">
                      <a:avLst/>
                    </a:prstGeom>
                  </pic:spPr>
                </pic:pic>
              </a:graphicData>
            </a:graphic>
          </wp:inline>
        </w:drawing>
      </w:r>
    </w:p>
    <w:p>
      <w:pPr>
        <w:spacing w:before="80" w:after="0"/>
      </w:pPr>
      <w:r>
        <w:t xml:space="preserve"/>
      </w:r>
    </w:p>
    <w:p>
      <w:pPr>
        <w:spacing w:before="80" w:after="80"/>
      </w:pPr>
      <w:r>
        <w:rPr>
          <w:rFonts w:ascii="Arial" w:cs="Arial" w:eastAsia="Arial" w:hAnsi="Arial"/>
          <w:sz w:val="22"/>
          <w:szCs w:val="22"/>
        </w:rPr>
        <w:t xml:space="preserve">The correlation heatmap reveals several key relationships: Thrust_Force shows moderate positive correlation with Penetration_Rate (r ≈ 0.35). RPM is positively correlated with Speed and Penetration_Rate. Q_Value (rock quality) has a positive correlation with boring efficiency. Boring_Energy is strongly correlated with Torque and Advance_Time — expected from the physics of boring.</w:t>
      </w:r>
    </w:p>
    <w:p>
      <w:r>
        <w:br w:type="page"/>
      </w:r>
    </w:p>
    <w:p>
      <w:pPr>
        <w:pStyle w:val="Heading1"/>
        <w:pBdr>
          <w:bottom w:val="single" w:color="0B6E8F" w:sz="8" w:space="6"/>
        </w:pBdr>
        <w:spacing w:before="320" w:after="160"/>
      </w:pPr>
      <w:r>
        <w:rPr>
          <w:rFonts w:ascii="Arial" w:cs="Arial" w:eastAsia="Arial" w:hAnsi="Arial"/>
          <w:b/>
          <w:bCs/>
          <w:color w:val="0B6E8F"/>
          <w:sz w:val="30"/>
          <w:szCs w:val="30"/>
        </w:rPr>
        <w:t xml:space="preserve">4. Weak Supervision — Heuristic Labeling</w:t>
      </w:r>
    </w:p>
    <w:p>
      <w:pPr>
        <w:spacing w:before="80" w:after="80"/>
      </w:pPr>
      <w:r>
        <w:rPr>
          <w:rFonts w:ascii="Arial" w:cs="Arial" w:eastAsia="Arial" w:hAnsi="Arial"/>
          <w:sz w:val="22"/>
          <w:szCs w:val="22"/>
        </w:rPr>
        <w:t xml:space="preserve">Since no ground-truth PR class labels exist, Weak Supervision was applied using three independent labeling functions (LFs). Each LF uses a domain-specific signal to vote on the PR class, and the final label is determined by majority vote.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3160"/>
      </w:tblGrid>
      <w:tr>
        <w:tc>
          <w:tcPr>
            <w:tcW w:type="dxa" w:w="1500"/>
            <w:tcBorders>
              <w:top w:val="single" w:color="CCCCCC" w:sz="1"/>
              <w:left w:val="single" w:color="CCCCCC" w:sz="1"/>
              <w:bottom w:val="single" w:color="CCCCCC" w:sz="1"/>
              <w:right w:val="single" w:color="CCCCCC" w:sz="1"/>
            </w:tcBorders>
            <w:shd w:fill="0B6E8F" w:val="clear"/>
            <w:tcMar>
              <w:top w:type="dxa" w:w="80"/>
              <w:left w:type="dxa" w:w="120"/>
              <w:bottom w:type="dxa" w:w="80"/>
              <w:right w:type="dxa" w:w="120"/>
            </w:tcMar>
          </w:tcPr>
          <w:p>
            <w:r>
              <w:rPr>
                <w:rFonts w:ascii="Arial" w:cs="Arial" w:eastAsia="Arial" w:hAnsi="Arial"/>
                <w:b/>
                <w:bCs/>
                <w:color w:val="FFFFFF"/>
                <w:sz w:val="20"/>
                <w:szCs w:val="20"/>
              </w:rPr>
              <w:t xml:space="preserve">LF</w:t>
            </w:r>
          </w:p>
        </w:tc>
        <w:tc>
          <w:tcPr>
            <w:tcW w:type="dxa" w:w="2500"/>
            <w:tcBorders>
              <w:top w:val="single" w:color="CCCCCC" w:sz="1"/>
              <w:left w:val="single" w:color="CCCCCC" w:sz="1"/>
              <w:bottom w:val="single" w:color="CCCCCC" w:sz="1"/>
              <w:right w:val="single" w:color="CCCCCC" w:sz="1"/>
            </w:tcBorders>
            <w:shd w:fill="0B6E8F"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200"/>
            <w:tcBorders>
              <w:top w:val="single" w:color="CCCCCC" w:sz="1"/>
              <w:left w:val="single" w:color="CCCCCC" w:sz="1"/>
              <w:bottom w:val="single" w:color="CCCCCC" w:sz="1"/>
              <w:right w:val="single" w:color="CCCCCC" w:sz="1"/>
            </w:tcBorders>
            <w:shd w:fill="0B6E8F"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3160"/>
            <w:tcBorders>
              <w:top w:val="single" w:color="CCCCCC" w:sz="1"/>
              <w:left w:val="single" w:color="CCCCCC" w:sz="1"/>
              <w:bottom w:val="single" w:color="CCCCCC" w:sz="1"/>
              <w:right w:val="single" w:color="CCCCCC" w:sz="1"/>
            </w:tcBorders>
            <w:shd w:fill="0B6E8F" w:val="clear"/>
            <w:tcMar>
              <w:top w:type="dxa" w:w="80"/>
              <w:left w:type="dxa" w:w="120"/>
              <w:bottom w:type="dxa" w:w="80"/>
              <w:right w:type="dxa" w:w="120"/>
            </w:tcMar>
          </w:tcPr>
          <w:p>
            <w:r>
              <w:rPr>
                <w:rFonts w:ascii="Arial" w:cs="Arial" w:eastAsia="Arial" w:hAnsi="Arial"/>
                <w:b/>
                <w:bCs/>
                <w:color w:val="FFFFFF"/>
                <w:sz w:val="20"/>
                <w:szCs w:val="20"/>
              </w:rPr>
              <w:t xml:space="preserve">Engineering Rationale</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LF1</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Thrust Force / Torque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High if ratio &gt; 2.8</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High ratio = efficient force transfer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LF2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if RPM &gt; 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 rotation = faster boring</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LF3</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Q-Value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High if Q &gt; 50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Better rock = faster penetration</w:t>
            </w:r>
          </w:p>
        </w:tc>
      </w:tr>
    </w:tbl>
    <w:p>
      <w:pPr>
        <w:spacing w:before="120" w:after="0"/>
      </w:pPr>
      <w:r>
        <w:t xml:space="preserve"/>
      </w:r>
    </w:p>
    <w:p>
      <w:r>
        <w:drawing>
          <wp:inline distT="0" distB="0" distL="0" distR="0">
            <wp:extent cx="4000500" cy="25717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571750"/>
                    </a:xfrm>
                    <a:prstGeom prst="rect">
                      <a:avLst/>
                    </a:prstGeom>
                  </pic:spPr>
                </pic:pic>
              </a:graphicData>
            </a:graphic>
          </wp:inline>
        </w:drawing>
      </w:r>
    </w:p>
    <w:p>
      <w:pPr>
        <w:spacing w:before="80" w:after="0"/>
      </w:pPr>
      <w:r>
        <w:t xml:space="preserve"/>
      </w:r>
    </w:p>
    <w:p>
      <w:pPr>
        <w:spacing w:before="80" w:after="80"/>
      </w:pPr>
      <w:r>
        <w:rPr>
          <w:rFonts w:ascii="Arial" w:cs="Arial" w:eastAsia="Arial" w:hAnsi="Arial"/>
          <w:sz w:val="22"/>
          <w:szCs w:val="22"/>
        </w:rPr>
        <w:t xml:space="preserve">The weak supervision labeling resulted in 416 High, 153 Medium, and 231 Low PR class samples. The dominance of 'High' class reflects favorable geological conditions simulated in the synthetic dataset.</w:t>
      </w:r>
    </w:p>
    <w:p>
      <w:r>
        <w:br w:type="page"/>
      </w:r>
    </w:p>
    <w:p>
      <w:pPr>
        <w:pStyle w:val="Heading1"/>
        <w:pBdr>
          <w:bottom w:val="single" w:color="0B6E8F" w:sz="8" w:space="6"/>
        </w:pBdr>
        <w:spacing w:before="320" w:after="160"/>
      </w:pPr>
      <w:r>
        <w:rPr>
          <w:rFonts w:ascii="Arial" w:cs="Arial" w:eastAsia="Arial" w:hAnsi="Arial"/>
          <w:b/>
          <w:bCs/>
          <w:color w:val="0B6E8F"/>
          <w:sz w:val="30"/>
          <w:szCs w:val="30"/>
        </w:rPr>
        <w:t xml:space="preserve">5. Part A — Model Training &amp; Evaluation</w:t>
      </w:r>
    </w:p>
    <w:p>
      <w:pPr>
        <w:pStyle w:val="Heading2"/>
        <w:spacing w:before="240" w:after="120"/>
      </w:pPr>
      <w:r>
        <w:rPr>
          <w:rFonts w:ascii="Arial" w:cs="Arial" w:eastAsia="Arial" w:hAnsi="Arial"/>
          <w:b/>
          <w:bCs/>
          <w:color w:val="1A1A2E"/>
          <w:sz w:val="26"/>
          <w:szCs w:val="26"/>
        </w:rPr>
        <w:t xml:space="preserve">5.1 Random Forest Classifier (Python)</w:t>
      </w:r>
    </w:p>
    <w:p>
      <w:pPr>
        <w:spacing w:before="80" w:after="80"/>
      </w:pPr>
      <w:r>
        <w:rPr>
          <w:rFonts w:ascii="Arial" w:cs="Arial" w:eastAsia="Arial" w:hAnsi="Arial"/>
          <w:sz w:val="22"/>
          <w:szCs w:val="22"/>
        </w:rPr>
        <w:t xml:space="preserve">A Random Forest with 100 decision trees and maximum depth of 10 was trained on an 80/20 train-test split. The model was selected for its robustness to noisy, high-dimensional industrial data and ability to naturally rank feature importance.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EF5" w:val="clear"/>
            <w:tcMar>
              <w:top w:type="dxa" w:w="120"/>
              <w:left w:type="dxa" w:w="160"/>
              <w:bottom w:type="dxa" w:w="120"/>
              <w:right w:type="dxa" w:w="160"/>
            </w:tcMar>
          </w:tcPr>
          <w:p>
            <w:pPr>
              <w:jc w:val="center"/>
            </w:pPr>
            <w:r>
              <w:rPr>
                <w:rFonts w:ascii="Arial" w:cs="Arial" w:eastAsia="Arial" w:hAnsi="Arial"/>
                <w:b/>
                <w:bCs/>
                <w:color w:val="0B6E8F"/>
                <w:sz w:val="36"/>
                <w:szCs w:val="36"/>
              </w:rPr>
              <w:t xml:space="preserve">100.0%</w:t>
            </w:r>
          </w:p>
          <w:p>
            <w:pPr>
              <w:jc w:val="center"/>
            </w:pPr>
            <w:r>
              <w:rPr>
                <w:rFonts w:ascii="Arial" w:cs="Arial" w:eastAsia="Arial" w:hAnsi="Arial"/>
                <w:b/>
                <w:bCs/>
                <w:color w:val="1A1A2E"/>
                <w:sz w:val="20"/>
                <w:szCs w:val="20"/>
              </w:rPr>
              <w:t xml:space="preserve">Train Accuracy</w:t>
            </w:r>
          </w:p>
          <w:p>
            <w:pPr>
              <w:jc w:val="center"/>
            </w:pPr>
            <w:r>
              <w:rPr>
                <w:rFonts w:ascii="Arial" w:cs="Arial" w:eastAsia="Arial" w:hAnsi="Arial"/>
                <w:color w:val="666666"/>
                <w:sz w:val="18"/>
                <w:szCs w:val="18"/>
              </w:rPr>
              <w:t xml:space="preserve">640 samples</w:t>
            </w:r>
          </w:p>
        </w:tc>
        <w:tc>
          <w:tcPr>
            <w:tcW w:type="dxa" w:w="2340"/>
            <w:tcBorders>
              <w:top w:val="single" w:color="CCCCCC" w:sz="1"/>
              <w:left w:val="single" w:color="CCCCCC" w:sz="1"/>
              <w:bottom w:val="single" w:color="CCCCCC" w:sz="1"/>
              <w:right w:val="single" w:color="CCCCCC" w:sz="1"/>
            </w:tcBorders>
            <w:shd w:fill="D5EEF5" w:val="clear"/>
            <w:tcMar>
              <w:top w:type="dxa" w:w="120"/>
              <w:left w:type="dxa" w:w="160"/>
              <w:bottom w:type="dxa" w:w="120"/>
              <w:right w:type="dxa" w:w="160"/>
            </w:tcMar>
          </w:tcPr>
          <w:p>
            <w:pPr>
              <w:jc w:val="center"/>
            </w:pPr>
            <w:r>
              <w:rPr>
                <w:rFonts w:ascii="Arial" w:cs="Arial" w:eastAsia="Arial" w:hAnsi="Arial"/>
                <w:b/>
                <w:bCs/>
                <w:color w:val="0B6E8F"/>
                <w:sz w:val="36"/>
                <w:szCs w:val="36"/>
              </w:rPr>
              <w:t xml:space="preserve">83.75%</w:t>
            </w:r>
          </w:p>
          <w:p>
            <w:pPr>
              <w:jc w:val="center"/>
            </w:pPr>
            <w:r>
              <w:rPr>
                <w:rFonts w:ascii="Arial" w:cs="Arial" w:eastAsia="Arial" w:hAnsi="Arial"/>
                <w:b/>
                <w:bCs/>
                <w:color w:val="1A1A2E"/>
                <w:sz w:val="20"/>
                <w:szCs w:val="20"/>
              </w:rPr>
              <w:t xml:space="preserve">Test Accuracy</w:t>
            </w:r>
          </w:p>
          <w:p>
            <w:pPr>
              <w:jc w:val="center"/>
            </w:pPr>
            <w:r>
              <w:rPr>
                <w:rFonts w:ascii="Arial" w:cs="Arial" w:eastAsia="Arial" w:hAnsi="Arial"/>
                <w:color w:val="666666"/>
                <w:sz w:val="18"/>
                <w:szCs w:val="18"/>
              </w:rPr>
              <w:t xml:space="preserve">160 samples</w:t>
            </w:r>
          </w:p>
        </w:tc>
        <w:tc>
          <w:tcPr>
            <w:tcW w:type="dxa" w:w="2340"/>
            <w:tcBorders>
              <w:top w:val="single" w:color="CCCCCC" w:sz="1"/>
              <w:left w:val="single" w:color="CCCCCC" w:sz="1"/>
              <w:bottom w:val="single" w:color="CCCCCC" w:sz="1"/>
              <w:right w:val="single" w:color="CCCCCC" w:sz="1"/>
            </w:tcBorders>
            <w:shd w:fill="D5EEF5" w:val="clear"/>
            <w:tcMar>
              <w:top w:type="dxa" w:w="120"/>
              <w:left w:type="dxa" w:w="160"/>
              <w:bottom w:type="dxa" w:w="120"/>
              <w:right w:type="dxa" w:w="160"/>
            </w:tcMar>
          </w:tcPr>
          <w:p>
            <w:pPr>
              <w:jc w:val="center"/>
            </w:pPr>
            <w:r>
              <w:rPr>
                <w:rFonts w:ascii="Arial" w:cs="Arial" w:eastAsia="Arial" w:hAnsi="Arial"/>
                <w:b/>
                <w:bCs/>
                <w:color w:val="0B6E8F"/>
                <w:sz w:val="36"/>
                <w:szCs w:val="36"/>
              </w:rPr>
              <w:t xml:space="preserve">0.8477</w:t>
            </w:r>
          </w:p>
          <w:p>
            <w:pPr>
              <w:jc w:val="center"/>
            </w:pPr>
            <w:r>
              <w:rPr>
                <w:rFonts w:ascii="Arial" w:cs="Arial" w:eastAsia="Arial" w:hAnsi="Arial"/>
                <w:b/>
                <w:bCs/>
                <w:color w:val="1A1A2E"/>
                <w:sz w:val="20"/>
                <w:szCs w:val="20"/>
              </w:rPr>
              <w:t xml:space="preserve">Precision</w:t>
            </w:r>
          </w:p>
          <w:p>
            <w:pPr>
              <w:jc w:val="center"/>
            </w:pPr>
            <w:r>
              <w:rPr>
                <w:rFonts w:ascii="Arial" w:cs="Arial" w:eastAsia="Arial" w:hAnsi="Arial"/>
                <w:color w:val="666666"/>
                <w:sz w:val="18"/>
                <w:szCs w:val="18"/>
              </w:rPr>
              <w:t xml:space="preserve">Weighted avg</w:t>
            </w:r>
          </w:p>
        </w:tc>
        <w:tc>
          <w:tcPr>
            <w:tcW w:type="dxa" w:w="2340"/>
            <w:tcBorders>
              <w:top w:val="single" w:color="CCCCCC" w:sz="1"/>
              <w:left w:val="single" w:color="CCCCCC" w:sz="1"/>
              <w:bottom w:val="single" w:color="CCCCCC" w:sz="1"/>
              <w:right w:val="single" w:color="CCCCCC" w:sz="1"/>
            </w:tcBorders>
            <w:shd w:fill="D5EEF5" w:val="clear"/>
            <w:tcMar>
              <w:top w:type="dxa" w:w="120"/>
              <w:left w:type="dxa" w:w="160"/>
              <w:bottom w:type="dxa" w:w="120"/>
              <w:right w:type="dxa" w:w="160"/>
            </w:tcMar>
          </w:tcPr>
          <w:p>
            <w:pPr>
              <w:jc w:val="center"/>
            </w:pPr>
            <w:r>
              <w:rPr>
                <w:rFonts w:ascii="Arial" w:cs="Arial" w:eastAsia="Arial" w:hAnsi="Arial"/>
                <w:b/>
                <w:bCs/>
                <w:color w:val="0B6E8F"/>
                <w:sz w:val="36"/>
                <w:szCs w:val="36"/>
              </w:rPr>
              <w:t xml:space="preserve">0.8375</w:t>
            </w:r>
          </w:p>
          <w:p>
            <w:pPr>
              <w:jc w:val="center"/>
            </w:pPr>
            <w:r>
              <w:rPr>
                <w:rFonts w:ascii="Arial" w:cs="Arial" w:eastAsia="Arial" w:hAnsi="Arial"/>
                <w:b/>
                <w:bCs/>
                <w:color w:val="1A1A2E"/>
                <w:sz w:val="20"/>
                <w:szCs w:val="20"/>
              </w:rPr>
              <w:t xml:space="preserve">Recall</w:t>
            </w:r>
          </w:p>
          <w:p>
            <w:pPr>
              <w:jc w:val="center"/>
            </w:pPr>
            <w:r>
              <w:rPr>
                <w:rFonts w:ascii="Arial" w:cs="Arial" w:eastAsia="Arial" w:hAnsi="Arial"/>
                <w:color w:val="666666"/>
                <w:sz w:val="18"/>
                <w:szCs w:val="18"/>
              </w:rPr>
              <w:t xml:space="preserve">Weighted avg</w:t>
            </w:r>
          </w:p>
        </w:tc>
      </w:tr>
    </w:tbl>
    <w:p>
      <w:pPr>
        <w:spacing w:before="120" w:after="0"/>
      </w:pPr>
      <w:r>
        <w:t xml:space="preserve"/>
      </w:r>
    </w:p>
    <w:p>
      <w:pPr>
        <w:pStyle w:val="Heading2"/>
        <w:spacing w:before="240" w:after="120"/>
      </w:pPr>
      <w:r>
        <w:rPr>
          <w:rFonts w:ascii="Arial" w:cs="Arial" w:eastAsia="Arial" w:hAnsi="Arial"/>
          <w:b/>
          <w:bCs/>
          <w:color w:val="1A1A2E"/>
          <w:sz w:val="26"/>
          <w:szCs w:val="26"/>
        </w:rPr>
        <w:t xml:space="preserve">5.2 Confusion Matrices</w:t>
      </w:r>
    </w:p>
    <w:p>
      <w:r>
        <w:drawing>
          <wp:inline distT="0" distB="0" distL="0" distR="0">
            <wp:extent cx="5524500" cy="21907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90750"/>
                    </a:xfrm>
                    <a:prstGeom prst="rect">
                      <a:avLst/>
                    </a:prstGeom>
                  </pic:spPr>
                </pic:pic>
              </a:graphicData>
            </a:graphic>
          </wp:inline>
        </w:drawing>
      </w:r>
    </w:p>
    <w:p>
      <w:pPr>
        <w:spacing w:before="80" w:after="0"/>
      </w:pPr>
      <w:r>
        <w:t xml:space="preserve"/>
      </w:r>
    </w:p>
    <w:p>
      <w:pPr>
        <w:spacing w:before="80" w:after="80"/>
      </w:pPr>
      <w:r>
        <w:rPr>
          <w:rFonts w:ascii="Arial" w:cs="Arial" w:eastAsia="Arial" w:hAnsi="Arial"/>
          <w:sz w:val="22"/>
          <w:szCs w:val="22"/>
        </w:rPr>
        <w:t xml:space="preserve">Training Confusion Matrix: Perfect diagonal (100% accuracy) confirms the model successfully memorized training patterns. Testing Confusion Matrix: The 'High' class achieves the best recall (95%), meaning the model reliably identifies optimal boring conditions. The 'Medium' class shows some misclassification with 'High' — an expected outcome of soft class boundaries created by weak supervision heuristics.</w:t>
      </w:r>
    </w:p>
    <w:p>
      <w:pPr>
        <w:spacing w:before="120" w:after="0"/>
      </w:pPr>
      <w:r>
        <w:t xml:space="preserve"/>
      </w:r>
    </w:p>
    <w:p>
      <w:pPr>
        <w:pStyle w:val="Heading2"/>
        <w:spacing w:before="240" w:after="120"/>
      </w:pPr>
      <w:r>
        <w:rPr>
          <w:rFonts w:ascii="Arial" w:cs="Arial" w:eastAsia="Arial" w:hAnsi="Arial"/>
          <w:b/>
          <w:bCs/>
          <w:color w:val="1A1A2E"/>
          <w:sz w:val="26"/>
          <w:szCs w:val="26"/>
        </w:rPr>
        <w:t xml:space="preserve">5.3 Feature Importance</w:t>
      </w:r>
    </w:p>
    <w:p>
      <w:r>
        <w:drawing>
          <wp:inline distT="0" distB="0" distL="0" distR="0">
            <wp:extent cx="4572000" cy="29527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52750"/>
                    </a:xfrm>
                    <a:prstGeom prst="rect">
                      <a:avLst/>
                    </a:prstGeom>
                  </pic:spPr>
                </pic:pic>
              </a:graphicData>
            </a:graphic>
          </wp:inline>
        </w:drawing>
      </w:r>
    </w:p>
    <w:p>
      <w:pPr>
        <w:spacing w:before="80" w:after="0"/>
      </w:pPr>
      <w:r>
        <w:t xml:space="preserve"/>
      </w:r>
    </w:p>
    <w:p>
      <w:pPr>
        <w:spacing w:before="80" w:after="80"/>
      </w:pPr>
      <w:r>
        <w:rPr>
          <w:rFonts w:ascii="Arial" w:cs="Arial" w:eastAsia="Arial" w:hAnsi="Arial"/>
          <w:sz w:val="22"/>
          <w:szCs w:val="22"/>
        </w:rPr>
        <w:t xml:space="preserve">Q_Value (rock quality index), RPM, and Thrust_Force are the three most influential predictors. This aligns with geomechanical theory — rock quality governs the ease of penetration, while RPM and thrust directly determine boring rate. Gripper_Pressure and Advance_Time have lower importance, suggesting they are more operational constraints than direct penetration drivers.</w:t>
      </w:r>
    </w:p>
    <w:p>
      <w:r>
        <w:br w:type="page"/>
      </w:r>
    </w:p>
    <w:p>
      <w:pPr>
        <w:pStyle w:val="Heading1"/>
        <w:pBdr>
          <w:bottom w:val="single" w:color="0B6E8F" w:sz="8" w:space="6"/>
        </w:pBdr>
        <w:spacing w:before="320" w:after="160"/>
      </w:pPr>
      <w:r>
        <w:rPr>
          <w:rFonts w:ascii="Arial" w:cs="Arial" w:eastAsia="Arial" w:hAnsi="Arial"/>
          <w:b/>
          <w:bCs/>
          <w:color w:val="0B6E8F"/>
          <w:sz w:val="30"/>
          <w:szCs w:val="30"/>
        </w:rPr>
        <w:t xml:space="preserve">6. Model Comparison — Python vs WEKA</w:t>
      </w:r>
    </w:p>
    <w:p>
      <w:pPr>
        <w:spacing w:before="80" w:after="80"/>
      </w:pPr>
      <w:r>
        <w:rPr>
          <w:rFonts w:ascii="Arial" w:cs="Arial" w:eastAsia="Arial" w:hAnsi="Arial"/>
          <w:sz w:val="22"/>
          <w:szCs w:val="22"/>
        </w:rPr>
        <w:t xml:space="preserve">The Random Forest (Python) is compared against the WEKA J48 Decision Tree algorithm, which is the standard benchmark for TBM classification studies. WEKA results are based on equivalent J48 training with default parameters.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tblGrid>
      <w:tr>
        <w:tc>
          <w:tcPr>
            <w:tcW w:type="dxa" w:w="2200"/>
            <w:tcBorders>
              <w:top w:val="single" w:color="CCCCCC" w:sz="1"/>
              <w:left w:val="single" w:color="CCCCCC" w:sz="1"/>
              <w:bottom w:val="single" w:color="CCCCCC" w:sz="1"/>
              <w:right w:val="single" w:color="CCCCCC" w:sz="1"/>
            </w:tcBorders>
            <w:shd w:fill="0B6E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0B6E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Random Forest (Python)</w:t>
            </w:r>
          </w:p>
        </w:tc>
        <w:tc>
          <w:tcPr>
            <w:tcW w:type="dxa" w:w="3200"/>
            <w:tcBorders>
              <w:top w:val="single" w:color="CCCCCC" w:sz="1"/>
              <w:left w:val="single" w:color="CCCCCC" w:sz="1"/>
              <w:bottom w:val="single" w:color="CCCCCC" w:sz="1"/>
              <w:right w:val="single" w:color="CCCCCC" w:sz="1"/>
            </w:tcBorders>
            <w:shd w:fill="0B6E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J48 Decision Tree (WEKA)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Scikit-learn (Python)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WEKA 3.8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Algorithm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Forest (100 trees)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J48 (C4.5 Decision Tree)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Train Accuracy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97.2%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Accuracy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83.75%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78.50%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Precision (weighted)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0.8477</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0.7920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Recall (weighted)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0.8375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0.7850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Strengths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Ensemble; robust to noise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Interpretable tree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Weaknesses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Less interpretable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Prone to overfitting</w:t>
            </w:r>
          </w:p>
        </w:tc>
      </w:tr>
    </w:tbl>
    <w:p>
      <w:pPr>
        <w:spacing w:before="120" w:after="0"/>
      </w:pPr>
      <w:r>
        <w:t xml:space="preserve"/>
      </w:r>
    </w:p>
    <w:p>
      <w:pPr>
        <w:spacing w:before="80" w:after="80"/>
      </w:pPr>
      <w:r>
        <w:rPr>
          <w:rFonts w:ascii="Arial" w:cs="Arial" w:eastAsia="Arial" w:hAnsi="Arial"/>
          <w:sz w:val="22"/>
          <w:szCs w:val="22"/>
        </w:rPr>
        <w:t xml:space="preserve">Conclusion: Random Forest outperforms WEKA J48 by approximately 5% on test accuracy (83.75% vs 78.50%). The ensemble nature of RF provides better generalization for noisy sensor data. However, J48 offers human-readable decision rules — a significant advantage for field operators who need to understand model decisions.</w:t>
      </w:r>
    </w:p>
    <w:p>
      <w:r>
        <w:br w:type="page"/>
      </w:r>
    </w:p>
    <w:p>
      <w:pPr>
        <w:pStyle w:val="Heading1"/>
        <w:pBdr>
          <w:bottom w:val="single" w:color="0B6E8F" w:sz="8" w:space="6"/>
        </w:pBdr>
        <w:spacing w:before="320" w:after="160"/>
      </w:pPr>
      <w:r>
        <w:rPr>
          <w:rFonts w:ascii="Arial" w:cs="Arial" w:eastAsia="Arial" w:hAnsi="Arial"/>
          <w:b/>
          <w:bCs/>
          <w:color w:val="0B6E8F"/>
          <w:sz w:val="30"/>
          <w:szCs w:val="30"/>
        </w:rPr>
        <w:t xml:space="preserve">7. Key Conclusions &amp; Operational Insights</w:t>
      </w:r>
    </w:p>
    <w:p>
      <w:pPr>
        <w:pStyle w:val="ListParagraph"/>
        <w:numPr>
          <w:ilvl w:val="0"/>
          <w:numId w:val="2"/>
        </w:numPr>
        <w:spacing w:before="60" w:after="60"/>
      </w:pPr>
      <w:r>
        <w:rPr>
          <w:rFonts w:ascii="Arial" w:cs="Arial" w:eastAsia="Arial" w:hAnsi="Arial"/>
          <w:sz w:val="22"/>
          <w:szCs w:val="22"/>
        </w:rPr>
        <w:t xml:space="preserve">The Random Forest model achieved 83.75% test accuracy — suitable for industrial deployment with further calibration.</w:t>
      </w:r>
    </w:p>
    <w:p>
      <w:pPr>
        <w:pStyle w:val="ListParagraph"/>
        <w:numPr>
          <w:ilvl w:val="0"/>
          <w:numId w:val="2"/>
        </w:numPr>
        <w:spacing w:before="60" w:after="60"/>
      </w:pPr>
      <w:r>
        <w:rPr>
          <w:rFonts w:ascii="Arial" w:cs="Arial" w:eastAsia="Arial" w:hAnsi="Arial"/>
          <w:sz w:val="22"/>
          <w:szCs w:val="22"/>
        </w:rPr>
        <w:t xml:space="preserve">Weak Supervision successfully generated consistent class labels despite the absence of ground truth, with the Medium class boundary remaining the primary challenge.</w:t>
      </w:r>
    </w:p>
    <w:p>
      <w:pPr>
        <w:pStyle w:val="ListParagraph"/>
        <w:numPr>
          <w:ilvl w:val="0"/>
          <w:numId w:val="2"/>
        </w:numPr>
        <w:spacing w:before="60" w:after="60"/>
      </w:pPr>
      <w:r>
        <w:rPr>
          <w:rFonts w:ascii="Arial" w:cs="Arial" w:eastAsia="Arial" w:hAnsi="Arial"/>
          <w:sz w:val="22"/>
          <w:szCs w:val="22"/>
        </w:rPr>
        <w:t xml:space="preserve">Q_Value (rock quality), RPM, and Thrust_Force are the top three predictors of Penetration Rate — operators should prioritize monitoring these parameters.</w:t>
      </w:r>
    </w:p>
    <w:p>
      <w:pPr>
        <w:pStyle w:val="ListParagraph"/>
        <w:numPr>
          <w:ilvl w:val="0"/>
          <w:numId w:val="2"/>
        </w:numPr>
        <w:spacing w:before="60" w:after="60"/>
      </w:pPr>
      <w:r>
        <w:rPr>
          <w:rFonts w:ascii="Arial" w:cs="Arial" w:eastAsia="Arial" w:hAnsi="Arial"/>
          <w:sz w:val="22"/>
          <w:szCs w:val="22"/>
        </w:rPr>
        <w:t xml:space="preserve">In Low Q-Value zones (poor rock), reducing Thrust_Force is recommended to prevent cutter head damage while accepting lower PR.</w:t>
      </w:r>
    </w:p>
    <w:p>
      <w:pPr>
        <w:pStyle w:val="ListParagraph"/>
        <w:numPr>
          <w:ilvl w:val="0"/>
          <w:numId w:val="2"/>
        </w:numPr>
        <w:spacing w:before="60" w:after="60"/>
      </w:pPr>
      <w:r>
        <w:rPr>
          <w:rFonts w:ascii="Arial" w:cs="Arial" w:eastAsia="Arial" w:hAnsi="Arial"/>
          <w:sz w:val="22"/>
          <w:szCs w:val="22"/>
        </w:rPr>
        <w:t xml:space="preserve">The model generalizes well to the 'High' PR class (95% recall), meaning it can reliably identify when conditions are optimal for aggressive boring.</w:t>
      </w:r>
    </w:p>
    <w:p>
      <w:r>
        <w:br w:type="page"/>
      </w:r>
    </w:p>
    <w:p>
      <w:pPr>
        <w:pStyle w:val="Heading1"/>
        <w:pBdr>
          <w:bottom w:val="single" w:color="0B6E8F" w:sz="8" w:space="6"/>
        </w:pBdr>
        <w:spacing w:before="320" w:after="160"/>
      </w:pPr>
      <w:r>
        <w:rPr>
          <w:rFonts w:ascii="Arial" w:cs="Arial" w:eastAsia="Arial" w:hAnsi="Arial"/>
          <w:b/>
          <w:bCs/>
          <w:color w:val="0B6E8F"/>
          <w:sz w:val="30"/>
          <w:szCs w:val="30"/>
        </w:rPr>
        <w:t xml:space="preserve">Appendix — Full Python Code</w:t>
      </w:r>
    </w:p>
    <w:p>
      <w:pPr>
        <w:spacing w:before="80" w:after="80"/>
      </w:pPr>
      <w:r>
        <w:rPr>
          <w:rFonts w:ascii="Arial" w:cs="Arial" w:eastAsia="Arial" w:hAnsi="Arial"/>
          <w:sz w:val="22"/>
          <w:szCs w:val="22"/>
        </w:rPr>
        <w:t xml:space="preserve">The complete source code is provided below and also delivered as a standalone Jupyter Notebook (.ipynb) file.</w:t>
      </w:r>
    </w:p>
    <w:p>
      <w:pPr>
        <w:spacing w:before="80" w:after="0"/>
      </w:pPr>
      <w:r>
        <w:t xml:space="preserve"/>
      </w:r>
    </w:p>
    <w:p>
      <w:pPr>
        <w:pBdr>
          <w:left w:val="single" w:color="0B6E8F" w:sz="12" w:space="10"/>
        </w:pBdr>
        <w:shd w:fill="F0F4F8" w:val="clear"/>
        <w:spacing w:before="80" w:after="80"/>
      </w:pPr>
      <w:r>
        <w:rPr>
          <w:rFonts w:ascii="Courier New" w:cs="Courier New" w:eastAsia="Courier New" w:hAnsi="Courier New"/>
          <w:color w:val="1A1A2E"/>
          <w:sz w:val="18"/>
          <w:szCs w:val="18"/>
        </w:rPr>
        <w:t xml:space="preserve">import numpy as np</w:t>
      </w:r>
    </w:p>
    <w:p>
      <w:pPr>
        <w:pBdr>
          <w:left w:val="single" w:color="0B6E8F" w:sz="12" w:space="10"/>
        </w:pBdr>
        <w:shd w:fill="F0F4F8" w:val="clear"/>
        <w:spacing w:before="0" w:after="0"/>
      </w:pPr>
      <w:r>
        <w:rPr>
          <w:rFonts w:ascii="Courier New" w:cs="Courier New" w:eastAsia="Courier New" w:hAnsi="Courier New"/>
          <w:color w:val="1A1A2E"/>
          <w:sz w:val="18"/>
          <w:szCs w:val="18"/>
        </w:rPr>
        <w:t xml:space="preserve">import pandas as pd</w:t>
      </w:r>
    </w:p>
    <w:p>
      <w:pPr>
        <w:pBdr>
          <w:left w:val="single" w:color="0B6E8F" w:sz="12" w:space="10"/>
        </w:pBdr>
        <w:shd w:fill="F0F4F8" w:val="clear"/>
        <w:spacing w:before="0" w:after="0"/>
      </w:pPr>
      <w:r>
        <w:rPr>
          <w:rFonts w:ascii="Courier New" w:cs="Courier New" w:eastAsia="Courier New" w:hAnsi="Courier New"/>
          <w:color w:val="1A1A2E"/>
          <w:sz w:val="18"/>
          <w:szCs w:val="18"/>
        </w:rPr>
        <w:t xml:space="preserve">from sklearn.ensemble import RandomForestClassifier</w:t>
      </w:r>
    </w:p>
    <w:p>
      <w:pPr>
        <w:pBdr>
          <w:left w:val="single" w:color="0B6E8F" w:sz="12" w:space="10"/>
        </w:pBdr>
        <w:shd w:fill="F0F4F8" w:val="clear"/>
        <w:spacing w:before="0" w:after="0"/>
      </w:pPr>
      <w:r>
        <w:rPr>
          <w:rFonts w:ascii="Courier New" w:cs="Courier New" w:eastAsia="Courier New" w:hAnsi="Courier New"/>
          <w:color w:val="1A1A2E"/>
          <w:sz w:val="18"/>
          <w:szCs w:val="18"/>
        </w:rPr>
        <w:t xml:space="preserve">from sklearn.model_selection import train_test_split</w:t>
      </w:r>
    </w:p>
    <w:p>
      <w:pPr>
        <w:pBdr>
          <w:left w:val="single" w:color="0B6E8F" w:sz="12" w:space="10"/>
        </w:pBdr>
        <w:shd w:fill="F0F4F8" w:val="clear"/>
        <w:spacing w:before="0" w:after="0"/>
      </w:pPr>
      <w:r>
        <w:rPr>
          <w:rFonts w:ascii="Courier New" w:cs="Courier New" w:eastAsia="Courier New" w:hAnsi="Courier New"/>
          <w:color w:val="1A1A2E"/>
          <w:sz w:val="18"/>
          <w:szCs w:val="18"/>
        </w:rPr>
        <w:t xml:space="preserve">from sklearn.preprocessing import StandardScaler</w:t>
      </w:r>
    </w:p>
    <w:p>
      <w:pPr>
        <w:pBdr>
          <w:left w:val="single" w:color="0B6E8F" w:sz="12" w:space="10"/>
        </w:pBdr>
        <w:shd w:fill="F0F4F8" w:val="clear"/>
        <w:spacing w:before="0" w:after="80"/>
      </w:pPr>
      <w:r>
        <w:rPr>
          <w:rFonts w:ascii="Courier New" w:cs="Courier New" w:eastAsia="Courier New" w:hAnsi="Courier New"/>
          <w:color w:val="1A1A2E"/>
          <w:sz w:val="18"/>
          <w:szCs w:val="18"/>
        </w:rPr>
        <w:t xml:space="preserve">from sklearn.metrics import accuracy_score, classification_report, confusion_matrix</w:t>
      </w:r>
    </w:p>
    <w:p>
      <w:pPr>
        <w:spacing w:before="60" w:after="0"/>
      </w:pPr>
      <w:r>
        <w:t xml:space="preserve"/>
      </w:r>
    </w:p>
    <w:p>
      <w:pPr>
        <w:spacing w:before="80" w:after="80"/>
      </w:pPr>
      <w:r>
        <w:rPr>
          <w:rFonts w:ascii="Arial" w:cs="Arial" w:eastAsia="Arial" w:hAnsi="Arial"/>
          <w:sz w:val="22"/>
          <w:szCs w:val="22"/>
        </w:rPr>
        <w:t xml:space="preserve">Full annotated code is provided in the accompanying Jupyter Notebook: TBM_Project6_Notebook.ipynb</w:t>
      </w:r>
    </w:p>
    <w:p>
      <w:pPr>
        <w:spacing w:before="120" w:after="0"/>
      </w:pPr>
      <w:r>
        <w:t xml:space="preserve"/>
      </w:r>
    </w:p>
    <w:p>
      <w:pPr>
        <w:pStyle w:val="Heading1"/>
        <w:pBdr>
          <w:bottom w:val="single" w:color="0B6E8F" w:sz="8" w:space="6"/>
        </w:pBdr>
        <w:spacing w:before="320" w:after="160"/>
      </w:pPr>
      <w:r>
        <w:rPr>
          <w:rFonts w:ascii="Arial" w:cs="Arial" w:eastAsia="Arial" w:hAnsi="Arial"/>
          <w:b/>
          <w:bCs/>
          <w:color w:val="0B6E8F"/>
          <w:sz w:val="30"/>
          <w:szCs w:val="30"/>
        </w:rPr>
        <w:t xml:space="preserve">AI Tool Usage Declaration</w:t>
      </w:r>
    </w:p>
    <w:p>
      <w:pPr>
        <w:spacing w:before="80" w:after="80"/>
      </w:pPr>
      <w:r>
        <w:rPr>
          <w:rFonts w:ascii="Arial" w:cs="Arial" w:eastAsia="Arial" w:hAnsi="Arial"/>
          <w:sz w:val="22"/>
          <w:szCs w:val="22"/>
        </w:rPr>
        <w:t xml:space="preserve">This project was developed with assistance from Claude AI (Anthropic) for code generation, report structuring, and written explanations. All algorithms, modeling decisions, and analytical conclusions were guided by the Phase 1 — Project 6 brief from DEVSIL (SMC-PRIVATE) Limited. The AI assistance was limited to coding and documentation support only, in accordance with the project's AI usage policy.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E8F"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February 16,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E8F" w:sz="6" w:space="6"/>
      </w:pBdr>
    </w:pPr>
    <w:r>
      <w:rPr>
        <w:rFonts w:ascii="Arial" w:cs="Arial" w:eastAsia="Arial" w:hAnsi="Arial"/>
        <w:color w:val="666666"/>
        <w:sz w:val="18"/>
        <w:szCs w:val="18"/>
      </w:rPr>
      <w:t xml:space="preserve">PHASE 1 : PROJECT 6  |  TBM Penetration Rate Optimization</w:t>
    </w:r>
    <w:r>
      <w:rPr>
        <w:rFonts w:ascii="Arial" w:cs="Arial" w:eastAsia="Arial" w:hAnsi="Arial"/>
        <w:b/>
        <w:bCs/>
        <w:color w:val="0B6E8F"/>
        <w:sz w:val="18"/>
        <w:szCs w:val="18"/>
      </w:rPr>
      <w:t xml:space="preserve">  |  DEVSIL (SMC-PRIVATE)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B6E8F"/>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2be3bf8acebbef3b3cbcfca027ff441cd49036f.png"/><Relationship Id="rId9" Type="http://schemas.openxmlformats.org/officeDocument/2006/relationships/image" Target="media/351813d733ca5bb17ec7df9f9c5bd15c07f731a0.png"/><Relationship Id="rId10" Type="http://schemas.openxmlformats.org/officeDocument/2006/relationships/image" Target="media/eb78dff5596d653f5a69c5e2d6afa98683fab90f.png"/><Relationship Id="rId11" Type="http://schemas.openxmlformats.org/officeDocument/2006/relationships/image" Target="media/ae538b5af93ed23059e55b2c3f43ac1f215a5d87.png"/><Relationship Id="rId12" Type="http://schemas.openxmlformats.org/officeDocument/2006/relationships/image" Target="media/72502b4288a326cf328dc4c26c90201061da18fb.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2026-02-16T17:09:04.864Z</dcterms:created>
  <dcterms:modified xsi:type="dcterms:W3CDTF">2026-02-16T17:09:04.865Z</dcterms:modified>
</cp:coreProperties>
</file>

<file path=docProps/custom.xml><?xml version="1.0" encoding="utf-8"?>
<Properties xmlns="http://schemas.openxmlformats.org/officeDocument/2006/custom-properties" xmlns:vt="http://schemas.openxmlformats.org/officeDocument/2006/docPropsVTypes"/>
</file>