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5c2o8ec63g6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6tfzw1kt9w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Motion Mechanics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5t9wtg61n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FlexTime Operational and Financial Proposal   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dajglj012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Version 2.2 (</w:t>
      </w:r>
      <w:hyperlink w:anchor="_6eygxhrr3xyd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Revision History</w:t>
        </w:r>
      </w:hyperlink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5">
      <w:pPr>
        <w:spacing w:before="280" w:lineRule="auto"/>
        <w:rPr/>
      </w:pPr>
      <w:r w:rsidDel="00000000" w:rsidR="00000000" w:rsidRPr="00000000">
        <w:rPr>
          <w:u w:val="single"/>
          <w:rtl w:val="0"/>
        </w:rPr>
        <w:t xml:space="preserve">Web Companion Microsite: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https://microsites.infra.purrfecthq.com/flextime/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u w:val="single"/>
          <w:rtl w:val="0"/>
        </w:rPr>
        <w:t xml:space="preserve">Github Repository: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https://github.com/purrfectsoft/mm-flextime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Ideas and concepts: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robin@purrfecthq.com</w:t>
        </w:r>
      </w:hyperlink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jeorge@purrfecthq.com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Compilation:</w:t>
      </w: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Arafat Zahan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AI Tools Used:</w:t>
      </w:r>
      <w:r w:rsidDel="00000000" w:rsidR="00000000" w:rsidRPr="00000000">
        <w:rPr>
          <w:rtl w:val="0"/>
        </w:rPr>
        <w:t xml:space="preserve"> ChatGPT 5.1, Gemini Pro Workspace, GitHub Copilot (Agent, Models: gpt-5-mini, claude-sonnet-4.5)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Reviewers:</w:t>
      </w: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universe@purrfecthq.com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Approvers:</w:t>
      </w:r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council@purrfecthq.com</w:t>
        </w:r>
      </w:hyperlink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leadership@purrfecthq.com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[Add your name, email, date of review/approval and status in the following table once reviewed, leave feedback inline with Google Docs Comments]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970"/>
        <w:gridCol w:w="1710"/>
        <w:gridCol w:w="2340"/>
        <w:tblGridChange w:id="0">
          <w:tblGrid>
            <w:gridCol w:w="2340"/>
            <w:gridCol w:w="2970"/>
            <w:gridCol w:w="171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Status ✅⚠️❌⏳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hyperlink r:id="rId1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Arafat Zahan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arafat@purrfecthq.com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Nov 14,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hyperlink r:id="rId1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Jahirul Islam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jahirul@purrfecthq.com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Nov 14,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/>
      </w:pPr>
      <w:bookmarkStart w:colFirst="0" w:colLast="0" w:name="_a7ii1lp3h822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qk1ak0oa7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FlexTime is Motion Mechanics’ adaptive operational model designed to align physiotherapy service delivery with real-world patient availability, therapist well-being, and financial sustainability.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framework: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Optimizes daily shift structure around Dhaka and Savar traffic patterns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continuous physiotherapy coverage with structured breaks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Scales staffing gradually using well-defined tiers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rapid forecasting through a companion interactive microsite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high clinical quality and economic viability from day one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presents the core FlexTime design, staffing model, and high-level financial expectations.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cy32qc9ec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FlexTime Daily Structure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fr2s34gd8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Overview of Daily Blocks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FlexStart — 09:00 to 10:00</w:t>
        <w:br w:type="textWrapping"/>
      </w:r>
      <w:r w:rsidDel="00000000" w:rsidR="00000000" w:rsidRPr="00000000">
        <w:rPr>
          <w:rtl w:val="0"/>
        </w:rPr>
        <w:t xml:space="preserve"> Preparation, team sync, emergencies, light assessments.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FlexShift A — 10:00 to 13:00</w:t>
        <w:br w:type="textWrapping"/>
      </w:r>
      <w:r w:rsidDel="00000000" w:rsidR="00000000" w:rsidRPr="00000000">
        <w:rPr>
          <w:rtl w:val="0"/>
        </w:rPr>
        <w:t xml:space="preserve"> High clinical complexity. Neuro and Foundation sessions peak here.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Midday Reset — 13:00 to 14:00</w:t>
        <w:br w:type="textWrapping"/>
      </w:r>
      <w:r w:rsidDel="00000000" w:rsidR="00000000" w:rsidRPr="00000000">
        <w:rPr>
          <w:rtl w:val="0"/>
        </w:rPr>
        <w:t xml:space="preserve"> Buffer for turnover, sanitization, staff reset.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FlexShift B — 14:00 to 17:00</w:t>
        <w:br w:type="textWrapping"/>
      </w:r>
      <w:r w:rsidDel="00000000" w:rsidR="00000000" w:rsidRPr="00000000">
        <w:rPr>
          <w:rtl w:val="0"/>
        </w:rPr>
        <w:t xml:space="preserve"> Follow-up and pediatric demand peak. Balanced load.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Commute Gap — 17:00 to 19:00</w:t>
        <w:br w:type="textWrapping"/>
      </w:r>
      <w:r w:rsidDel="00000000" w:rsidR="00000000" w:rsidRPr="00000000">
        <w:rPr>
          <w:rtl w:val="0"/>
        </w:rPr>
        <w:t xml:space="preserve"> Strategically bypassing Savar/CRP traffic and allowing therapist recovery.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FlexShift C — 19:00 to 22:00</w:t>
        <w:br w:type="textWrapping"/>
      </w:r>
      <w:r w:rsidDel="00000000" w:rsidR="00000000" w:rsidRPr="00000000">
        <w:rPr>
          <w:rtl w:val="0"/>
        </w:rPr>
        <w:t xml:space="preserve"> After-office accessibility. Express and Premium sessions perform strongly.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FlexShift Z — 06:00 to 09:00 (Tier 3+)</w:t>
        <w:br w:type="textWrapping"/>
      </w:r>
      <w:r w:rsidDel="00000000" w:rsidR="00000000" w:rsidRPr="00000000">
        <w:rPr>
          <w:rtl w:val="0"/>
        </w:rPr>
        <w:t xml:space="preserve"> Future phase early-morning block for athletes, schools, and specialty programs.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cca14r704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Bed Capacity and Service Mix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2isu8vhfk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Standard Bed Allocation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Neuro: 3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MSK: 2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Pediatrics: 2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0bo3gspx4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50 Percent Launch Capacity (Optional)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Neuro: 2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MSK: 1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Pediatrics: 1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configuration supports 40 to 55 percent occupancy while minimizing early-month payroll strain.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rqmeex8o6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Clinical Session Types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Foundation (60 minutes):</w:t>
      </w:r>
      <w:r w:rsidDel="00000000" w:rsidR="00000000" w:rsidRPr="00000000">
        <w:rPr>
          <w:rtl w:val="0"/>
        </w:rPr>
        <w:t xml:space="preserve"> Full assessment and complex cases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 (30 to 45 minutes):</w:t>
      </w:r>
      <w:r w:rsidDel="00000000" w:rsidR="00000000" w:rsidRPr="00000000">
        <w:rPr>
          <w:rtl w:val="0"/>
        </w:rPr>
        <w:t xml:space="preserve"> Follow-up treatment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Premium Recovery (60 minutes):</w:t>
      </w:r>
      <w:r w:rsidDel="00000000" w:rsidR="00000000" w:rsidRPr="00000000">
        <w:rPr>
          <w:rtl w:val="0"/>
        </w:rPr>
        <w:t xml:space="preserve"> Advanced combined sessions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Express (15 to 20 minutes):</w:t>
      </w:r>
      <w:r w:rsidDel="00000000" w:rsidR="00000000" w:rsidRPr="00000000">
        <w:rPr>
          <w:rtl w:val="0"/>
        </w:rPr>
        <w:t xml:space="preserve"> High-throughput, evening-friendly model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Baseline visit mix:</w:t>
        <w:br w:type="textWrapping"/>
      </w:r>
      <w:r w:rsidDel="00000000" w:rsidR="00000000" w:rsidRPr="00000000">
        <w:rPr>
          <w:rtl w:val="0"/>
        </w:rPr>
        <w:t xml:space="preserve"> 20% Foundation, 50% Standard, 25% Premium, 5% Express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jpor6u8j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Staffing Tier Framework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FlexTime grows gradually using five staffing tiers. Each tier unlocks specific service capabilities and determines safe occupancy levels.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utrlou686d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0 — Minimum Viable Opening Team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 Full Time / 4 Part Time (Total 14)</w:t>
        <w:br w:type="textWrapping"/>
      </w:r>
      <w:r w:rsidDel="00000000" w:rsidR="00000000" w:rsidRPr="00000000">
        <w:rPr>
          <w:rtl w:val="0"/>
        </w:rPr>
        <w:t xml:space="preserve"> Supports: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50% bed capacity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coverage of A, B, and C shifts</w:t>
        <w:br w:type="textWrapping"/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vzg85c8k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1 — Stable Launch Team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 Full Time / 7 Part Time (Total 21)</w:t>
        <w:br w:type="textWrapping"/>
      </w:r>
      <w:r w:rsidDel="00000000" w:rsidR="00000000" w:rsidRPr="00000000">
        <w:rPr>
          <w:rtl w:val="0"/>
        </w:rPr>
        <w:t xml:space="preserve"> Supports: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Reliable A, B, and C coverage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Evening operations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Early-stage stability</w:t>
        <w:br w:type="textWrapping"/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td9354x1f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2 — Baseline Full Operations (Original Staffing Design)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 Full Time / 9 Part Time (Total 26)</w:t>
        <w:br w:type="textWrapping"/>
      </w:r>
      <w:r w:rsidDel="00000000" w:rsidR="00000000" w:rsidRPr="00000000">
        <w:rPr>
          <w:rtl w:val="0"/>
        </w:rPr>
        <w:t xml:space="preserve"> Supports: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7 beds fully active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FlexTime operations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Floaters and backup redundancy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CareBridge program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60% performance target</w:t>
        <w:br w:type="textWrapping"/>
        <w:t xml:space="preserve"> This is the official baseline for Motion Mechanics.</w:t>
        <w:br w:type="textWrapping"/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sd92pbd96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3 — Expanded Operations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22 Full Time / 6 Part Time (Total 28)</w:t>
        <w:br w:type="textWrapping"/>
      </w:r>
      <w:r w:rsidDel="00000000" w:rsidR="00000000" w:rsidRPr="00000000">
        <w:rPr>
          <w:rtl w:val="0"/>
        </w:rPr>
        <w:t xml:space="preserve"> Unlocks: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FlexShift Z (06:00 to 09:00)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weekend service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home-care dispatch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throughput potential</w:t>
        <w:br w:type="textWrapping"/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65hrk6rxi3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4 — Full Ecosystem Coverage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27 Full Time / 11 Part Time (Total 38)</w:t>
        <w:br w:type="textWrapping"/>
      </w:r>
      <w:r w:rsidDel="00000000" w:rsidR="00000000" w:rsidRPr="00000000">
        <w:rPr>
          <w:rtl w:val="0"/>
        </w:rPr>
        <w:t xml:space="preserve"> Unlocks: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weekend operations (Saturday and Sunday)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early-morning operations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Dedicated home-care and on-call physiotherapist team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outreach capacity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Highest operational coverage</w:t>
        <w:br w:type="textWrapping"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w15mc3zu9x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Financial Model (High-Level)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r3zm5ryij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Key Assumptions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22 standard working days per month (Tiers 0 to 2)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 to 28 working days with weekend coverage (Tiers 3 and 4)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 to 30 effective working days with hybrid home-care/online operations (Tier 4 advanced)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daily revenue at 100% capacity: 137,305 BDT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Weighted session distribution as defined in Section 3</w:t>
        <w:br w:type="textWrapping"/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jn7uj4mz0i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Expected Monthly Revenue by Tier</w:t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Tier 0 (Approximately 30%): ~906,000 BDT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 1 (Approximately 45%): ~1,360,000 BDT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 2 (Approximately 60%): ~1,812,000 BDT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 3 (Approximately 75%): ~2,266,000 BDT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 4 (Approximately 90%): ~2,719,000 BDT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 4+ with weekend and home-care expansion: ~3,200,000 to ~3,500,000 BDT</w:t>
        <w:br w:type="textWrapping"/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ercvw21h9h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Monthly Payroll by Tier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Tier 0: ~360,000 BDT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 1: ~750,000 BDT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 2: ~928,000 BDT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 3: ~1,050,000 BDT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 4: ~1,360,000 BDT</w:t>
        <w:br w:type="textWrapping"/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m1uowmxx8c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Profit Characteristics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Tier 0: Small planned early losses (normal during launch)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 1: Moderate profit emerging near 45% occupancy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 2: Strong profitability with 38–42% margin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 3: Margin expands through weekend and early-morning throughput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 4: Highest margin via extended operational calendar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Detailed projections are available on the interactive FlexTime microsite.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d4r3mcxlh5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CareBridge Program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CareBridge ensures affordability without compromising financial health.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Support teachers, students, single parents, chronic-care patients, and NGO/community referrals.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Structure: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~8 subsidized Standard sessions per day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30% discount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Approximately 9% of daily capacity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supported operationally at Tier 2 and above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Impact modeling is fully available through the microsite.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h1hpd6qsww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Launch Strategy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kb9a1ymwmo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(Months 1 to 3)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Optional 30% launch discount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Staffing: Tier 0 to Tier 1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Objectives: Patient onboarding, system stabilization, trust building</w:t>
        <w:br w:type="textWrapping"/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koinupkd9u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(Months 4 to 6)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20% discount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Staffing: Tier 1 to Tier 2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Objective: Grow to 45 to 55% occupancy</w:t>
        <w:br w:type="textWrapping"/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h0yeufgtil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 (Months 7 to 12)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pricing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Staffing: Tier 2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Objective: Sustainable 60% occupancy and operational consistency</w:t>
        <w:br w:type="textWrapping"/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dexxnl2fxf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Year 2 and Beyond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Scale to Tier 3 and Tier 4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early mornings, weekends, home-care, and corporate partnerships</w:t>
        <w:br w:type="textWrapping"/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fu5vz1ngsj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Companion Interactive Microsite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FlexTime microsite provides:</w:t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staffing tier slider (Tier 0 to Tier 4)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and FT/PT breakdown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Occupancy simulation and revenue engine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 margin visualization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scenario modeling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CareBridge impact modeling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and discount simulation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assumptions transparency</w:t>
        <w:br w:type="textWrapping"/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serves as the narrative foundation.</w:t>
        <w:br w:type="textWrapping"/>
        <w:t xml:space="preserve"> The microsite serves as the analytical engine.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f0nkcgqlpp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Conclusion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FlexTime enables Motion Mechanics to function as a resilient, patient-aligned, therapist-friendly, and financially strong physiotherapy organization.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provides: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structured and sustainable daily rhythm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clear staffing pathway from launch to expansion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transparent financial model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Affordable care pathways through CareBridge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flexibility to grow into morning, weekend, and home-care service lines</w:t>
        <w:br w:type="textWrapping"/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the document and companion microsite provide a complete operational blueprint for Motion Mechanics’ next phase.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1320"/>
        <w:gridCol w:w="4755"/>
        <w:gridCol w:w="1560"/>
        <w:tblGridChange w:id="0">
          <w:tblGrid>
            <w:gridCol w:w="1710"/>
            <w:gridCol w:w="1320"/>
            <w:gridCol w:w="4755"/>
            <w:gridCol w:w="1560"/>
          </w:tblGrid>
        </w:tblGridChange>
      </w:tblGrid>
      <w:tr>
        <w:trPr>
          <w:cantSplit w:val="0"/>
          <w:trHeight w:val="1298.2470703125" w:hRule="atLeast"/>
          <w:tblHeader w:val="1"/>
        </w:trPr>
        <w:tc>
          <w:tcPr>
            <w:gridSpan w:val="4"/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</w:tcPr>
          <w:p w:rsidR="00000000" w:rsidDel="00000000" w:rsidP="00000000" w:rsidRDefault="00000000" w:rsidRPr="00000000" w14:paraId="000000B2">
            <w:pPr>
              <w:pStyle w:val="Heading3"/>
              <w:spacing w:after="240" w:before="240" w:lineRule="auto"/>
              <w:rPr/>
            </w:pPr>
            <w:bookmarkStart w:colFirst="0" w:colLast="0" w:name="_6eygxhrr3xyd" w:id="31"/>
            <w:bookmarkEnd w:id="31"/>
            <w:r w:rsidDel="00000000" w:rsidR="00000000" w:rsidRPr="00000000">
              <w:rPr>
                <w:rtl w:val="0"/>
              </w:rPr>
              <w:t xml:space="preserve">Revision History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[In Reverse Chronological order, insert a new row above to add changes]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(bump </w:t>
            </w:r>
            <w:hyperlink w:anchor="_kjdajglj012d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version</w:t>
              </w:r>
            </w:hyperlink>
            <w:r w:rsidDel="00000000" w:rsidR="00000000" w:rsidRPr="00000000">
              <w:rPr>
                <w:rtl w:val="0"/>
              </w:rPr>
              <w:t xml:space="preserve"> when major changes are made)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📅Date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190500" cy="152400"/>
                  <wp:effectExtent b="0" l="0" r="0" t="0"/>
                  <wp:docPr descr="No type" id="2" name="image2.png"/>
                  <a:graphic>
                    <a:graphicData uri="http://schemas.openxmlformats.org/drawingml/2006/picture">
                      <pic:pic>
                        <pic:nvPicPr>
                          <pic:cNvPr descr="No type" id="0" name="image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Topic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190500" cy="152400"/>
                  <wp:effectExtent b="0" l="0" r="0" t="0"/>
                  <wp:docPr descr="No type" id="1" name="image2.png"/>
                  <a:graphic>
                    <a:graphicData uri="http://schemas.openxmlformats.org/drawingml/2006/picture">
                      <pic:pic>
                        <pic:nvPicPr>
                          <pic:cNvPr descr="No type" id="0" name="image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Updates - version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190500" cy="152400"/>
                  <wp:effectExtent b="0" l="0" r="0" t="0"/>
                  <wp:docPr descr="People" id="3" name="image1.png"/>
                  <a:graphic>
                    <a:graphicData uri="http://schemas.openxmlformats.org/drawingml/2006/picture">
                      <pic:pic>
                        <pic:nvPicPr>
                          <pic:cNvPr descr="People" id="0" name="image1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By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Nov 14,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Rename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Change “AccessCare” &gt; “CareBridge”</w:t>
              <w:br w:type="textWrapping"/>
              <w:t xml:space="preserve">Change “Night Relief Lab” &gt; “Nightfall FlexLab (NFL) - v2.2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hyperlink r:id="rId1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Md. Rifatur Rahman Robin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Nov 14,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Initial RFC Draft - v2.1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hyperlink r:id="rId2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Arafat Zahan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3c2oqmjqit" w:id="33"/>
      <w:bookmarkEnd w:id="3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mailto:arafat@purrfecthq.com" TargetMode="External"/><Relationship Id="rId11" Type="http://schemas.openxmlformats.org/officeDocument/2006/relationships/hyperlink" Target="mailto:universe@purrfecthq.com" TargetMode="External"/><Relationship Id="rId10" Type="http://schemas.openxmlformats.org/officeDocument/2006/relationships/hyperlink" Target="mailto:arafat@purrfecthq.com" TargetMode="External"/><Relationship Id="rId13" Type="http://schemas.openxmlformats.org/officeDocument/2006/relationships/hyperlink" Target="mailto:leadership@purrfecthq.com" TargetMode="External"/><Relationship Id="rId12" Type="http://schemas.openxmlformats.org/officeDocument/2006/relationships/hyperlink" Target="mailto:council@purrfecthq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jeorge@purrfecthq.com" TargetMode="External"/><Relationship Id="rId15" Type="http://schemas.openxmlformats.org/officeDocument/2006/relationships/hyperlink" Target="mailto:arafat@purrfecthq.com" TargetMode="External"/><Relationship Id="rId14" Type="http://schemas.openxmlformats.org/officeDocument/2006/relationships/hyperlink" Target="mailto:arafat@purrfecthq.com" TargetMode="External"/><Relationship Id="rId17" Type="http://schemas.openxmlformats.org/officeDocument/2006/relationships/image" Target="media/image2.png"/><Relationship Id="rId16" Type="http://schemas.openxmlformats.org/officeDocument/2006/relationships/hyperlink" Target="mailto:jahirul@purrfecthq.com" TargetMode="External"/><Relationship Id="rId5" Type="http://schemas.openxmlformats.org/officeDocument/2006/relationships/styles" Target="styles.xml"/><Relationship Id="rId19" Type="http://schemas.openxmlformats.org/officeDocument/2006/relationships/hyperlink" Target="mailto:robin@purrfecthq.com" TargetMode="External"/><Relationship Id="rId6" Type="http://schemas.openxmlformats.org/officeDocument/2006/relationships/hyperlink" Target="https://microsites.infra.purrfecthq.com/flextime/" TargetMode="External"/><Relationship Id="rId18" Type="http://schemas.openxmlformats.org/officeDocument/2006/relationships/image" Target="media/image1.png"/><Relationship Id="rId7" Type="http://schemas.openxmlformats.org/officeDocument/2006/relationships/hyperlink" Target="https://github.com/purrfectsoft/mm-flextime" TargetMode="External"/><Relationship Id="rId8" Type="http://schemas.openxmlformats.org/officeDocument/2006/relationships/hyperlink" Target="mailto:robin@purrfecthq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