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AB" w:rsidRDefault="00E85A50" w:rsidP="000301AB">
      <w:r w:rsidRPr="0062261F">
        <w:rPr>
          <w:b/>
          <w:noProof/>
          <w:color w:val="943634" w:themeColor="accent2" w:themeShade="BF"/>
          <w:sz w:val="36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5057775</wp:posOffset>
                </wp:positionH>
                <wp:positionV relativeFrom="paragraph">
                  <wp:posOffset>-933450</wp:posOffset>
                </wp:positionV>
                <wp:extent cx="2466975" cy="1752600"/>
                <wp:effectExtent l="19050" t="19050" r="47625" b="571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752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01AB" w:rsidRPr="001861ED" w:rsidRDefault="000301AB">
                            <w:r w:rsidRPr="001861ED">
                              <w:t xml:space="preserve">Overall               </w:t>
                            </w:r>
                            <w:r w:rsidR="00C67621">
                              <w:t xml:space="preserve">                             3.0</w:t>
                            </w:r>
                          </w:p>
                          <w:p w:rsidR="000301AB" w:rsidRPr="001861ED" w:rsidRDefault="000301AB">
                            <w:r w:rsidRPr="001861ED">
                              <w:t>Culture &amp; Va</w:t>
                            </w:r>
                            <w:r w:rsidR="00451A39">
                              <w:t>lues                           3</w:t>
                            </w:r>
                            <w:r w:rsidR="00C67621">
                              <w:t>.2</w:t>
                            </w:r>
                          </w:p>
                          <w:p w:rsidR="000301AB" w:rsidRPr="001861ED" w:rsidRDefault="000301AB">
                            <w:r w:rsidRPr="001861ED">
                              <w:t>Work/Life Bal</w:t>
                            </w:r>
                            <w:r w:rsidR="00C67621">
                              <w:t>ance                         3.9</w:t>
                            </w:r>
                          </w:p>
                          <w:p w:rsidR="000301AB" w:rsidRPr="001861ED" w:rsidRDefault="000301AB">
                            <w:r w:rsidRPr="001861ED">
                              <w:t xml:space="preserve">Senior </w:t>
                            </w:r>
                            <w:r w:rsidR="001861ED" w:rsidRPr="001861ED">
                              <w:t xml:space="preserve">Management                     </w:t>
                            </w:r>
                            <w:r w:rsidR="00C67621">
                              <w:t>2.3</w:t>
                            </w:r>
                          </w:p>
                          <w:p w:rsidR="000301AB" w:rsidRPr="001861ED" w:rsidRDefault="000301AB">
                            <w:r w:rsidRPr="001861ED">
                              <w:t>Comp &amp; Benefits</w:t>
                            </w:r>
                            <w:r w:rsidR="001861ED" w:rsidRPr="001861ED">
                              <w:t xml:space="preserve">                            </w:t>
                            </w:r>
                            <w:r w:rsidR="00C67621">
                              <w:t>2.5</w:t>
                            </w:r>
                          </w:p>
                          <w:p w:rsidR="000301AB" w:rsidRPr="001861ED" w:rsidRDefault="000301AB">
                            <w:r w:rsidRPr="001861ED">
                              <w:t>Career O</w:t>
                            </w:r>
                            <w:r w:rsidR="001861ED" w:rsidRPr="001861ED">
                              <w:t>ppo</w:t>
                            </w:r>
                            <w:r w:rsidR="00C67621">
                              <w:t>rtunities                    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25pt;margin-top:-73.5pt;width:194.2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" fillcolor="#4bacc6 [3208]" strokecolor="#f2f2f2 [3041]" strokeweight="3pt">
                <v:shadow on="t" color="#205867 [1608]" opacity=".5" offset="1pt"/>
                <v:textbox>
                  <w:txbxContent>
                    <w:p w:rsidR="000301AB" w:rsidRPr="001861ED" w:rsidRDefault="000301AB">
                      <w:r w:rsidRPr="001861ED">
                        <w:t xml:space="preserve">Overall               </w:t>
                      </w:r>
                      <w:r w:rsidR="00C67621">
                        <w:t xml:space="preserve">                             3.0</w:t>
                      </w:r>
                    </w:p>
                    <w:p w:rsidR="000301AB" w:rsidRPr="001861ED" w:rsidRDefault="000301AB">
                      <w:r w:rsidRPr="001861ED">
                        <w:t>Culture &amp; Va</w:t>
                      </w:r>
                      <w:r w:rsidR="00451A39">
                        <w:t>lues                           3</w:t>
                      </w:r>
                      <w:r w:rsidR="00C67621">
                        <w:t>.2</w:t>
                      </w:r>
                    </w:p>
                    <w:p w:rsidR="000301AB" w:rsidRPr="001861ED" w:rsidRDefault="000301AB">
                      <w:r w:rsidRPr="001861ED">
                        <w:t>Work/Life Bal</w:t>
                      </w:r>
                      <w:r w:rsidR="00C67621">
                        <w:t>ance                         3.9</w:t>
                      </w:r>
                    </w:p>
                    <w:p w:rsidR="000301AB" w:rsidRPr="001861ED" w:rsidRDefault="000301AB">
                      <w:r w:rsidRPr="001861ED">
                        <w:t xml:space="preserve">Senior </w:t>
                      </w:r>
                      <w:r w:rsidR="001861ED" w:rsidRPr="001861ED">
                        <w:t xml:space="preserve">Management                     </w:t>
                      </w:r>
                      <w:r w:rsidR="00C67621">
                        <w:t>2.3</w:t>
                      </w:r>
                    </w:p>
                    <w:p w:rsidR="000301AB" w:rsidRPr="001861ED" w:rsidRDefault="000301AB">
                      <w:r w:rsidRPr="001861ED">
                        <w:t>Comp &amp; Benefits</w:t>
                      </w:r>
                      <w:r w:rsidR="001861ED" w:rsidRPr="001861ED">
                        <w:t xml:space="preserve">                            </w:t>
                      </w:r>
                      <w:r w:rsidR="00C67621">
                        <w:t>2.5</w:t>
                      </w:r>
                    </w:p>
                    <w:p w:rsidR="000301AB" w:rsidRPr="001861ED" w:rsidRDefault="000301AB">
                      <w:r w:rsidRPr="001861ED">
                        <w:t>Career O</w:t>
                      </w:r>
                      <w:r w:rsidR="001861ED" w:rsidRPr="001861ED">
                        <w:t>ppo</w:t>
                      </w:r>
                      <w:r w:rsidR="00C67621">
                        <w:t>rtunities                    2.6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F56" w:rsidRPr="0062261F">
        <w:rPr>
          <w:b/>
          <w:sz w:val="24"/>
          <w:szCs w:val="20"/>
        </w:rPr>
        <w:t xml:space="preserve">Business Name: </w:t>
      </w:r>
      <w:r w:rsidR="00C67621">
        <w:rPr>
          <w:b/>
          <w:color w:val="0070C0"/>
          <w:sz w:val="28"/>
          <w:szCs w:val="20"/>
        </w:rPr>
        <w:t>SOPRA</w:t>
      </w:r>
    </w:p>
    <w:p w:rsidR="00E55F56" w:rsidRDefault="00E55F56" w:rsidP="00E55F56">
      <w:pPr>
        <w:rPr>
          <w:b/>
          <w:sz w:val="20"/>
          <w:szCs w:val="20"/>
        </w:rPr>
      </w:pPr>
    </w:p>
    <w:p w:rsidR="000301AB" w:rsidRDefault="000301AB" w:rsidP="00E55F56">
      <w:pPr>
        <w:rPr>
          <w:b/>
          <w:sz w:val="20"/>
          <w:szCs w:val="20"/>
        </w:rPr>
      </w:pPr>
    </w:p>
    <w:p w:rsidR="00885B5A" w:rsidRPr="00885B5A" w:rsidRDefault="00E55F56" w:rsidP="00885B5A">
      <w:pPr>
        <w:spacing w:after="0" w:line="240" w:lineRule="auto"/>
        <w:contextualSpacing/>
        <w:rPr>
          <w:rFonts w:cs="Arial"/>
          <w:color w:val="222222"/>
          <w:sz w:val="20"/>
          <w:szCs w:val="20"/>
          <w:shd w:val="clear" w:color="auto" w:fill="FFFFFF"/>
        </w:rPr>
      </w:pPr>
      <w:r w:rsidRPr="00F364C0">
        <w:rPr>
          <w:b/>
          <w:color w:val="C0504D" w:themeColor="accent2"/>
          <w:sz w:val="20"/>
          <w:szCs w:val="20"/>
        </w:rPr>
        <w:t>Company Overview:</w:t>
      </w:r>
      <w:r w:rsidRPr="00F364C0">
        <w:rPr>
          <w:b/>
          <w:sz w:val="20"/>
          <w:szCs w:val="20"/>
        </w:rPr>
        <w:t xml:space="preserve">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Steria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, a European leader in digital transformation, provides one of the most comprehensive portfolios of end-to-end service offerings on the market: consulting, systems integration, software development, infrastructure management and business process services.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Steria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is trusted by leading private and public-sector organisations to deliver successful transformation programmes that address their most complex and critical business challenges. Combining high quality and performance services, added value and innovation,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Steria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enables its clients to make the best use of digital technology. With over 38,000 employees in more than 20 countries,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>Steria</w:t>
      </w:r>
      <w:proofErr w:type="spellEnd"/>
      <w:r w:rsidR="00885B5A"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had revenue of €3.6 billion in 2015.</w:t>
      </w:r>
    </w:p>
    <w:p w:rsidR="00885B5A" w:rsidRPr="00885B5A" w:rsidRDefault="00885B5A" w:rsidP="00885B5A">
      <w:pPr>
        <w:spacing w:after="0" w:line="240" w:lineRule="auto"/>
        <w:contextualSpacing/>
        <w:rPr>
          <w:rFonts w:cs="Arial"/>
          <w:color w:val="222222"/>
          <w:sz w:val="20"/>
          <w:szCs w:val="20"/>
          <w:shd w:val="clear" w:color="auto" w:fill="FFFFFF"/>
        </w:rPr>
      </w:pPr>
    </w:p>
    <w:p w:rsidR="00885B5A" w:rsidRPr="00885B5A" w:rsidRDefault="00885B5A" w:rsidP="00885B5A">
      <w:pPr>
        <w:spacing w:after="0" w:line="240" w:lineRule="auto"/>
        <w:contextualSpacing/>
        <w:rPr>
          <w:rFonts w:cs="Arial"/>
          <w:color w:val="222222"/>
          <w:sz w:val="20"/>
          <w:szCs w:val="20"/>
          <w:shd w:val="clear" w:color="auto" w:fill="FFFFFF"/>
        </w:rPr>
      </w:pPr>
      <w:r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India is an Integral part of </w:t>
      </w:r>
      <w:proofErr w:type="spellStart"/>
      <w:r w:rsidRPr="00885B5A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85B5A">
        <w:rPr>
          <w:rFonts w:cs="Arial"/>
          <w:color w:val="222222"/>
          <w:sz w:val="20"/>
          <w:szCs w:val="20"/>
          <w:shd w:val="clear" w:color="auto" w:fill="FFFFFF"/>
        </w:rPr>
        <w:t>Steria’s</w:t>
      </w:r>
      <w:proofErr w:type="spellEnd"/>
      <w:r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global business strategy. We have a strong local presence in India with more than 5,000 people working across 4 delivery </w:t>
      </w:r>
      <w:proofErr w:type="spellStart"/>
      <w:r w:rsidRPr="00885B5A">
        <w:rPr>
          <w:rFonts w:cs="Arial"/>
          <w:color w:val="222222"/>
          <w:sz w:val="20"/>
          <w:szCs w:val="20"/>
          <w:shd w:val="clear" w:color="auto" w:fill="FFFFFF"/>
        </w:rPr>
        <w:t>centers</w:t>
      </w:r>
      <w:proofErr w:type="spellEnd"/>
      <w:r w:rsidRPr="00885B5A">
        <w:rPr>
          <w:rFonts w:cs="Arial"/>
          <w:color w:val="222222"/>
          <w:sz w:val="20"/>
          <w:szCs w:val="20"/>
          <w:shd w:val="clear" w:color="auto" w:fill="FFFFFF"/>
        </w:rPr>
        <w:t>: Noida, Bangalore, Chennai and Pune.</w:t>
      </w:r>
    </w:p>
    <w:p w:rsidR="00885B5A" w:rsidRPr="00885B5A" w:rsidRDefault="00885B5A" w:rsidP="00885B5A">
      <w:pPr>
        <w:spacing w:after="0" w:line="240" w:lineRule="auto"/>
        <w:contextualSpacing/>
        <w:rPr>
          <w:rFonts w:cs="Arial"/>
          <w:color w:val="222222"/>
          <w:sz w:val="20"/>
          <w:szCs w:val="20"/>
          <w:shd w:val="clear" w:color="auto" w:fill="FFFFFF"/>
        </w:rPr>
      </w:pPr>
    </w:p>
    <w:p w:rsidR="00AF1964" w:rsidRPr="00F364C0" w:rsidRDefault="00885B5A" w:rsidP="00885B5A">
      <w:pPr>
        <w:spacing w:after="0" w:line="240" w:lineRule="auto"/>
        <w:contextualSpacing/>
        <w:rPr>
          <w:rFonts w:cs="Arial"/>
          <w:color w:val="222222"/>
          <w:sz w:val="20"/>
          <w:szCs w:val="20"/>
          <w:shd w:val="clear" w:color="auto" w:fill="FFFFFF"/>
        </w:rPr>
      </w:pPr>
      <w:r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The India operation serves more than 70 customers, including 8 of the Group’s top 10 clients. </w:t>
      </w:r>
      <w:proofErr w:type="spellStart"/>
      <w:r w:rsidRPr="00885B5A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85B5A">
        <w:rPr>
          <w:rFonts w:cs="Arial"/>
          <w:color w:val="222222"/>
          <w:sz w:val="20"/>
          <w:szCs w:val="20"/>
          <w:shd w:val="clear" w:color="auto" w:fill="FFFFFF"/>
        </w:rPr>
        <w:t>Steria</w:t>
      </w:r>
      <w:proofErr w:type="spellEnd"/>
      <w:r w:rsidRPr="00885B5A">
        <w:rPr>
          <w:rFonts w:cs="Arial"/>
          <w:color w:val="222222"/>
          <w:sz w:val="20"/>
          <w:szCs w:val="20"/>
          <w:shd w:val="clear" w:color="auto" w:fill="FFFFFF"/>
        </w:rPr>
        <w:t xml:space="preserve"> India’s proven offshore capabilities ensure superior value to its customers in terms of cost advantage, quality, speedy delivery and enhanced flexibility. In India, we offer a full spectrum of business solutions across a wide range of Industries to help solve customer’s complex industry challenges.</w:t>
      </w:r>
    </w:p>
    <w:p w:rsidR="00C67621" w:rsidRDefault="00C67621" w:rsidP="00C6762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C67621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  <w:lang w:eastAsia="en-US"/>
        </w:rPr>
        <w:t>Three complementary business lines:</w:t>
      </w:r>
      <w:r>
        <w:rPr>
          <w:rFonts w:ascii="Arial" w:hAnsi="Arial" w:cs="Arial"/>
          <w:color w:val="252525"/>
          <w:sz w:val="21"/>
          <w:szCs w:val="21"/>
          <w:lang w:val="en-US"/>
        </w:rPr>
        <w:t xml:space="preserve"> </w:t>
      </w:r>
    </w:p>
    <w:p w:rsidR="00C67621" w:rsidRPr="00C67621" w:rsidRDefault="00C67621" w:rsidP="00140FC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Consulting (</w:t>
      </w:r>
      <w:proofErr w:type="spellStart"/>
      <w:r w:rsidRPr="00C67621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Pr="00C67621">
        <w:rPr>
          <w:rFonts w:cs="Arial"/>
          <w:color w:val="222222"/>
          <w:sz w:val="20"/>
          <w:szCs w:val="20"/>
          <w:shd w:val="clear" w:color="auto" w:fill="FFFFFF"/>
        </w:rPr>
        <w:t xml:space="preserve"> Consulting) Management and Technology</w:t>
      </w:r>
    </w:p>
    <w:p w:rsidR="00C67621" w:rsidRPr="00C67621" w:rsidRDefault="00C67621" w:rsidP="00140FC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Systems and solutions integration</w:t>
      </w:r>
    </w:p>
    <w:p w:rsidR="00C67621" w:rsidRPr="00C67621" w:rsidRDefault="00C67621" w:rsidP="00140FC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Software publishing in the following field :</w:t>
      </w:r>
    </w:p>
    <w:p w:rsidR="00C67621" w:rsidRPr="00C67621" w:rsidRDefault="00C67621" w:rsidP="00140FC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768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 xml:space="preserve">Human resources (HR Access and </w:t>
      </w:r>
      <w:proofErr w:type="spellStart"/>
      <w:r w:rsidRPr="00C67621">
        <w:rPr>
          <w:rFonts w:cs="Arial"/>
          <w:color w:val="222222"/>
          <w:sz w:val="20"/>
          <w:szCs w:val="20"/>
          <w:shd w:val="clear" w:color="auto" w:fill="FFFFFF"/>
        </w:rPr>
        <w:t>Pléiades</w:t>
      </w:r>
      <w:proofErr w:type="spellEnd"/>
      <w:r w:rsidRPr="00C67621">
        <w:rPr>
          <w:rFonts w:cs="Arial"/>
          <w:color w:val="222222"/>
          <w:sz w:val="20"/>
          <w:szCs w:val="20"/>
          <w:shd w:val="clear" w:color="auto" w:fill="FFFFFF"/>
        </w:rPr>
        <w:t xml:space="preserve"> offering)</w:t>
      </w:r>
    </w:p>
    <w:p w:rsidR="00C67621" w:rsidRPr="00C67621" w:rsidRDefault="00C67621" w:rsidP="00140FC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768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Real estate management (</w:t>
      </w:r>
      <w:proofErr w:type="spellStart"/>
      <w:r w:rsidRPr="00C67621">
        <w:rPr>
          <w:rFonts w:cs="Arial"/>
          <w:color w:val="222222"/>
          <w:sz w:val="20"/>
          <w:szCs w:val="20"/>
          <w:shd w:val="clear" w:color="auto" w:fill="FFFFFF"/>
        </w:rPr>
        <w:t>Ulis</w:t>
      </w:r>
      <w:proofErr w:type="spellEnd"/>
      <w:r w:rsidRPr="00C67621">
        <w:rPr>
          <w:rFonts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C67621">
        <w:rPr>
          <w:rFonts w:cs="Arial"/>
          <w:color w:val="222222"/>
          <w:sz w:val="20"/>
          <w:szCs w:val="20"/>
          <w:shd w:val="clear" w:color="auto" w:fill="FFFFFF"/>
        </w:rPr>
        <w:t>Ikos</w:t>
      </w:r>
      <w:proofErr w:type="spellEnd"/>
      <w:r w:rsidRPr="00C67621">
        <w:rPr>
          <w:rFonts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C67621">
        <w:rPr>
          <w:rFonts w:cs="Arial"/>
          <w:color w:val="222222"/>
          <w:sz w:val="20"/>
          <w:szCs w:val="20"/>
          <w:shd w:val="clear" w:color="auto" w:fill="FFFFFF"/>
        </w:rPr>
        <w:t>Altaïx</w:t>
      </w:r>
      <w:proofErr w:type="spellEnd"/>
      <w:r w:rsidRPr="00C67621">
        <w:rPr>
          <w:rFonts w:cs="Arial"/>
          <w:color w:val="222222"/>
          <w:sz w:val="20"/>
          <w:szCs w:val="20"/>
          <w:shd w:val="clear" w:color="auto" w:fill="FFFFFF"/>
        </w:rPr>
        <w:t xml:space="preserve"> offerings)</w:t>
      </w:r>
    </w:p>
    <w:p w:rsidR="00C67621" w:rsidRPr="00C67621" w:rsidRDefault="00C67621" w:rsidP="00C6762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  <w:lang w:eastAsia="en-US"/>
        </w:rPr>
      </w:pPr>
      <w:proofErr w:type="spellStart"/>
      <w:r w:rsidRPr="00C67621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  <w:lang w:eastAsia="en-US"/>
        </w:rPr>
        <w:t>Sopra</w:t>
      </w:r>
      <w:proofErr w:type="spellEnd"/>
      <w:r w:rsidRPr="00C67621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  <w:lang w:eastAsia="en-US"/>
        </w:rPr>
        <w:t xml:space="preserve"> is focused on the following business </w:t>
      </w:r>
      <w:proofErr w:type="gramStart"/>
      <w:r w:rsidRPr="00C67621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  <w:lang w:eastAsia="en-US"/>
        </w:rPr>
        <w:t>sectors :</w:t>
      </w:r>
      <w:proofErr w:type="gramEnd"/>
    </w:p>
    <w:p w:rsidR="00C67621" w:rsidRPr="00C67621" w:rsidRDefault="00C67621" w:rsidP="00140FC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9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Financial services</w:t>
      </w:r>
    </w:p>
    <w:p w:rsidR="00C67621" w:rsidRPr="00C67621" w:rsidRDefault="00C67621" w:rsidP="00140FC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9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Services, transportation and utilities</w:t>
      </w:r>
    </w:p>
    <w:p w:rsidR="00C67621" w:rsidRPr="00C67621" w:rsidRDefault="00C67621" w:rsidP="00140FC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9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Public sector</w:t>
      </w:r>
      <w:bookmarkStart w:id="0" w:name="_GoBack"/>
      <w:bookmarkEnd w:id="0"/>
    </w:p>
    <w:p w:rsidR="00C67621" w:rsidRPr="00C67621" w:rsidRDefault="00C67621" w:rsidP="00140FC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9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Industry</w:t>
      </w:r>
    </w:p>
    <w:p w:rsidR="00C67621" w:rsidRPr="00C67621" w:rsidRDefault="00C67621" w:rsidP="00140FC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9"/>
        <w:rPr>
          <w:rFonts w:cs="Arial"/>
          <w:color w:val="222222"/>
          <w:sz w:val="20"/>
          <w:szCs w:val="20"/>
          <w:shd w:val="clear" w:color="auto" w:fill="FFFFFF"/>
        </w:rPr>
      </w:pPr>
      <w:r w:rsidRPr="00C67621">
        <w:rPr>
          <w:rFonts w:cs="Arial"/>
          <w:color w:val="222222"/>
          <w:sz w:val="20"/>
          <w:szCs w:val="20"/>
          <w:shd w:val="clear" w:color="auto" w:fill="FFFFFF"/>
        </w:rPr>
        <w:t>Telecom and media</w:t>
      </w:r>
    </w:p>
    <w:p w:rsidR="00140FCB" w:rsidRDefault="00140FCB" w:rsidP="00140FC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9"/>
        <w:rPr>
          <w:rFonts w:cs="Arial"/>
          <w:color w:val="222222"/>
          <w:sz w:val="20"/>
          <w:szCs w:val="20"/>
          <w:shd w:val="clear" w:color="auto" w:fill="FFFFFF"/>
        </w:rPr>
      </w:pPr>
      <w:r w:rsidRPr="00140FCB">
        <w:rPr>
          <w:rFonts w:cs="Arial"/>
          <w:color w:val="222222"/>
          <w:sz w:val="20"/>
          <w:szCs w:val="20"/>
          <w:shd w:val="clear" w:color="auto" w:fill="FFFFFF"/>
        </w:rPr>
        <w:t>Retai</w:t>
      </w:r>
      <w:r>
        <w:rPr>
          <w:rFonts w:cs="Arial"/>
          <w:color w:val="222222"/>
          <w:sz w:val="20"/>
          <w:szCs w:val="20"/>
          <w:shd w:val="clear" w:color="auto" w:fill="FFFFFF"/>
        </w:rPr>
        <w:t>l</w:t>
      </w:r>
    </w:p>
    <w:p w:rsidR="00181332" w:rsidRDefault="00181332" w:rsidP="00140FCB">
      <w:pPr>
        <w:shd w:val="clear" w:color="auto" w:fill="FFFFFF"/>
        <w:spacing w:before="100" w:beforeAutospacing="1" w:after="24" w:line="336" w:lineRule="atLeast"/>
        <w:rPr>
          <w:rFonts w:cs="Arial"/>
          <w:color w:val="222222"/>
          <w:sz w:val="20"/>
          <w:szCs w:val="20"/>
          <w:shd w:val="clear" w:color="auto" w:fill="FFFFFF"/>
        </w:rPr>
      </w:pPr>
      <w:r w:rsidRPr="00140FCB">
        <w:rPr>
          <w:b/>
          <w:color w:val="F79646" w:themeColor="accent6"/>
          <w:sz w:val="20"/>
          <w:szCs w:val="20"/>
        </w:rPr>
        <w:t xml:space="preserve">Corporate </w:t>
      </w:r>
      <w:r w:rsidR="00E55F56" w:rsidRPr="00140FCB">
        <w:rPr>
          <w:b/>
          <w:color w:val="F79646" w:themeColor="accent6"/>
          <w:sz w:val="20"/>
          <w:szCs w:val="20"/>
        </w:rPr>
        <w:t>Headquarter</w:t>
      </w:r>
      <w:r w:rsidR="00E55F56" w:rsidRPr="00140FCB">
        <w:rPr>
          <w:b/>
          <w:sz w:val="20"/>
          <w:szCs w:val="20"/>
        </w:rPr>
        <w:t>:</w:t>
      </w:r>
      <w:r w:rsidR="0062261F" w:rsidRPr="00140FCB">
        <w:rPr>
          <w:b/>
          <w:sz w:val="20"/>
          <w:szCs w:val="20"/>
        </w:rPr>
        <w:t xml:space="preserve"> </w:t>
      </w:r>
      <w:r w:rsidR="00C67621" w:rsidRPr="00140FCB">
        <w:rPr>
          <w:rFonts w:cs="Arial"/>
          <w:color w:val="222222"/>
          <w:sz w:val="20"/>
          <w:szCs w:val="20"/>
          <w:shd w:val="clear" w:color="auto" w:fill="FFFFFF"/>
        </w:rPr>
        <w:t>Paris, France</w:t>
      </w:r>
    </w:p>
    <w:p w:rsidR="00AF1964" w:rsidRPr="00F364C0" w:rsidRDefault="00AF1964" w:rsidP="00E55F56">
      <w:pPr>
        <w:rPr>
          <w:rFonts w:cs="Arial"/>
          <w:color w:val="222222"/>
          <w:sz w:val="20"/>
          <w:szCs w:val="20"/>
          <w:shd w:val="clear" w:color="auto" w:fill="FFFFFF"/>
        </w:rPr>
      </w:pPr>
      <w:r w:rsidRPr="00F364C0">
        <w:rPr>
          <w:b/>
          <w:color w:val="8064A2" w:themeColor="accent4"/>
          <w:sz w:val="20"/>
          <w:szCs w:val="20"/>
        </w:rPr>
        <w:t>Revenue:</w:t>
      </w:r>
      <w:r w:rsidRPr="00F364C0">
        <w:rPr>
          <w:rFonts w:cs="Arial"/>
          <w:color w:val="8064A2" w:themeColor="accent4"/>
          <w:shd w:val="clear" w:color="auto" w:fill="F5F5F5"/>
        </w:rPr>
        <w:t xml:space="preserve"> </w:t>
      </w:r>
      <w:r w:rsidR="00C67621" w:rsidRPr="00C67621">
        <w:rPr>
          <w:rFonts w:cs="Arial"/>
          <w:color w:val="222222"/>
          <w:sz w:val="20"/>
          <w:szCs w:val="20"/>
          <w:shd w:val="clear" w:color="auto" w:fill="FFFFFF"/>
        </w:rPr>
        <w:t>3.6 billion EUR</w:t>
      </w:r>
    </w:p>
    <w:p w:rsidR="00BA6234" w:rsidRPr="00F364C0" w:rsidRDefault="00E55F56" w:rsidP="00E55F56">
      <w:pPr>
        <w:shd w:val="clear" w:color="auto" w:fill="FFFFFF"/>
        <w:spacing w:after="0" w:line="242" w:lineRule="atLeast"/>
        <w:rPr>
          <w:rFonts w:eastAsia="Times New Roman" w:cs="Arial"/>
          <w:b/>
          <w:bCs/>
          <w:color w:val="222222"/>
          <w:sz w:val="20"/>
          <w:szCs w:val="20"/>
          <w:lang w:eastAsia="en-IN"/>
        </w:rPr>
      </w:pPr>
      <w:r w:rsidRPr="00F364C0">
        <w:rPr>
          <w:rFonts w:eastAsia="Times New Roman" w:cs="Arial"/>
          <w:b/>
          <w:color w:val="00B050"/>
          <w:sz w:val="20"/>
          <w:szCs w:val="20"/>
          <w:lang w:eastAsia="en-IN"/>
        </w:rPr>
        <w:t>Local Address</w:t>
      </w:r>
      <w:r w:rsidRPr="00F364C0">
        <w:rPr>
          <w:rFonts w:eastAsia="Times New Roman" w:cs="Arial"/>
          <w:b/>
          <w:color w:val="222222"/>
          <w:sz w:val="20"/>
          <w:szCs w:val="20"/>
          <w:lang w:eastAsia="en-IN"/>
        </w:rPr>
        <w:t>:</w:t>
      </w:r>
      <w:r w:rsidR="00BA6234" w:rsidRPr="00F364C0">
        <w:rPr>
          <w:rFonts w:eastAsia="Times New Roman" w:cs="Arial"/>
          <w:b/>
          <w:color w:val="222222"/>
          <w:sz w:val="20"/>
          <w:szCs w:val="20"/>
          <w:lang w:eastAsia="en-IN"/>
        </w:rPr>
        <w:t xml:space="preserve"> </w:t>
      </w:r>
      <w:r w:rsidR="00C67621" w:rsidRPr="00140FCB">
        <w:rPr>
          <w:rFonts w:cs="Arial"/>
          <w:color w:val="222222"/>
          <w:sz w:val="20"/>
          <w:szCs w:val="20"/>
          <w:shd w:val="clear" w:color="auto" w:fill="FFFFFF"/>
        </w:rPr>
        <w:t>Site-2, A-112, Sector 65, Noida, Uttar Pradesh 201301</w:t>
      </w:r>
      <w:r w:rsidR="00C67621" w:rsidRPr="00140FCB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="00BA6234" w:rsidRPr="00F364C0">
        <w:rPr>
          <w:rFonts w:cs="Tahoma"/>
          <w:color w:val="000000"/>
          <w:sz w:val="18"/>
          <w:szCs w:val="18"/>
        </w:rPr>
        <w:br/>
      </w:r>
    </w:p>
    <w:p w:rsidR="00E55F56" w:rsidRPr="00F364C0" w:rsidRDefault="00E55F56" w:rsidP="00BA6234">
      <w:pPr>
        <w:shd w:val="clear" w:color="auto" w:fill="FFFFFF"/>
        <w:spacing w:after="0" w:line="242" w:lineRule="atLeast"/>
        <w:rPr>
          <w:rFonts w:cs="Tahoma"/>
          <w:color w:val="000000"/>
          <w:sz w:val="18"/>
          <w:szCs w:val="18"/>
          <w:shd w:val="clear" w:color="auto" w:fill="FFFFFF"/>
        </w:rPr>
      </w:pPr>
      <w:r w:rsidRPr="00F364C0">
        <w:rPr>
          <w:rFonts w:eastAsia="Times New Roman" w:cs="Arial"/>
          <w:b/>
          <w:bCs/>
          <w:color w:val="215868" w:themeColor="accent5" w:themeShade="80"/>
          <w:sz w:val="20"/>
          <w:szCs w:val="20"/>
          <w:lang w:eastAsia="en-IN"/>
        </w:rPr>
        <w:t>Phone:</w:t>
      </w:r>
      <w:r w:rsidRPr="00F364C0">
        <w:rPr>
          <w:rFonts w:eastAsia="Times New Roman" w:cs="Arial"/>
          <w:b/>
          <w:bCs/>
          <w:color w:val="222222"/>
          <w:sz w:val="20"/>
          <w:szCs w:val="20"/>
          <w:lang w:eastAsia="en-IN"/>
        </w:rPr>
        <w:t xml:space="preserve"> </w:t>
      </w:r>
      <w:r w:rsidR="00C67621" w:rsidRPr="00C67621">
        <w:rPr>
          <w:color w:val="242424"/>
          <w:sz w:val="21"/>
          <w:szCs w:val="21"/>
        </w:rPr>
        <w:t>0120 666 0505</w:t>
      </w:r>
    </w:p>
    <w:p w:rsidR="00BA6234" w:rsidRPr="00F364C0" w:rsidRDefault="00BA6234" w:rsidP="00BA6234">
      <w:pPr>
        <w:shd w:val="clear" w:color="auto" w:fill="FFFFFF"/>
        <w:spacing w:after="0" w:line="242" w:lineRule="atLeast"/>
        <w:rPr>
          <w:b/>
          <w:sz w:val="20"/>
          <w:szCs w:val="20"/>
        </w:rPr>
      </w:pPr>
    </w:p>
    <w:p w:rsidR="00451A39" w:rsidRPr="00F364C0" w:rsidRDefault="0062261F" w:rsidP="0062261F">
      <w:pPr>
        <w:rPr>
          <w:rFonts w:cs="Helvetica"/>
          <w:color w:val="666666"/>
          <w:sz w:val="21"/>
          <w:szCs w:val="21"/>
          <w:shd w:val="clear" w:color="auto" w:fill="FFFFFF"/>
        </w:rPr>
      </w:pPr>
      <w:r w:rsidRPr="00F364C0">
        <w:rPr>
          <w:b/>
          <w:color w:val="00B0F0"/>
          <w:sz w:val="20"/>
          <w:szCs w:val="20"/>
        </w:rPr>
        <w:t>CEO:</w:t>
      </w:r>
      <w:r w:rsidRPr="00F364C0">
        <w:rPr>
          <w:b/>
          <w:sz w:val="20"/>
          <w:szCs w:val="20"/>
        </w:rPr>
        <w:t xml:space="preserve"> </w:t>
      </w:r>
      <w:r w:rsidR="00C67621">
        <w:rPr>
          <w:rFonts w:cs="Arial"/>
          <w:color w:val="222222"/>
          <w:sz w:val="20"/>
          <w:szCs w:val="20"/>
          <w:shd w:val="clear" w:color="auto" w:fill="FFFFFF"/>
        </w:rPr>
        <w:t>Vincent Paris</w:t>
      </w:r>
    </w:p>
    <w:p w:rsidR="00AF1964" w:rsidRPr="00F364C0" w:rsidRDefault="00882360" w:rsidP="00AF1964">
      <w:pPr>
        <w:rPr>
          <w:b/>
          <w:color w:val="00B050"/>
          <w:sz w:val="20"/>
          <w:szCs w:val="20"/>
        </w:rPr>
      </w:pPr>
      <w:r w:rsidRPr="00F364C0">
        <w:rPr>
          <w:b/>
          <w:color w:val="00B050"/>
          <w:sz w:val="20"/>
          <w:szCs w:val="20"/>
        </w:rPr>
        <w:t xml:space="preserve">News: </w:t>
      </w:r>
    </w:p>
    <w:p w:rsidR="00140FCB" w:rsidRDefault="00140FCB" w:rsidP="0062261F">
      <w:pPr>
        <w:pStyle w:val="ListParagraph"/>
        <w:numPr>
          <w:ilvl w:val="0"/>
          <w:numId w:val="1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140FCB">
        <w:rPr>
          <w:rFonts w:cs="Arial"/>
          <w:color w:val="222222"/>
          <w:sz w:val="20"/>
          <w:szCs w:val="20"/>
          <w:shd w:val="clear" w:color="auto" w:fill="FFFFFF"/>
        </w:rPr>
        <w:t>Combined General Meeting to be held on 22 June 2016</w:t>
      </w:r>
    </w:p>
    <w:p w:rsidR="0062261F" w:rsidRPr="00140FCB" w:rsidRDefault="00140FCB" w:rsidP="0062261F">
      <w:pPr>
        <w:pStyle w:val="ListParagraph"/>
        <w:numPr>
          <w:ilvl w:val="0"/>
          <w:numId w:val="1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140FCB">
        <w:rPr>
          <w:rFonts w:cs="Arial"/>
          <w:color w:val="222222"/>
          <w:sz w:val="20"/>
          <w:szCs w:val="20"/>
          <w:shd w:val="clear" w:color="auto" w:fill="FFFFFF"/>
        </w:rPr>
        <w:t xml:space="preserve">BPCE International HCMC Branch has chosen to implement the </w:t>
      </w:r>
      <w:proofErr w:type="spellStart"/>
      <w:r w:rsidRPr="00140FCB">
        <w:rPr>
          <w:rFonts w:cs="Arial"/>
          <w:color w:val="222222"/>
          <w:sz w:val="20"/>
          <w:szCs w:val="20"/>
          <w:shd w:val="clear" w:color="auto" w:fill="FFFFFF"/>
        </w:rPr>
        <w:t>Sopra</w:t>
      </w:r>
      <w:proofErr w:type="spellEnd"/>
      <w:r w:rsidRPr="00140FCB">
        <w:rPr>
          <w:rFonts w:cs="Arial"/>
          <w:color w:val="222222"/>
          <w:sz w:val="20"/>
          <w:szCs w:val="20"/>
          <w:shd w:val="clear" w:color="auto" w:fill="FFFFFF"/>
        </w:rPr>
        <w:t xml:space="preserve"> Banking Amplitude solution, as part of its program to standardise IT systems used by BPCE Group’s international subsidiaries.</w:t>
      </w:r>
    </w:p>
    <w:sectPr w:rsidR="0062261F" w:rsidRPr="00140FCB" w:rsidSect="0004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C50" w:rsidRDefault="00AD3C50" w:rsidP="000301AB">
      <w:pPr>
        <w:spacing w:after="0" w:line="240" w:lineRule="auto"/>
      </w:pPr>
      <w:r>
        <w:separator/>
      </w:r>
    </w:p>
  </w:endnote>
  <w:endnote w:type="continuationSeparator" w:id="0">
    <w:p w:rsidR="00AD3C50" w:rsidRDefault="00AD3C50" w:rsidP="0003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C50" w:rsidRDefault="00AD3C50" w:rsidP="000301AB">
      <w:pPr>
        <w:spacing w:after="0" w:line="240" w:lineRule="auto"/>
      </w:pPr>
      <w:r>
        <w:separator/>
      </w:r>
    </w:p>
  </w:footnote>
  <w:footnote w:type="continuationSeparator" w:id="0">
    <w:p w:rsidR="00AD3C50" w:rsidRDefault="00AD3C50" w:rsidP="00030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32AB"/>
    <w:multiLevelType w:val="hybridMultilevel"/>
    <w:tmpl w:val="FDBCA7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8E2"/>
    <w:multiLevelType w:val="multilevel"/>
    <w:tmpl w:val="7EE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A35189"/>
    <w:multiLevelType w:val="multilevel"/>
    <w:tmpl w:val="78A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D1B93"/>
    <w:multiLevelType w:val="hybridMultilevel"/>
    <w:tmpl w:val="F90E3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20286"/>
    <w:multiLevelType w:val="hybridMultilevel"/>
    <w:tmpl w:val="44CE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56"/>
    <w:rsid w:val="000034C1"/>
    <w:rsid w:val="00023A4F"/>
    <w:rsid w:val="00027421"/>
    <w:rsid w:val="000301AB"/>
    <w:rsid w:val="00030B46"/>
    <w:rsid w:val="000361F4"/>
    <w:rsid w:val="00053422"/>
    <w:rsid w:val="00060CE4"/>
    <w:rsid w:val="00076CA4"/>
    <w:rsid w:val="000841CB"/>
    <w:rsid w:val="0008750D"/>
    <w:rsid w:val="00087986"/>
    <w:rsid w:val="0009186F"/>
    <w:rsid w:val="000948AA"/>
    <w:rsid w:val="000A6E3F"/>
    <w:rsid w:val="000B5631"/>
    <w:rsid w:val="000E5F24"/>
    <w:rsid w:val="00106E43"/>
    <w:rsid w:val="0011055E"/>
    <w:rsid w:val="001149D0"/>
    <w:rsid w:val="001224C0"/>
    <w:rsid w:val="00125CAD"/>
    <w:rsid w:val="00137589"/>
    <w:rsid w:val="00140FCB"/>
    <w:rsid w:val="00145ADA"/>
    <w:rsid w:val="00153BBA"/>
    <w:rsid w:val="00153E6D"/>
    <w:rsid w:val="00167692"/>
    <w:rsid w:val="00175BA8"/>
    <w:rsid w:val="00181332"/>
    <w:rsid w:val="001861ED"/>
    <w:rsid w:val="00196386"/>
    <w:rsid w:val="001B7CBF"/>
    <w:rsid w:val="001C3DF7"/>
    <w:rsid w:val="001C5427"/>
    <w:rsid w:val="001F18DA"/>
    <w:rsid w:val="00214778"/>
    <w:rsid w:val="002207C2"/>
    <w:rsid w:val="00223B22"/>
    <w:rsid w:val="00230FFB"/>
    <w:rsid w:val="00265643"/>
    <w:rsid w:val="002A32BC"/>
    <w:rsid w:val="002B46A2"/>
    <w:rsid w:val="002C6255"/>
    <w:rsid w:val="002D6DF0"/>
    <w:rsid w:val="002E067E"/>
    <w:rsid w:val="002F682B"/>
    <w:rsid w:val="00302CA1"/>
    <w:rsid w:val="0030369B"/>
    <w:rsid w:val="0032230E"/>
    <w:rsid w:val="00324AF6"/>
    <w:rsid w:val="00337636"/>
    <w:rsid w:val="0034104B"/>
    <w:rsid w:val="00360EF6"/>
    <w:rsid w:val="003A1B84"/>
    <w:rsid w:val="003A3625"/>
    <w:rsid w:val="003A6EB8"/>
    <w:rsid w:val="003B5E7E"/>
    <w:rsid w:val="003E45BF"/>
    <w:rsid w:val="003F3C5A"/>
    <w:rsid w:val="003F4CD6"/>
    <w:rsid w:val="004125BA"/>
    <w:rsid w:val="00435EAE"/>
    <w:rsid w:val="00440470"/>
    <w:rsid w:val="00446E2E"/>
    <w:rsid w:val="00450885"/>
    <w:rsid w:val="00451A39"/>
    <w:rsid w:val="00454960"/>
    <w:rsid w:val="00464208"/>
    <w:rsid w:val="004666CA"/>
    <w:rsid w:val="004A1831"/>
    <w:rsid w:val="004A377D"/>
    <w:rsid w:val="004A6811"/>
    <w:rsid w:val="004A69B9"/>
    <w:rsid w:val="004A77B5"/>
    <w:rsid w:val="004C1A0C"/>
    <w:rsid w:val="004D10FC"/>
    <w:rsid w:val="004E1511"/>
    <w:rsid w:val="004F2AE2"/>
    <w:rsid w:val="004F39D3"/>
    <w:rsid w:val="004F5DBE"/>
    <w:rsid w:val="00503B68"/>
    <w:rsid w:val="00534D6F"/>
    <w:rsid w:val="0056778D"/>
    <w:rsid w:val="00591B8D"/>
    <w:rsid w:val="005A2592"/>
    <w:rsid w:val="005C37E1"/>
    <w:rsid w:val="005D52D4"/>
    <w:rsid w:val="005D7E32"/>
    <w:rsid w:val="005E5886"/>
    <w:rsid w:val="005F4624"/>
    <w:rsid w:val="006034D7"/>
    <w:rsid w:val="0061768F"/>
    <w:rsid w:val="0062261F"/>
    <w:rsid w:val="006353F9"/>
    <w:rsid w:val="006455BB"/>
    <w:rsid w:val="006549E5"/>
    <w:rsid w:val="006608BB"/>
    <w:rsid w:val="00660AFD"/>
    <w:rsid w:val="00661DAC"/>
    <w:rsid w:val="00664C35"/>
    <w:rsid w:val="006806FD"/>
    <w:rsid w:val="00692EE8"/>
    <w:rsid w:val="006A1273"/>
    <w:rsid w:val="006D7D23"/>
    <w:rsid w:val="006E6FB4"/>
    <w:rsid w:val="00710BD3"/>
    <w:rsid w:val="0071194F"/>
    <w:rsid w:val="00715494"/>
    <w:rsid w:val="00715734"/>
    <w:rsid w:val="00736799"/>
    <w:rsid w:val="00764B1E"/>
    <w:rsid w:val="007759FE"/>
    <w:rsid w:val="00777317"/>
    <w:rsid w:val="007A2A71"/>
    <w:rsid w:val="007A2F53"/>
    <w:rsid w:val="007A59D9"/>
    <w:rsid w:val="007A6135"/>
    <w:rsid w:val="007B07EC"/>
    <w:rsid w:val="007B2316"/>
    <w:rsid w:val="007B5DF5"/>
    <w:rsid w:val="007C11E1"/>
    <w:rsid w:val="007C1D86"/>
    <w:rsid w:val="007E7B9C"/>
    <w:rsid w:val="00823F64"/>
    <w:rsid w:val="00840A00"/>
    <w:rsid w:val="00841E70"/>
    <w:rsid w:val="0085599C"/>
    <w:rsid w:val="00865526"/>
    <w:rsid w:val="00882360"/>
    <w:rsid w:val="00885B5A"/>
    <w:rsid w:val="00886CF7"/>
    <w:rsid w:val="00894AB7"/>
    <w:rsid w:val="008A3F8B"/>
    <w:rsid w:val="008B2184"/>
    <w:rsid w:val="008B2F1C"/>
    <w:rsid w:val="008B55D8"/>
    <w:rsid w:val="008C4506"/>
    <w:rsid w:val="008D7A1F"/>
    <w:rsid w:val="00903C50"/>
    <w:rsid w:val="009048D3"/>
    <w:rsid w:val="00926862"/>
    <w:rsid w:val="00935908"/>
    <w:rsid w:val="00944F23"/>
    <w:rsid w:val="00951505"/>
    <w:rsid w:val="00953267"/>
    <w:rsid w:val="00987D38"/>
    <w:rsid w:val="00993210"/>
    <w:rsid w:val="009A6874"/>
    <w:rsid w:val="009A6C29"/>
    <w:rsid w:val="009B25A2"/>
    <w:rsid w:val="009B4179"/>
    <w:rsid w:val="009D33B5"/>
    <w:rsid w:val="009F27C5"/>
    <w:rsid w:val="009F5E16"/>
    <w:rsid w:val="00A13A51"/>
    <w:rsid w:val="00A30631"/>
    <w:rsid w:val="00A33F99"/>
    <w:rsid w:val="00A356A5"/>
    <w:rsid w:val="00A376E6"/>
    <w:rsid w:val="00A423F8"/>
    <w:rsid w:val="00A46893"/>
    <w:rsid w:val="00A55213"/>
    <w:rsid w:val="00A62957"/>
    <w:rsid w:val="00AA15CA"/>
    <w:rsid w:val="00AA5EA9"/>
    <w:rsid w:val="00AA6B7A"/>
    <w:rsid w:val="00AB11CB"/>
    <w:rsid w:val="00AD3C50"/>
    <w:rsid w:val="00AD5F2F"/>
    <w:rsid w:val="00AF1964"/>
    <w:rsid w:val="00AF1DAF"/>
    <w:rsid w:val="00B25E67"/>
    <w:rsid w:val="00B34195"/>
    <w:rsid w:val="00B46359"/>
    <w:rsid w:val="00B54EEE"/>
    <w:rsid w:val="00B90DCD"/>
    <w:rsid w:val="00BA6234"/>
    <w:rsid w:val="00BB4D05"/>
    <w:rsid w:val="00BB707C"/>
    <w:rsid w:val="00BC7738"/>
    <w:rsid w:val="00BD2F47"/>
    <w:rsid w:val="00BD5697"/>
    <w:rsid w:val="00BE1051"/>
    <w:rsid w:val="00BE47AF"/>
    <w:rsid w:val="00C019A3"/>
    <w:rsid w:val="00C17B5A"/>
    <w:rsid w:val="00C23621"/>
    <w:rsid w:val="00C36128"/>
    <w:rsid w:val="00C67621"/>
    <w:rsid w:val="00C748AD"/>
    <w:rsid w:val="00CC21B0"/>
    <w:rsid w:val="00CC5314"/>
    <w:rsid w:val="00CD1840"/>
    <w:rsid w:val="00CD63C7"/>
    <w:rsid w:val="00CE3B06"/>
    <w:rsid w:val="00CE5783"/>
    <w:rsid w:val="00CF3BDD"/>
    <w:rsid w:val="00D1426F"/>
    <w:rsid w:val="00D323FC"/>
    <w:rsid w:val="00D44404"/>
    <w:rsid w:val="00D7141A"/>
    <w:rsid w:val="00D738B0"/>
    <w:rsid w:val="00D83427"/>
    <w:rsid w:val="00D9716B"/>
    <w:rsid w:val="00DB62D3"/>
    <w:rsid w:val="00DB78AE"/>
    <w:rsid w:val="00DC5863"/>
    <w:rsid w:val="00DD17B5"/>
    <w:rsid w:val="00DE544C"/>
    <w:rsid w:val="00DE5FBA"/>
    <w:rsid w:val="00E010A4"/>
    <w:rsid w:val="00E024EB"/>
    <w:rsid w:val="00E41D3B"/>
    <w:rsid w:val="00E50346"/>
    <w:rsid w:val="00E5467D"/>
    <w:rsid w:val="00E55F56"/>
    <w:rsid w:val="00E65392"/>
    <w:rsid w:val="00E81A4D"/>
    <w:rsid w:val="00E85A50"/>
    <w:rsid w:val="00E927A5"/>
    <w:rsid w:val="00E94BA3"/>
    <w:rsid w:val="00E94F2B"/>
    <w:rsid w:val="00EB0319"/>
    <w:rsid w:val="00EB7AA8"/>
    <w:rsid w:val="00EE2A5B"/>
    <w:rsid w:val="00EE67E2"/>
    <w:rsid w:val="00EF1C92"/>
    <w:rsid w:val="00F1207D"/>
    <w:rsid w:val="00F364C0"/>
    <w:rsid w:val="00F4344A"/>
    <w:rsid w:val="00F442BA"/>
    <w:rsid w:val="00F531BF"/>
    <w:rsid w:val="00F56E27"/>
    <w:rsid w:val="00F62465"/>
    <w:rsid w:val="00F76A63"/>
    <w:rsid w:val="00F804A3"/>
    <w:rsid w:val="00FA1AD7"/>
    <w:rsid w:val="00FA1DA6"/>
    <w:rsid w:val="00FA6BD5"/>
    <w:rsid w:val="00FB0B39"/>
    <w:rsid w:val="00FC6430"/>
    <w:rsid w:val="00FC78F5"/>
    <w:rsid w:val="00FF409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E6E2E-8718-4A1B-A3C1-750A3A8B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F56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027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56"/>
  </w:style>
  <w:style w:type="character" w:customStyle="1" w:styleId="xbe">
    <w:name w:val="_xbe"/>
    <w:basedOn w:val="DefaultParagraphFont"/>
    <w:rsid w:val="00E55F56"/>
  </w:style>
  <w:style w:type="character" w:styleId="Hyperlink">
    <w:name w:val="Hyperlink"/>
    <w:basedOn w:val="DefaultParagraphFont"/>
    <w:uiPriority w:val="99"/>
    <w:unhideWhenUsed/>
    <w:rsid w:val="00E55F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274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AB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3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A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3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AB"/>
    <w:rPr>
      <w:lang w:val="en-IN"/>
    </w:rPr>
  </w:style>
  <w:style w:type="character" w:styleId="Emphasis">
    <w:name w:val="Emphasis"/>
    <w:basedOn w:val="DefaultParagraphFont"/>
    <w:uiPriority w:val="20"/>
    <w:qFormat/>
    <w:rsid w:val="00181332"/>
    <w:rPr>
      <w:i/>
      <w:iCs/>
    </w:rPr>
  </w:style>
  <w:style w:type="character" w:customStyle="1" w:styleId="desk-phone">
    <w:name w:val="desk-phone"/>
    <w:basedOn w:val="DefaultParagraphFont"/>
    <w:rsid w:val="00181332"/>
  </w:style>
  <w:style w:type="paragraph" w:styleId="ListParagraph">
    <w:name w:val="List Paragraph"/>
    <w:basedOn w:val="Normal"/>
    <w:uiPriority w:val="34"/>
    <w:qFormat/>
    <w:rsid w:val="00591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228EF-904A-4A0B-B80A-0711B398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Jigyasa</cp:lastModifiedBy>
  <cp:revision>2</cp:revision>
  <dcterms:created xsi:type="dcterms:W3CDTF">2016-05-25T05:11:00Z</dcterms:created>
  <dcterms:modified xsi:type="dcterms:W3CDTF">2016-05-25T05:11:00Z</dcterms:modified>
</cp:coreProperties>
</file>