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0070c0"/>
          <w:sz w:val="32"/>
          <w:szCs w:val="32"/>
          <w:u w:val="singl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3822700</wp:posOffset>
                </wp:positionH>
                <wp:positionV relativeFrom="paragraph">
                  <wp:posOffset>-723899</wp:posOffset>
                </wp:positionV>
                <wp:extent cx="2755900" cy="1930400"/>
                <wp:effectExtent b="0" l="0" r="0" t="0"/>
                <wp:wrapNone/>
                <wp:docPr id="1" name=""/>
                <a:graphic>
                  <a:graphicData uri="http://schemas.microsoft.com/office/word/2010/wordprocessingShape">
                    <wps:wsp>
                      <wps:cNvSpPr/>
                      <wps:cNvPr id="2" name="Shape 2"/>
                      <wps:spPr>
                        <a:xfrm>
                          <a:off x="3969638" y="2813848"/>
                          <a:ext cx="2752725" cy="1932305"/>
                        </a:xfrm>
                        <a:prstGeom prst="rect">
                          <a:avLst/>
                        </a:prstGeom>
                        <a:gradFill>
                          <a:gsLst>
                            <a:gs pos="0">
                              <a:srgbClr val="70A5DA"/>
                            </a:gs>
                            <a:gs pos="50000">
                              <a:srgbClr val="539BDB"/>
                            </a:gs>
                            <a:gs pos="100000">
                              <a:srgbClr val="4288C8"/>
                            </a:gs>
                          </a:gsLst>
                          <a:lin ang="5400000" scaled="0"/>
                        </a:gradFill>
                        <a:ln cap="flat" cmpd="sng" w="9525">
                          <a:solidFill>
                            <a:schemeClr val="accen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360" w:right="0" w:firstLine="360"/>
                              <w:jc w:val="left"/>
                              <w:textDirection w:val="btLr"/>
                            </w:pP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Overall: 3.1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Culture and values 3.0</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Work life balance: 2.7</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Senior management: 2.9</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Comp and benefits: 2.7</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Career opportunities 3.1</w:t>
                            </w:r>
                          </w:p>
                        </w:txbxContent>
                      </wps:txbx>
                      <wps:bodyPr anchorCtr="0" anchor="t" bIns="0" lIns="45700" rIns="0"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3822700</wp:posOffset>
                </wp:positionH>
                <wp:positionV relativeFrom="paragraph">
                  <wp:posOffset>-723899</wp:posOffset>
                </wp:positionV>
                <wp:extent cx="2755900" cy="19304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2755900" cy="1930400"/>
                        </a:xfrm>
                        <a:prstGeom prst="rect"/>
                        <a:ln/>
                      </pic:spPr>
                    </pic:pic>
                  </a:graphicData>
                </a:graphic>
              </wp:anchor>
            </w:drawing>
          </mc:Fallback>
        </mc:AlternateContent>
      </w:r>
    </w:p>
    <w:p w:rsidR="00000000" w:rsidDel="00000000" w:rsidP="00000000" w:rsidRDefault="00000000" w:rsidRPr="00000000">
      <w:pPr>
        <w:contextualSpacing w:val="0"/>
        <w:jc w:val="center"/>
        <w:rPr>
          <w:b w:val="1"/>
          <w:color w:val="0070c0"/>
          <w:sz w:val="32"/>
          <w:szCs w:val="32"/>
          <w:u w:val="single"/>
        </w:rPr>
      </w:pPr>
      <w:r w:rsidDel="00000000" w:rsidR="00000000" w:rsidRPr="00000000">
        <w:rPr>
          <w:rtl w:val="0"/>
        </w:rPr>
      </w:r>
    </w:p>
    <w:p w:rsidR="00000000" w:rsidDel="00000000" w:rsidP="00000000" w:rsidRDefault="00000000" w:rsidRPr="00000000">
      <w:pPr>
        <w:contextualSpacing w:val="0"/>
        <w:rPr>
          <w:b w:val="1"/>
          <w:color w:val="ff0000"/>
          <w:sz w:val="32"/>
          <w:szCs w:val="32"/>
        </w:rPr>
      </w:pPr>
      <w:r w:rsidDel="00000000" w:rsidR="00000000" w:rsidRPr="00000000">
        <w:rPr>
          <w:rFonts w:ascii="Calibri" w:cs="Calibri" w:eastAsia="Calibri" w:hAnsi="Calibri"/>
          <w:b w:val="1"/>
          <w:color w:val="000000"/>
          <w:sz w:val="24"/>
          <w:szCs w:val="24"/>
          <w:highlight w:val="white"/>
          <w:rtl w:val="0"/>
        </w:rPr>
        <w:t xml:space="preserve">Business Information</w:t>
      </w:r>
      <w:r w:rsidDel="00000000" w:rsidR="00000000" w:rsidRPr="00000000">
        <w:rPr>
          <w:b w:val="1"/>
          <w:rtl w:val="0"/>
        </w:rPr>
        <w:t xml:space="preserve">: </w:t>
      </w:r>
      <w:r w:rsidDel="00000000" w:rsidR="00000000" w:rsidRPr="00000000">
        <w:rPr>
          <w:b w:val="1"/>
          <w:color w:val="00b050"/>
          <w:rtl w:val="0"/>
        </w:rPr>
        <w:t xml:space="preserve">JSW</w:t>
      </w:r>
      <w:r w:rsidDel="00000000" w:rsidR="00000000" w:rsidRPr="00000000">
        <w:rPr>
          <w:b w:val="1"/>
          <w:color w:val="00b050"/>
          <w:sz w:val="32"/>
          <w:szCs w:val="32"/>
          <w:rtl w:val="0"/>
        </w:rPr>
        <w:t xml:space="preserve"> </w:t>
      </w:r>
      <w:r w:rsidDel="00000000" w:rsidR="00000000" w:rsidRPr="00000000">
        <w:rPr>
          <w:b w:val="1"/>
          <w:color w:val="ff0000"/>
          <w:sz w:val="32"/>
          <w:szCs w:val="32"/>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rFonts w:ascii="Calibri" w:cs="Calibri" w:eastAsia="Calibri" w:hAnsi="Calibri"/>
          <w:b w:val="1"/>
          <w:color w:val="000000"/>
          <w:sz w:val="24"/>
          <w:szCs w:val="24"/>
          <w:highlight w:val="white"/>
          <w:rtl w:val="0"/>
        </w:rPr>
        <w:t xml:space="preserve">HEADQUARTERS</w:t>
      </w:r>
      <w:r w:rsidDel="00000000" w:rsidR="00000000" w:rsidRPr="00000000">
        <w:rPr>
          <w:b w:val="1"/>
          <w:rtl w:val="0"/>
        </w:rPr>
        <w:t xml:space="preserve">:</w:t>
      </w:r>
      <w:r w:rsidDel="00000000" w:rsidR="00000000" w:rsidRPr="00000000">
        <w:rPr>
          <w:rFonts w:ascii="Calibri" w:cs="Calibri" w:eastAsia="Calibri" w:hAnsi="Calibri"/>
          <w:b w:val="1"/>
          <w:color w:val="5a5a5a"/>
          <w:sz w:val="20"/>
          <w:szCs w:val="20"/>
          <w:highlight w:val="white"/>
          <w:rtl w:val="0"/>
        </w:rPr>
        <w:t xml:space="preserve"> Mumbai</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i w:val="1"/>
          <w:color w:val="5a5a5a"/>
          <w:sz w:val="20"/>
          <w:szCs w:val="20"/>
          <w:highlight w:val="white"/>
        </w:rPr>
      </w:pPr>
      <w:r w:rsidDel="00000000" w:rsidR="00000000" w:rsidRPr="00000000">
        <w:rPr>
          <w:rFonts w:ascii="Calibri" w:cs="Calibri" w:eastAsia="Calibri" w:hAnsi="Calibri"/>
          <w:b w:val="1"/>
          <w:color w:val="000000"/>
          <w:sz w:val="24"/>
          <w:szCs w:val="24"/>
          <w:highlight w:val="white"/>
          <w:rtl w:val="0"/>
        </w:rPr>
        <w:t xml:space="preserve">Industry:</w:t>
      </w:r>
      <w:r w:rsidDel="00000000" w:rsidR="00000000" w:rsidRPr="00000000">
        <w:rPr>
          <w:b w:val="1"/>
          <w:rtl w:val="0"/>
        </w:rPr>
        <w:t xml:space="preserve"> </w:t>
      </w:r>
      <w:r w:rsidDel="00000000" w:rsidR="00000000" w:rsidRPr="00000000">
        <w:rPr>
          <w:rFonts w:ascii="Calibri" w:cs="Calibri" w:eastAsia="Calibri" w:hAnsi="Calibri"/>
          <w:b w:val="1"/>
          <w:color w:val="5a5a5a"/>
          <w:sz w:val="20"/>
          <w:szCs w:val="20"/>
          <w:highlight w:val="white"/>
          <w:rtl w:val="0"/>
        </w:rPr>
        <w:t xml:space="preserve">Manufacturing</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5a5a5a"/>
          <w:sz w:val="18"/>
          <w:szCs w:val="1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5a5a5a"/>
          <w:sz w:val="20"/>
          <w:szCs w:val="20"/>
          <w:highlight w:val="white"/>
        </w:rPr>
      </w:pPr>
      <w:r w:rsidDel="00000000" w:rsidR="00000000" w:rsidRPr="00000000">
        <w:rPr>
          <w:rFonts w:ascii="Calibri" w:cs="Calibri" w:eastAsia="Calibri" w:hAnsi="Calibri"/>
          <w:b w:val="1"/>
          <w:color w:val="000000"/>
          <w:sz w:val="24"/>
          <w:szCs w:val="24"/>
          <w:highlight w:val="white"/>
          <w:rtl w:val="0"/>
        </w:rPr>
        <w:t xml:space="preserve">Company Overview: </w:t>
      </w:r>
      <w:r w:rsidDel="00000000" w:rsidR="00000000" w:rsidRPr="00000000">
        <w:rPr>
          <w:rFonts w:ascii="Calibri" w:cs="Calibri" w:eastAsia="Calibri" w:hAnsi="Calibri"/>
          <w:b w:val="1"/>
          <w:color w:val="5a5a5a"/>
          <w:sz w:val="20"/>
          <w:szCs w:val="20"/>
          <w:highlight w:val="white"/>
          <w:rtl w:val="0"/>
        </w:rPr>
        <w:t xml:space="preserve">JSW, A $11 billion conglomerate, with presence across India, USA, South America &amp; Africa, the JSW Group is a part of the O.P. Jindal Group with strong footprints across core economic sectors, namely, Steel, Energy, Infrastructure, Cement, Ventures and Sports.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With a diverse workforce of over 40,000 individuals, JSW is known to be the “strategic first mover” to venture away from status quo, have the conviction to make fundamental changes and drive operational excellence.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SW Steel is India’s leading private sector steel producer</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and amongst the world’s most illustrious steel companies with an installed capacity of 18 MTPA. JSW Steel boasts of one of the largest blast furnace with a capacity of 3.3 MTPA, taking JSW’s overall capacity to 10 MTPA at Vijayanagar, Karnataka, its flagship steel plant. With its plants located across 6 strategic locations in South and West India, JSW Steel will continue to raise the bar with its high quality &amp; diverse product range.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JSW Energy</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is one of the earliest private entrants into the power sector positioned strongly as a full-spectrum integrated power company with a presence across the power sector value chain. With 4531 MW operational capacity, it remains one of the most efficient Power Company in the country with one of the country's largest open cast mining operation by volume and one of the largest private sector Hydro Operator in India.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JSW Cement</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is currently upgrading production capacity from 6 MTPA to 20 MTPA by the year 2020. Its plants at Vijayanagar in Karnataka, Nandyal in Andhra Pradesh and Dolvi in Maharashtra utilise slag from the JSW Steel plants to produce Green cement, which is engineered for strength and durability. By converting industrial by-product into a useful product, it has reduced the carbon footprint of the Group. It is currently executing expansion projects in Vijayanagar plant (South) and Salboni (West Bengal) and gearing up to set up a plant in Jajpur (Orissa).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JSW Infrastructure</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has grown to become one of India’s leading Infrastructure development companies. Its ports and terminals in Maharashtra and Goa currently have an operational capacity of 33 MTPA. Within the next four years this is going to increase more than six-fold to reach 200 MTPA through greenfield and brownfield expansions. This capacity is underpinned by the assurance that comes from JSW Infrastructure’s excellent track record of successful operations benchmarked to international standards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With the ambition of increasing India’s presence and stature at the Olympics, </w:t>
      </w: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JSW Sports runs the Sports Excellence Program (SEP)</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which was set up to identify, nurture and develop Indian athletes by providing them world class training facilities and putting in place an effective support-system to ensure that they bring sporting glory to the nation on the global stage. We are training over 32 athletes currently, to enable them secure quotas and represent India at the Olympics in Rio JSW Sports also runs the Bengaluru Football Club &amp; The Bengaluru Yodhas wrestling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JSW Foundation</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is the social development division of the JSW Group. It works with corporate social responsibility (CSR) teams of Group companies in addressing the critical issues relevant to the communities, involving suitable partners (selected through a rigorous screening process) to enable the planning and effective execution. The objective is to serve the most vulnerable groups within communities with rightful interventions. JSW Foundation today works in 16 locations across India, in the Direct Influence Zone of JSW's plant locations and beyond.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single"/>
          <w:vertAlign w:val="baseline"/>
          <w:rtl w:val="0"/>
        </w:rPr>
        <w:t xml:space="preserve">JSW Ventures</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partners with ambitious and growth oriented entrepreneurs who leverage technology to build long-term capital efficient businesses. The fund supports ventures and ideas with JSW Group’s expertise in building scalable and profitable businesses.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Core values</w:t>
      </w:r>
      <w:r w:rsidDel="00000000" w:rsidR="00000000" w:rsidRPr="00000000">
        <w:rPr>
          <w:rFonts w:ascii="Lato" w:cs="Lato" w:eastAsia="Lato" w:hAnsi="Lato"/>
          <w:b w:val="0"/>
          <w:i w:val="0"/>
          <w:smallCaps w:val="0"/>
          <w:strike w:val="0"/>
          <w:color w:val="333333"/>
          <w:sz w:val="21"/>
          <w:szCs w:val="21"/>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Transparency, Excellence, Dynamism and Passion for Learning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ato" w:cs="Lato" w:eastAsia="Lato" w:hAnsi="Lato"/>
          <w:b w:val="0"/>
          <w:i w:val="0"/>
          <w:smallCaps w:val="0"/>
          <w:strike w:val="0"/>
          <w:color w:val="333333"/>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CEO:</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Sajjan Jindal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1"/>
          <w:i w:val="0"/>
          <w:smallCaps w:val="0"/>
          <w:strike w:val="0"/>
          <w:color w:val="5a5a5a"/>
          <w:sz w:val="20"/>
          <w:szCs w:val="20"/>
          <w:highlight w:val="white"/>
          <w:u w:val="none"/>
          <w:vertAlign w:val="baseline"/>
        </w:rPr>
      </w:pPr>
      <w:r w:rsidDel="00000000" w:rsidR="00000000" w:rsidRPr="00000000">
        <w:rPr>
          <w:rtl w:val="0"/>
        </w:rPr>
      </w:r>
    </w:p>
    <w:p w:rsidR="00000000" w:rsidDel="00000000" w:rsidP="00000000" w:rsidRDefault="00000000" w:rsidRPr="00000000">
      <w:pPr>
        <w:contextualSpacing w:val="0"/>
        <w:rPr>
          <w:b w:val="1"/>
          <w:color w:val="000000"/>
        </w:rPr>
      </w:pPr>
      <w:r w:rsidDel="00000000" w:rsidR="00000000" w:rsidRPr="00000000">
        <w:rPr>
          <w:b w:val="1"/>
          <w:rtl w:val="0"/>
        </w:rPr>
        <w:t xml:space="preserve">News: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1"/>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single"/>
          <w:vertAlign w:val="baseline"/>
          <w:rtl w:val="0"/>
        </w:rPr>
        <w:t xml:space="preserve">JSW Steel</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is now the largest steel maker in India Company reports higher revenue than SAIL and Tata Steel India in FY15r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single"/>
          <w:vertAlign w:val="baseline"/>
          <w:rtl w:val="0"/>
        </w:rPr>
        <w:t xml:space="preserve">JSW Energy’s</w:t>
      </w: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 Barmer plant has the capacity to produce 1,080MW of power. It is operated by a wholly owned subsidiary called Raj WestPower Limited (RWPL). RWPL has a power purchase agreement with the Government of Rajasthan to sell its entire output.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1"/>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JSW Group is giving a lot of impetus to primary education and skill driven value education in rural areas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JSW Jaigarh Port is the first deep water, all-weather, multi cargo, 24/7 private port in Maharashtra. Inaugurated in August 2009, the JSW Jaigarh Port was built in a record time of 20 months. This greenfield, all-weather port occupies a strategic location on the west coast, as it is situated between two major ports of Mumbai and Goa.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JSW Cement launches Rs 800-crore cement plant at Salboni - West Bengal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5a5a5a"/>
          <w:sz w:val="20"/>
          <w:szCs w:val="20"/>
          <w:highlight w:val="white"/>
          <w:u w:val="none"/>
          <w:vertAlign w:val="baseline"/>
        </w:rPr>
      </w:pPr>
      <w:r w:rsidDel="00000000" w:rsidR="00000000" w:rsidRPr="00000000">
        <w:rPr>
          <w:rFonts w:ascii="Calibri" w:cs="Calibri" w:eastAsia="Calibri" w:hAnsi="Calibri"/>
          <w:b w:val="1"/>
          <w:i w:val="0"/>
          <w:smallCaps w:val="0"/>
          <w:strike w:val="0"/>
          <w:color w:val="5a5a5a"/>
          <w:sz w:val="20"/>
          <w:szCs w:val="20"/>
          <w:highlight w:val="white"/>
          <w:u w:val="none"/>
          <w:vertAlign w:val="baseline"/>
          <w:rtl w:val="0"/>
        </w:rPr>
        <w:t xml:space="preserve">Young Indian talent Sumit Nagal, who won the Wimbledon junior men's doubles title with partner Nam Hoang Ly, has become the first tennis player to be supported by JSW's Sports Excellence Program (SEP).</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