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4F5C"/>
          <w:sz w:val="44"/>
        </w:rPr>
        <w:t>智维超级员工</w:t>
      </w:r>
    </w:p>
    <w:p>
      <w:pPr>
        <w:jc w:val="center"/>
      </w:pPr>
      <w:r>
        <w:rPr>
          <w:rFonts w:ascii="微软雅黑" w:hAnsi="微软雅黑" w:eastAsia="微软雅黑"/>
          <w:b w:val="0"/>
          <w:color w:val="52606D"/>
          <w:sz w:val="24"/>
        </w:rPr>
        <w:t>上线验收清单 V1.2</w:t>
      </w:r>
    </w:p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一、基础可用性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通过标准</w:t>
            </w:r>
          </w:p>
        </w:tc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A01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登录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验证码登录成功，可改密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A02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菜单权限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管理员可见核心菜单；无权限账号被正确拦截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A03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健康检查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后端健康检查正常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A04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审计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关键操作可在审计/执行记录中追溯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A05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列表与表单体验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列表默认可展示更多行；长表单弹窗内部滚动；关键字段有说明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二、资源与任务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通过标准</w:t>
            </w:r>
          </w:p>
        </w:tc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B01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凭据管理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新增 SSH 凭据，密钥不回显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B02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主机纳管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指纹+日志白名单配置成功，探测连通性通过并启用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B03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运维任务（多栈）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可选择 backendKind/clientKind，工作区与验证命令保存成功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B04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巡检拉日志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启用后能拉取日志并生成摘要/落盘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B05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修复引擎环境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Agent 管理页可检测 CodeX/Cursor/Claude 安装与登录态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三、自治闭环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通过标准</w:t>
            </w:r>
          </w:p>
        </w:tc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C01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异常建故障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错误达到阈值后派生故障事件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C02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多 Agent 分析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执行记录可见证据/根因/规划阶段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C03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补丁预览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生成可审阅补丁计划与指纹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C04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修复审批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未审批不能修码；审批后 CLI 产出真实 Diff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C05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验证构建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按工程画像完成验证（Maven/Gradle/npm 等）并得到对应制品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C06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部署门禁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部署前需再次审批/确认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C07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混合部署（可选）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后端路径替换或 WAR/Docker 部署成功；Web 静态同步按配置生效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四、治理与安全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通过标准</w:t>
            </w:r>
          </w:p>
        </w:tc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D01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只读诊断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远程仅固定模板，不能任意 Shell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D02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授权策略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工具/资源授权生效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D03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知识库 CRUD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可新增/编辑/查询；不可用时不阻断主流程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D04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知识库导入预生成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上传 txt/md/docx 或填写描述可生成草稿；确认后保存入库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D05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驳回路径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审批驳回后流程停止或回到可调整状态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4F5C"/>
          <w:sz w:val="36"/>
        </w:rPr>
        <w:t>五、签核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379"/>
            <w:shd w:fill="0B7285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签字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实施负责人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运维负责人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  <w:t>甲方项目负责人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color w:val="1F2A37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