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4F5C"/>
          <w:sz w:val="44"/>
        </w:rPr>
        <w:t>智维超级员工</w:t>
      </w:r>
    </w:p>
    <w:p>
      <w:pPr>
        <w:jc w:val="center"/>
      </w:pPr>
      <w:r>
        <w:rPr>
          <w:rFonts w:ascii="微软雅黑" w:hAnsi="微软雅黑" w:eastAsia="微软雅黑"/>
          <w:b w:val="0"/>
          <w:color w:val="52606D"/>
          <w:sz w:val="24"/>
        </w:rPr>
        <w:t>配置与部署清单 V1.2</w:t>
      </w:r>
    </w:p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一、部署组件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数据库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达梦 8（推荐）/ MySQL / Oracle / Kingbase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先执行 SQL 再启动应用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后端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Spring Boot（super-employee-app）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Profile：dev/prod 默认组含 dameng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前端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Vue3（super-employee-web）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构建后由 Nginx 或静态服务托管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修复引擎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Cursor / CodeX / Claude CLI（至少一种）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本机或构建机可执行；Agent 管理页可检测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大模型网关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DashScope（AgentScope Model）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故障分析与知识库 AI 预生成共用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构建工具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按任务工程画像：JDK17+/Maven/Gradle/Node/Go/Python/Docker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Java 制品构建勿用 JDK 8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一附、工程画像与混合部署（任务级）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可选值</w:t>
            </w:r>
          </w:p>
        </w:tc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backendKind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MAVEN / JAVA_WAR / GRADLE / NODE / GO / PYTHON / DOCKER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决定默认验证命令、制品发现与部署器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clientKind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NONE / WEB_NPM / UNI_APP / MP_WEIXIN_NATIVE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Web 可配静态部署目录；小程序仅验证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部署方式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路径替换 / WAR→webapps / Docker Compose / 静态同步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由 PatchDeploymentFacade 按画像路由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关键字段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backendVerifyCommand、clientDeployPath、clientDistDir、dockerComposeFile 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见升级脚本 15c/15d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二、数据库初始化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新环境：执行 delivery/sql/dameng/01-install-full.sql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存量升级：按 delivery/sql/dameng/02-upgrade-catalog.txt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应用侧 spring.sql.init.mode 一般为 never，需手工执行 SQL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开启持久化：super-employee.persistence.enabled=true</w:t>
      </w:r>
    </w:p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三、关键配置项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配置/环境变量</w:t>
            </w:r>
          </w:p>
        </w:tc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173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DM_PASSWORD / DB_*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数据库连接凭据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仓库外注入，勿入库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REACT_ENABLED / AI_ENABLED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多 Agent 流程开关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生产按就绪度开启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SSH_DIAGNOSTIC_ENABLED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SSH 只读诊断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生产显式开启并配指纹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SSH_HOST_KEY_FINGERPRINTS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主机指纹映射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或在主机管理页面配置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OPS_LOG_SCHEDULE_ENABLED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运维任务巡检调度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默认开启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CODEX_REPAIR_ENABLED 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各 CLI 修复引擎开关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按实际安装开启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LOCAL_REPAIR_ENGINE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默认引擎 codex/cursor/claude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可与任务级配置配合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CODEX/CURSOR/CLAUDE_WORKSPACE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默认工作区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任务也可单独指定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ARTIFACT_JAVA_HOME 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制品构建 JDK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指向 JDK 17+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WEB_ORIGIN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前端来源 CORS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配置真实前端域名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CAPTCHA_* / LOGIN_*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验证码与登录锁定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按安全基线设置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agentscope.dashscope.api-key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DashScope API Key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知识库预生成与模型分析依赖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agentscope.dashscope.model-name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模型名，默认 qwen-plus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可按配额调整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三附、知识库导入与预生成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接口：POST /api/knowledge/generate（multipart：file 与/或 description）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支持：txt/md/docx/log/json/yaml/html 等；PDF/旧版 Office 请先另存为文本或 docx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流程：预生成草稿 → 前端填入表单 → 人工确认后走原有保存接口入库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模型不可用时回退本地模板整理，不阻断录入</w:t>
      </w:r>
    </w:p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四、推荐启动顺序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1）准备数据库并执行整合 SQL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2）配置环境变量与密钥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3）启动后端并检查健康状态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4）部署/启动前端并登录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5）录入凭据与主机 → 创建运维任务 → 小流量试跑</w:t>
      </w:r>
    </w:p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五、安全基线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首次登录立即修改管理员密码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生产关闭不必要的 demo 种子数据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DEPLOY_PATCH 等高危工具默认禁用，按需授权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F2A37"/>
          <w:sz w:val="22"/>
        </w:rPr>
        <w:t>日志白名单最小化；禁止放开任意远程 Shell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