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32"/>
          <w:szCs w:val="32"/>
        </w:rPr>
        <w:t xml:space="preserve">GSI — ANALISA PENJUALAN &amp; REKOMENDASI STRATEGIS</w:t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Business Analyst Report · Periode Jan 2024 – 10 Aug 2026</w:t>
      </w:r>
    </w:p>
    <w:p>
      <w:pPr>
        <w:spacing w:after="300"/>
        <w:jc w:val="center"/>
      </w:pPr>
      <w:r>
        <w:rPr>
          <w:b/>
          <w:bCs/>
          <w:sz w:val="22"/>
          <w:szCs w:val="22"/>
        </w:rPr>
        <w:t xml:space="preserve">Fokus: Menaikkan Laba · Memperbaiki Cashflow · Menaikkan Revenue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1. Executive Summary</w:t>
      </w:r>
    </w:p>
    <w:p>
      <w:pPr>
        <w:spacing w:after="100"/>
      </w:pPr>
      <w:r>
        <w:t xml:space="preserve">Dari 114.553 baris transaksi (56.966 invoice, 4.709 pelanggan, 1.855 SKU, 5 cabang) periode Jan 2024–10 Aug 2026, GSI membukukan revenue kotor Rp 254,3 miliar dengan laba kotor Rp 12,0 miliar — Gross Margin (GM) rata-rata hanya 4,73%. Angka ini SANGAT tipis untuk bisnis distribusi CCTV/networking, dan menyembunyikan beberapa masalah kritis yang bila diperbaiki dapat menaikkan laba tahunan minimal Rp 3–6 miliar tanpa perlu menaikkan revenue.</w:t>
      </w:r>
    </w:p>
    <w:p>
      <w:pPr>
        <w:pStyle w:val="Heading3"/>
        <w:spacing w:after="60" w:before="160"/>
      </w:pPr>
      <w:r>
        <w:rPr>
          <w:b/>
          <w:bCs/>
        </w:rPr>
        <w:t xml:space="preserve">Temuan paling penting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Kolaps margin 2025: </w:t>
      </w:r>
      <w:r>
        <w:t xml:space="preserve">GM turun dari 5,03% (2024) → 2,82% (2025) karena beban diskon melonjak 4× (Rp 859 jt → Rp 6,02 miliar). Juli–Agustus 2025 bahkan RUGI (GM −1,19% &amp; −1,59%).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Diskon merusak laba: </w:t>
      </w:r>
      <w:r>
        <w:t xml:space="preserve">20,9% transaksi berdiskon hanya menghasilkan GM 2,17%, sedangkan transaksi tanpa diskon GM 5,77% — potensi laba tambahan ± Rp 2,2 miliar bila diskon dikontrol.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Cabang Jakarta underperform: </w:t>
      </w:r>
      <w:r>
        <w:t xml:space="preserve">Revenue Rp 75,2 miliar tapi GM hanya 2,89%. Bandingkan Cabang Yogya (Rp 53,6 miliar, GM 5,71%) dan Mataram (Rp 1,7 miliar, GM 22,21%).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Channel mix salah: </w:t>
      </w:r>
      <w:r>
        <w:t xml:space="preserve">Distri 82% revenue tapi GM 3,63%. Marketplace GM 10,31% (share 4%) dan Project GM 9,61% (share 14%) jauh lebih menguntungkan.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Top-customer dilutif: </w:t>
      </w:r>
      <w:r>
        <w:t xml:space="preserve">Top 20 pelanggan = 36,6% revenue tapi hanya 26,1% laba. Beberapa pelanggan besar bahkan RUGI (Toko Surya CCTV −Rp 208 jt, CV. TV SHOP −Rp 94 jt, PT Tech Asia −Rp 181 jt).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Data quality: </w:t>
      </w:r>
      <w:r>
        <w:t xml:space="preserve">Duplikasi nama pelanggan ("TOKO SURYA CCTV" profitable vs "Toko Surya CCTV" rugi) mengaburkan analisa profitabilitas customer.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Inventory berat: </w:t>
      </w:r>
      <w:r>
        <w:t xml:space="preserve">Total stok Rp 32,8 miliar dengan 359 SKU aktif 2024 mati di 2025 — beban cashflow signifikan.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2. Kondisi Umum Bisnis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4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Revenue (gross)</w:t>
            </w:r>
          </w:p>
        </w:tc>
        <w:tc>
          <w:tcPr>
            <w:tcW w:type="dxa" w:w="4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254.299.045.558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HPP</w:t>
            </w:r>
          </w:p>
        </w:tc>
        <w:tc>
          <w:tcPr>
            <w:tcW w:type="dxa" w:w="4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216.499.355.491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Laba Kotor</w:t>
            </w:r>
          </w:p>
        </w:tc>
        <w:tc>
          <w:tcPr>
            <w:tcW w:type="dxa" w:w="4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12.039.376.153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Diskon</w:t>
            </w:r>
          </w:p>
        </w:tc>
        <w:tc>
          <w:tcPr>
            <w:tcW w:type="dxa" w:w="4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12.456.581.746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Gross Margin %</w:t>
            </w:r>
          </w:p>
        </w:tc>
        <w:tc>
          <w:tcPr>
            <w:tcW w:type="dxa" w:w="4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4,73%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Diskon / Revenue</w:t>
            </w:r>
          </w:p>
        </w:tc>
        <w:tc>
          <w:tcPr>
            <w:tcW w:type="dxa" w:w="4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4,90%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Invoice</w:t>
            </w:r>
          </w:p>
        </w:tc>
        <w:tc>
          <w:tcPr>
            <w:tcW w:type="dxa" w:w="4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56.966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Pelanggan Unik</w:t>
            </w:r>
          </w:p>
        </w:tc>
        <w:tc>
          <w:tcPr>
            <w:tcW w:type="dxa" w:w="4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4.709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SKU Unik</w:t>
            </w:r>
          </w:p>
        </w:tc>
        <w:tc>
          <w:tcPr>
            <w:tcW w:type="dxa" w:w="4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1.855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AOV (rata-rata / invoice)</w:t>
            </w:r>
          </w:p>
        </w:tc>
        <w:tc>
          <w:tcPr>
            <w:tcW w:type="dxa" w:w="4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4.464.050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Median Invoice</w:t>
            </w:r>
          </w:p>
        </w:tc>
        <w:tc>
          <w:tcPr>
            <w:tcW w:type="dxa" w:w="4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1.372.000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Repeat Customer Rate</w:t>
            </w:r>
          </w:p>
        </w:tc>
        <w:tc>
          <w:tcPr>
            <w:tcW w:type="dxa" w:w="4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48,1%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One-time Customer</w:t>
            </w:r>
          </w:p>
        </w:tc>
        <w:tc>
          <w:tcPr>
            <w:tcW w:type="dxa" w:w="4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2.443 (51,9%)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 Stok (di data)</w:t>
            </w:r>
          </w:p>
        </w:tc>
        <w:tc>
          <w:tcPr>
            <w:tcW w:type="dxa" w:w="4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32.774.207.899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</w:rPr>
        <w:t xml:space="preserve">3. Analisa Tren — Alarm 2025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500"/>
        <w:gridCol w:w="1500"/>
        <w:gridCol w:w="1000"/>
        <w:gridCol w:w="1000"/>
      </w:tblGrid>
      <w:tr>
        <w:trPr>
          <w:tblHeader/>
        </w:trPr>
        <w:tc>
          <w:tcPr>
            <w:tcW w:type="dxa" w:w="12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Tahun</w:t>
            </w:r>
          </w:p>
        </w:tc>
        <w:tc>
          <w:tcPr>
            <w:tcW w:type="dxa" w:w="18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Laba</w:t>
            </w:r>
          </w:p>
        </w:tc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Diskon</w:t>
            </w:r>
          </w:p>
        </w:tc>
        <w:tc>
          <w:tcPr>
            <w:tcW w:type="dxa" w:w="10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GM %</w:t>
            </w:r>
          </w:p>
        </w:tc>
        <w:tc>
          <w:tcPr>
            <w:tcW w:type="dxa" w:w="10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Diskon %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58,0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2,92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859 jt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5,03%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1,48%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97,2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2,75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6,02 M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2,82%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6,19%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 (YTD Ags)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99,1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6,38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5,58 M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6,43%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5,63%</w:t>
            </w:r>
          </w:p>
        </w:tc>
      </w:tr>
    </w:tbl>
    <w:p>
      <w:pPr>
        <w:spacing w:after="100"/>
      </w:pPr>
      <w:r>
        <w:t xml:space="preserve">Revenue 2025 tumbuh +68% vs 2024, tetapi laba absolut TURUN −6% karena diskon naik 7×. Ini adalah pertumbuhan yang "membakar margin" — pola khas ketika sales dikejar target volume tanpa guardrail margin.</w:t>
      </w:r>
    </w:p>
    <w:p>
      <w:pPr>
        <w:pStyle w:val="Heading3"/>
        <w:spacing w:after="60" w:before="160"/>
      </w:pPr>
      <w:r>
        <w:rPr>
          <w:b/>
          <w:bCs/>
        </w:rPr>
        <w:t xml:space="preserve">Bulan-bulan kritis (rugi kotor)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Juli 2025: Rev Rp 8,30 M, Laba −Rp 99 jt (GM −1,19%), Diskon Rp 816 jt (9,8% dari rev).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Agustus 2025: Rev Rp 11,07 M, Laba −Rp 176 jt (GM −1,59%), Diskon Rp 798 jt (7,2%).</w:t>
      </w:r>
    </w:p>
    <w:p>
      <w:pPr>
        <w:spacing w:after="100"/>
      </w:pPr>
      <w:r>
        <w:t xml:space="preserve">Kabar baik: 2026 sudah recovery ke GM 6,43% (tertinggi dalam 3 tahun), menunjukkan mekanisme koreksi mulai bekerja. Momentum ini harus dijaga dengan sistem, bukan sekadar keberuntungan.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4. Analisa Per Cabang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900"/>
        <w:gridCol w:w="1200"/>
        <w:gridCol w:w="1400"/>
      </w:tblGrid>
      <w:tr>
        <w:trPr>
          <w:tblHeader/>
        </w:trPr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Cabang</w:t>
            </w:r>
          </w:p>
        </w:tc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Laba</w:t>
            </w:r>
          </w:p>
        </w:tc>
        <w:tc>
          <w:tcPr>
            <w:tcW w:type="dxa" w:w="9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GM %</w:t>
            </w:r>
          </w:p>
        </w:tc>
        <w:tc>
          <w:tcPr>
            <w:tcW w:type="dxa" w:w="12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AOV</w:t>
            </w:r>
          </w:p>
        </w:tc>
        <w:tc>
          <w:tcPr>
            <w:tcW w:type="dxa" w:w="14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Aksi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Kantor Pusat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102,1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5,71 M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5,59%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4,2 jt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Sustain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Jakarta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75,2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2,17 M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2,89%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6,9 jt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TURNAROUND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Yogya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53,6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3,06 M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5,71%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2,7 jt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Scale up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Surabaya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21,7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0,72 M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3,33%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16,2 jt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Investigate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Mataram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1,69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0,38 M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22,21%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1,4 jt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 example</w:t>
            </w:r>
          </w:p>
        </w:tc>
      </w:tr>
    </w:tbl>
    <w:p>
      <w:pPr>
        <w:spacing w:after="100"/>
      </w:pPr>
      <w:r>
        <w:t xml:space="preserve">Cabang Jakarta menghasilkan hampir 3× revenue Yogya tapi lababnya lebih kecil — kehilangan potensi laba ± Rp 2,1 miliar bila GM Jakarta setara Yogya. Cabang Surabaya AOV terbesar (Rp 16,2 jt/invoice) tapi GM rendah, kemungkinan dominan project besar dengan negosiasi harga agresif. Mataram sebagai model kecil dengan GM 22% patut dijadikan benchmark praktik penjualan.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5. Channel / Jenis Sales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600"/>
        <w:gridCol w:w="1000"/>
        <w:gridCol w:w="1200"/>
        <w:gridCol w:w="1200"/>
      </w:tblGrid>
      <w:tr>
        <w:trPr>
          <w:tblHeader/>
        </w:trPr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Sales</w:t>
            </w:r>
          </w:p>
        </w:tc>
        <w:tc>
          <w:tcPr>
            <w:tcW w:type="dxa" w:w="16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6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Laba</w:t>
            </w:r>
          </w:p>
        </w:tc>
        <w:tc>
          <w:tcPr>
            <w:tcW w:type="dxa" w:w="10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GM %</w:t>
            </w:r>
          </w:p>
        </w:tc>
        <w:tc>
          <w:tcPr>
            <w:tcW w:type="dxa" w:w="12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Diskon %</w:t>
            </w:r>
          </w:p>
        </w:tc>
        <w:tc>
          <w:tcPr>
            <w:tcW w:type="dxa" w:w="12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Share Rev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Distri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208,5 M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7,58 M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3,63%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5,63%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82,0%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35,1 M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3,38 M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9,61%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1,98%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13,8%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Marketplace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10,4 M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1,07 M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10,31%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0,15%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4,1%</w:t>
            </w:r>
          </w:p>
        </w:tc>
      </w:tr>
    </w:tbl>
    <w:p>
      <w:pPr>
        <w:spacing w:after="100"/>
      </w:pPr>
      <w:r>
        <w:t xml:space="preserve">Distri adalah tulang punggung volume namun paling tipis margin. Marketplace (GM 10,31%, diskon hanya 0,15%) adalah channel dengan efisiensi tertinggi tapi sangat underutilized. Menaikkan share Marketplace dari 4% ke 10% saja bisa menambah laba ± Rp 900 jt/tahun tanpa mengorbankan volume Distri.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6. Analisa Brand</w:t>
      </w:r>
    </w:p>
    <w:p>
      <w:pPr>
        <w:pStyle w:val="Heading3"/>
        <w:spacing w:after="60" w:before="160"/>
      </w:pPr>
      <w:r>
        <w:rPr>
          <w:b/>
          <w:bCs/>
        </w:rPr>
        <w:t xml:space="preserve">Top 5 by Revenue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500"/>
        <w:gridCol w:w="1000"/>
        <w:gridCol w:w="1500"/>
      </w:tblGrid>
      <w:tr>
        <w:trPr>
          <w:tblHeader/>
        </w:trPr>
        <w:tc>
          <w:tcPr>
            <w:tcW w:type="dxa" w:w="20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17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Laba</w:t>
            </w:r>
          </w:p>
        </w:tc>
        <w:tc>
          <w:tcPr>
            <w:tcW w:type="dxa" w:w="10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GM %</w:t>
            </w:r>
          </w:p>
        </w:tc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HIKVISION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140,6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6,47 M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4,60%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445.016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Ezviz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41,0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0,57 M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1,38%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105.595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Hilook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27,6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0,57 M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2,07%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113.588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HIKVISION MODULE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10,7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0,25 M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2,32%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40.349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Seagate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10,4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1,40 M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13,49%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5.907</w:t>
            </w:r>
          </w:p>
        </w:tc>
      </w:tr>
    </w:tbl>
    <w:p>
      <w:pPr>
        <w:pStyle w:val="Heading3"/>
        <w:spacing w:after="60" w:before="160"/>
      </w:pPr>
      <w:r>
        <w:rPr>
          <w:b/>
          <w:bCs/>
        </w:rPr>
        <w:t xml:space="preserve">High-margin brands yang bisa didorong (GM ≥15%)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000"/>
      </w:tblGrid>
      <w:tr>
        <w:trPr>
          <w:tblHeader/>
        </w:trPr>
        <w:tc>
          <w:tcPr>
            <w:tcW w:type="dxa" w:w="40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2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20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GM %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Accessories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1,07 M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27,89%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Sandisk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703 jt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26,81%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Hikvision TKDN (kategori)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3,85 M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22,92%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HIKSEMI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1,79 M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20,45%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Bardi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4,30 M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17,07%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Spectra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1,28 M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16,03%</w:t>
            </w:r>
          </w:p>
        </w:tc>
      </w:tr>
    </w:tbl>
    <w:p>
      <w:pPr>
        <w:spacing w:after="100"/>
      </w:pPr>
      <w:r>
        <w:t xml:space="preserve">Ezviz (revenue #2, Rp 41 M) hanya menghasilkan GM 1,38% — pertimbangkan renegosiasi harga beli dari principal, minimum margin floor, atau pergeseran fokus ke brand alternatif. Bardi &amp; HIKSEMI memiliki margin 3–4× lebih tinggi dengan volume yang masih bisa digandakan. Rekomendasi mix shift: alokasi bujet marketing &amp; bonus sales lebih berat ke brand high-margin.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7. Efek Diskon terhadap Profitabilitas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500"/>
      </w:tblGrid>
      <w:tr>
        <w:trPr>
          <w:tblHeader/>
        </w:trPr>
        <w:tc>
          <w:tcPr>
            <w:tcW w:type="dxa" w:w="3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Segmen</w:t>
            </w:r>
          </w:p>
        </w:tc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Jumlah Trx</w:t>
            </w:r>
          </w:p>
        </w:tc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Trx</w:t>
            </w:r>
          </w:p>
        </w:tc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GM %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Trx berdiskon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23.993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20,9%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2,17%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Trx tanpa diskon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90.560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79,1%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5,77%</w:t>
            </w:r>
          </w:p>
        </w:tc>
      </w:tr>
    </w:tbl>
    <w:p>
      <w:pPr>
        <w:spacing w:after="100"/>
      </w:pPr>
      <w:r>
        <w:t xml:space="preserve">Bila diskon di-cap sehingga trx berdiskon mencapai GM min 4% (masih di bawah GM tanpa diskon), tambahan laba ± Rp 1,6 miliar/periode. Bila GM trx diskon dinaikkan ke 5%, tambahan ± Rp 2,2 miliar. Root cause harus diinvestigasi: apakah diskon diberikan otomatis oleh sales tanpa aturan, apakah ada kebijakan match-competitor tanpa batas, atau sekadar habit pelanggan minta diskon.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8. Analisa Customer — Pareto Terbalik</w:t>
      </w:r>
    </w:p>
    <w:p>
      <w:pPr>
        <w:spacing w:after="100"/>
      </w:pPr>
      <w:r>
        <w:t xml:space="preserve">Top 20 customer = 36,6% revenue tapi hanya 26,1% laba. Artinya, seiring semakin besar volume dari satu customer, margin justru menyusut karena tekanan negosiasi harga. Beberapa customer top bahkan negatif: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500"/>
      </w:tblGrid>
      <w:tr>
        <w:trPr>
          <w:tblHeader/>
        </w:trPr>
        <w:tc>
          <w:tcPr>
            <w:tcW w:type="dxa" w:w="3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Laba</w:t>
            </w:r>
          </w:p>
        </w:tc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GM %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GOSYEN SOLUSI INDONESIA (top)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31,2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2,36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7,57% ✓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CV. TV SHOP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6,70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−Rp 94 jt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−1,40% ✗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TOKO SURYA CCTV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6,45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271 jt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4,20% ✓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Toko Surya CCTV (dup)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6,01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−Rp 208 jt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−3,47% ✗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PANCA SENTRA MANDIRI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4,84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7 jt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0,15% ✗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CV. NAFIRI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2,40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−Rp 17 jt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−0,73% ✗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HW cctv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2,10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−Rp 26 jt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−1,24% ✗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BSM CCTV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1,82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−Rp 1,5 jt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−0,09% ✗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M. Said Akmal Alghani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1,45 M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−Rp 20 jt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−1,41% ✗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PT. TECH ASIA SOLUSI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(top rugi)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−Rp 181 jt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t xml:space="preserve">Ada 27.655 line item rugi (24% dari total baris) dengan total kerugian Rp 4,35 miliar dari revenue Rp 90,3 miliar (35% revenue rugi). Jika 50% saja bisa dikonversi ke GM 5%, tambahan laba ± Rp 2,25 miliar.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9. Analisa Sales Person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400"/>
        <w:gridCol w:w="1000"/>
        <w:gridCol w:w="2600"/>
      </w:tblGrid>
      <w:tr>
        <w:trPr>
          <w:tblHeader/>
        </w:trPr>
        <w:tc>
          <w:tcPr>
            <w:tcW w:type="dxa" w:w="20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Sales</w:t>
            </w:r>
          </w:p>
        </w:tc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4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Laba</w:t>
            </w:r>
          </w:p>
        </w:tc>
        <w:tc>
          <w:tcPr>
            <w:tcW w:type="dxa" w:w="10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GM %</w:t>
            </w:r>
          </w:p>
        </w:tc>
        <w:tc>
          <w:tcPr>
            <w:tcW w:type="dxa" w:w="26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Granike Monica M.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46,8 M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1,18 M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2,52%</w:t>
            </w:r>
          </w:p>
        </w:tc>
        <w:tc>
          <w:tcPr>
            <w:tcW w:type="dxa" w:w="26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Volume juara, margin rendah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Aini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37,2 M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273 jt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0,73%</w:t>
            </w:r>
          </w:p>
        </w:tc>
        <w:tc>
          <w:tcPr>
            <w:tcW w:type="dxa" w:w="26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ALERT — GM sangat tipis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Elisa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30,4 M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1,24 M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4,07%</w:t>
            </w:r>
          </w:p>
        </w:tc>
        <w:tc>
          <w:tcPr>
            <w:tcW w:type="dxa" w:w="26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Balanced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Lucy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28,4 M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1,30 M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4,59%</w:t>
            </w:r>
          </w:p>
        </w:tc>
        <w:tc>
          <w:tcPr>
            <w:tcW w:type="dxa" w:w="26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Balanced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19,0 M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1,81 M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9,54%</w:t>
            </w:r>
          </w:p>
        </w:tc>
        <w:tc>
          <w:tcPr>
            <w:tcW w:type="dxa" w:w="26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Investigate — akun apa?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Enny Wulandari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10,5 M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1,08 M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10,31%</w:t>
            </w:r>
          </w:p>
        </w:tc>
        <w:tc>
          <w:tcPr>
            <w:tcW w:type="dxa" w:w="26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 — model KPI ideal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Reza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17,0 M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 934 jt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5,49%</w:t>
            </w:r>
          </w:p>
        </w:tc>
        <w:tc>
          <w:tcPr>
            <w:tcW w:type="dxa" w:w="26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Solid</w:t>
            </w:r>
          </w:p>
        </w:tc>
      </w:tr>
    </w:tbl>
    <w:p>
      <w:pPr>
        <w:spacing w:after="100"/>
      </w:pPr>
      <w:r>
        <w:t xml:space="preserve">Enny Wulandari menghasilkan GM 10,31% dengan basis pelanggan besar (928 customer) — praktiknya patut dijadikan playbook. Aini (GM 0,73%, revenue Rp 37 M) berpotensi merusak profitabilitas perusahaan; coaching + revisi struktur komisi (dari komisi berbasis revenue → komisi berbasis laba) urgent.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10. Insight Cashflow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Nilai stok Rp 32,8 miliar. Dengan HPP terjual Rp 216,5 miliar dalam ~31 bulan (HPP bulanan ± Rp 7 M), Days Inventory ± 141 hari — cukup berat untuk bisnis distribusi (benchmark sehat 60–90 hari).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359 SKU aktif 2024 mati di 2025. Perlu quick-win: liquidation sale / bundling untuk melepas dead stock, konversi ke cash.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Repeat rate 48,1% adalah aset — customer loyal lebih murah dibandingkan akuisisi. Program membership/loyalty program dapat mengurangi biaya diskon reaktif.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Diskon Rp 12,5 miliar sepanjang periode adalah kas hangus. Kontrol diskon = kontrol cashflow langsung.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tidak mencatat termin pembayaran / AR aging. Rekomendasi: tambahkan kolom Termin, Tgl Jatuh Tempo, Tgl Pembayaran untuk analisa DSO.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11. Data Quality Issues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Duplikasi customer akibat perbedaan kapitalisasi ("TOKO SURYA CCTV" vs "Toko Surya CCTV") — profitabilitas customer riil tidak terlihat. Standardisasi + master customer wajib.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Kolom "Total Stok" berisi nilai global tunggal berulang (Rp 32,77 M) — tidak per-SKU, sehingga analisa stok level per barang tidak bisa dilakukan.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Kolom "Kategori" banyak kosong (NaN) — kategorisasi tidak konsisten dengan "Nama Kategori B".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Nama sales duplikat ("Siva" vs "Siva Jakarta") — perlu master sales.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tidak memuat: PPN, terms of payment, cost of freight, marketing spend per channel — analisa margin bersih (Net Margin) mustahil.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12. Rekomendasi Strategis (12 Aksi Prioritas)</w:t>
      </w:r>
    </w:p>
    <w:p>
      <w:pPr>
        <w:pStyle w:val="Heading2"/>
        <w:spacing w:after="80" w:before="200"/>
      </w:pPr>
      <w:r>
        <w:rPr>
          <w:b/>
          <w:bCs/>
          <w:color w:val="2E5496"/>
        </w:rPr>
        <w:t xml:space="preserve">A. Kuick-win — 30–60 hari (potensi +Rp 2–3 miliar/tahun)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1. Discount Governance: </w:t>
      </w:r>
      <w:r>
        <w:t xml:space="preserve">Berlakukan matrix diskon max per Brand × Volume × Channel. Diskon di atas threshold wajib approval Head of Sales. Target: turunkan Diskon% dari 4,90% ke 2,5%.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2. Loss-line stopper: </w:t>
      </w:r>
      <w:r>
        <w:t xml:space="preserve">Sistem hard-block untuk quotation dengan GM &lt; 0%. Untuk GM 0–3% soft-warning dengan alasan wajib diisi.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3. Blacklist / renegotiate 10 pelanggan rugi terbesar. </w:t>
      </w:r>
      <w:r>
        <w:t xml:space="preserve">Bila tidak bisa dinaikkan ke min GM 3%, hentikan penjualan atau pindahkan ke Cash Only tanpa fasilitas kredit.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4. Data cleanup: </w:t>
      </w:r>
      <w:r>
        <w:t xml:space="preserve">Standardisasi master customer, sales, kategori dalam 30 hari. Ini prerequisite untuk semua analisa lanjutan.</w:t>
      </w:r>
    </w:p>
    <w:p>
      <w:pPr>
        <w:pStyle w:val="Heading2"/>
        <w:spacing w:after="80" w:before="200"/>
      </w:pPr>
      <w:r>
        <w:rPr>
          <w:b/>
          <w:bCs/>
          <w:color w:val="2E5496"/>
        </w:rPr>
        <w:t xml:space="preserve">B. Program 3–6 bulan (potensi +Rp 3–5 miliar/tahun)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5. Turnaround Cabang Jakarta: </w:t>
      </w:r>
      <w:r>
        <w:t xml:space="preserve">Investigasi root cause GM 2,89%. Kemungkinan: sales driven by volume KPI, pricing lokal terlalu agresif, customer base didominasi reseller besar. Set target GM 4,5% dalam 6 bulan (delta laba ± Rp 1,2 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6. Restrukturisasi komisi sales: </w:t>
      </w:r>
      <w:r>
        <w:t xml:space="preserve">Ubah dari revenue-based ke profit-based (60% berbasis Laba, 40% Revenue). Contoh Aini dgn GM 0,73% akan kehilangan komisi signifikan → insentif untuk menjaga margin.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7. Expand Marketplace: </w:t>
      </w:r>
      <w:r>
        <w:t xml:space="preserve">Marketplace GM 10,31%. Tim dedicated + investasi ads bertarget 4% → 10% share dalam 12 bulan (potensi Rp 6 M revenue tambahan, ± Rp 600 jt laba).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8. Mix Shift Brand: </w:t>
      </w:r>
      <w:r>
        <w:t xml:space="preserve">Program push Bardi, HIKSEMI, Seagate, Accessories (GM 13–28%). Bundle dengan Hikvision core untuk naikkan attach-rate.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9. Dead-stock clearance: </w:t>
      </w:r>
      <w:r>
        <w:t xml:space="preserve">359 SKU idle → clearance event, bundle-with-fastmover, atau return-to-principal. Target: bebaskan cash Rp 3–5 miliar.</w:t>
      </w:r>
    </w:p>
    <w:p>
      <w:pPr>
        <w:pStyle w:val="Heading2"/>
        <w:spacing w:after="80" w:before="200"/>
      </w:pPr>
      <w:r>
        <w:rPr>
          <w:b/>
          <w:bCs/>
          <w:color w:val="2E5496"/>
        </w:rPr>
        <w:t xml:space="preserve">C. Strategis 6–12 bulan (fondasi profit sustainable)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10. Customer Segmentation &amp; Pricing Tier: </w:t>
      </w:r>
      <w:r>
        <w:t xml:space="preserve">Buat 4 tier (Platinum/Gold/Silver/Bronze) berdasarkan Laba × Payment behavior. Diskon &amp; kredit sesuai tier — bukan negosiasi ad-hoc.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11. Principal Renegotiation: </w:t>
      </w:r>
      <w:r>
        <w:t xml:space="preserve">Ezviz &amp; Hilook (revenue Rp 68 M, GM &lt;2,1%) — negosiasi ulang harga beli, rebate volume, atau BTL support dari principal untuk naikkan GM +1,5 pt (potensi +Rp 1 M laba).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12. Dashboard Margin Real-time: </w:t>
      </w:r>
      <w:r>
        <w:t xml:space="preserve">Migrasi dari Google Sheets ke BI tool (Metabase / Looker Studio) dengan alert otomatis untuk: GM bulanan &lt;4%, sales dgn GM &lt;2%, customer rugi, dead-stock aging &gt;90 hari. Data-driven governance.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13. Estimasi Dampak (Konsolidasi)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00"/>
      </w:tblGrid>
      <w:tr>
        <w:trPr>
          <w:tblHeader/>
        </w:trPr>
        <w:tc>
          <w:tcPr>
            <w:tcW w:type="dxa" w:w="5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Inisiatif</w:t>
            </w:r>
          </w:p>
        </w:tc>
        <w:tc>
          <w:tcPr>
            <w:tcW w:type="dxa" w:w="3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Estimasi Tambahan Laba/Tahun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Discount governance (Diskon% 4,9% → 2,5%)</w:t>
            </w:r>
          </w:p>
        </w:tc>
        <w:tc>
          <w:tcPr>
            <w:tcW w:type="dxa" w:w="3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+Rp 1,8 M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Loss-line block &amp; customer cleanup</w:t>
            </w:r>
          </w:p>
        </w:tc>
        <w:tc>
          <w:tcPr>
            <w:tcW w:type="dxa" w:w="3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+Rp 1,5 M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Turnaround Cabang Jakarta (GM +1,6pt)</w:t>
            </w:r>
          </w:p>
        </w:tc>
        <w:tc>
          <w:tcPr>
            <w:tcW w:type="dxa" w:w="3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+Rp 1,2 M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Restrukturisasi komisi (efek margin sales)</w:t>
            </w:r>
          </w:p>
        </w:tc>
        <w:tc>
          <w:tcPr>
            <w:tcW w:type="dxa" w:w="3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+Rp 0,8 M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Marketplace expansion</w:t>
            </w:r>
          </w:p>
        </w:tc>
        <w:tc>
          <w:tcPr>
            <w:tcW w:type="dxa" w:w="3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+Rp 0,6 M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Brand mix shift</w:t>
            </w:r>
          </w:p>
        </w:tc>
        <w:tc>
          <w:tcPr>
            <w:tcW w:type="dxa" w:w="3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+Rp 0,7 M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Principal renegotiation Ezviz/Hilook</w:t>
            </w:r>
          </w:p>
        </w:tc>
        <w:tc>
          <w:tcPr>
            <w:tcW w:type="dxa" w:w="3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+Rp 1,0 M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Dead-stock clearance (cashflow)</w:t>
            </w:r>
          </w:p>
        </w:tc>
        <w:tc>
          <w:tcPr>
            <w:tcW w:type="dxa" w:w="3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+Rp 3–5 M cash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POTENSI TAMBAHAN LABA</w:t>
            </w:r>
          </w:p>
        </w:tc>
        <w:tc>
          <w:tcPr>
            <w:tcW w:type="dxa" w:w="3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± Rp 7,6 M/tahun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POTENSI PEMBEBASAN CASH</w:t>
            </w:r>
          </w:p>
        </w:tc>
        <w:tc>
          <w:tcPr>
            <w:tcW w:type="dxa" w:w="3500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± Rp 3–5 M sekali</w:t>
            </w:r>
          </w:p>
        </w:tc>
      </w:tr>
    </w:tbl>
    <w:p>
      <w:pPr>
        <w:spacing w:after="100"/>
      </w:pPr>
      <w:r>
        <w:t xml:space="preserve">Base laba 2026 YTD (Ags) Rp 6,38 M — potensi menuju Rp 14 M dengan eksekusi disiplin, tanpa menaikkan revenue satu rupiah pun. Bila revenue tetap tumbuh sesuai trajectory 2026 (+70% YoY estimated), laba tahunan bisa menembus Rp 20 M.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14. Penutup</w:t>
      </w:r>
    </w:p>
    <w:p>
      <w:pPr>
        <w:spacing w:after="100"/>
      </w:pPr>
      <w:r>
        <w:t xml:space="preserve">Data GSI menunjukkan perusahaan berada di titik infleksi: skala revenue sudah masif (Rp 100+ M/tahun) tetapi profitabilitas belum matang. Fokus 12 bulan ke depan bukan pada kejar revenue lebih tinggi, melainkan MEMBERSIHKAN pertumbuhan yang sudah ada — kontrol diskon, hentikan customer rugi, geser mix ke brand &amp; channel margin tinggi, dan bangun disiplin data. Semua rekomendasi di atas dapat dieksekusi dengan tools yang sudah ada (Google Sheets + kebijakan internal) tanpa investasi IT besar.</w:t>
      </w:r>
    </w:p>
    <w:p>
      <w:pPr>
        <w:spacing w:after="100"/>
      </w:pPr>
      <w:r>
        <w:t xml:space="preserve">Rekomendasi tindak lanjut: (1) presentasikan report ini ke management, (2) tetapkan 3 quick-win untuk 60 hari pertama, (3) setup weekly margin review meeting, (4) mulai proyek data cleanup paralel.</w:t>
      </w:r>
    </w:p>
    <w:p>
      <w:pPr>
        <w:spacing w:before="300"/>
        <w:jc w:val="center"/>
      </w:pPr>
      <w:r>
        <w:rPr>
          <w:i/>
          <w:iCs/>
          <w:color w:val="7F7F7F"/>
        </w:rPr>
        <w:t xml:space="preserve">— End of Report —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2026-08-11T08:23:42.584Z</dcterms:created>
  <dcterms:modified xsi:type="dcterms:W3CDTF">2026-08-11T08:23:42.585Z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