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75B" w:rsidRDefault="00E3075B" w:rsidP="00E3075B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5" w:tooltip="Statistics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statistics</w:t>
        </w:r>
      </w:hyperlink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Levene's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test</w:t>
      </w:r>
      <w:proofErr w:type="gramEnd"/>
      <w:hyperlink r:id="rId6" w:anchor="cite_note-Levene1960-1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vertAlign w:val="superscript"/>
          </w:rPr>
          <w:t>[1]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is an inferential statistic used to assess the equality of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" w:tooltip="Variance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variances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for a variable calculated for two or more groups. Some common statistical procedures assume that variances of the populations from which different samples are drawn are equal.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Levene's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test assesses this assumption. It tests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8" w:tooltip="Null hypothesis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null hypothesis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that the population variances are equal (called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homogeneity of variance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9" w:tooltip="Homoscedasticity" w:history="1">
        <w:r>
          <w:rPr>
            <w:rStyle w:val="Hyperlink"/>
            <w:rFonts w:ascii="Arial" w:hAnsi="Arial" w:cs="Arial"/>
            <w:i/>
            <w:iCs/>
            <w:color w:val="0B0080"/>
            <w:sz w:val="20"/>
            <w:szCs w:val="20"/>
            <w:u w:val="none"/>
          </w:rPr>
          <w:t>homoscedasticity</w:t>
        </w:r>
      </w:hyperlink>
      <w:r>
        <w:rPr>
          <w:rFonts w:ascii="Arial" w:hAnsi="Arial" w:cs="Arial"/>
          <w:color w:val="000000"/>
          <w:sz w:val="20"/>
          <w:szCs w:val="20"/>
        </w:rPr>
        <w:t>). If the resulting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 xml:space="preserve">-value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Levene's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test is less than some critical value (typically 0.05), the obtained differences in sample variances are unlikely to have occurred based on random sampling from a population with equal variances. Thus, the null hypothesis of equal variances is rejected and it is concluded that there is a difference between the variances in the population.</w:t>
      </w:r>
    </w:p>
    <w:p w:rsidR="00E3075B" w:rsidRDefault="00E3075B" w:rsidP="00E3075B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Some of the procedures typically assuming homoscedasticity, for which one can use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Levene's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tests, include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0" w:tooltip="Analysis of variance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analysis of variance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11" w:tooltip="Student's t-test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</w:rPr>
          <w:t>t-tests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</w:p>
    <w:p w:rsidR="00E3075B" w:rsidRDefault="00E3075B" w:rsidP="00E3075B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Levene's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test is often used before a comparison of means. When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Levene's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test shows significance, one should switch to generalized tests, free from homoscedasticity assumptions.</w:t>
      </w:r>
    </w:p>
    <w:p w:rsidR="00E3075B" w:rsidRDefault="00E3075B" w:rsidP="00E3075B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Levene's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test may also be used as a main test, for answering a stand-alone question whether two sub-samples in a given population have equal or different variances.</w:t>
      </w:r>
    </w:p>
    <w:p w:rsidR="00F712F4" w:rsidRDefault="00F712F4">
      <w:bookmarkStart w:id="0" w:name="_GoBack"/>
      <w:bookmarkEnd w:id="0"/>
    </w:p>
    <w:sectPr w:rsidR="00F7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75B"/>
    <w:rsid w:val="002D3C13"/>
    <w:rsid w:val="00E3075B"/>
    <w:rsid w:val="00F7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075B"/>
  </w:style>
  <w:style w:type="character" w:styleId="Hyperlink">
    <w:name w:val="Hyperlink"/>
    <w:basedOn w:val="DefaultParagraphFont"/>
    <w:uiPriority w:val="99"/>
    <w:semiHidden/>
    <w:unhideWhenUsed/>
    <w:rsid w:val="00E307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075B"/>
  </w:style>
  <w:style w:type="character" w:styleId="Hyperlink">
    <w:name w:val="Hyperlink"/>
    <w:basedOn w:val="DefaultParagraphFont"/>
    <w:uiPriority w:val="99"/>
    <w:semiHidden/>
    <w:unhideWhenUsed/>
    <w:rsid w:val="00E307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ull_hypothesi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Varianc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Levene's_test" TargetMode="External"/><Relationship Id="rId11" Type="http://schemas.openxmlformats.org/officeDocument/2006/relationships/hyperlink" Target="http://en.wikipedia.org/wiki/Student%27s_t-test" TargetMode="External"/><Relationship Id="rId5" Type="http://schemas.openxmlformats.org/officeDocument/2006/relationships/hyperlink" Target="http://en.wikipedia.org/wiki/Statistics" TargetMode="External"/><Relationship Id="rId10" Type="http://schemas.openxmlformats.org/officeDocument/2006/relationships/hyperlink" Target="http://en.wikipedia.org/wiki/Analysis_of_vari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Homoscedasti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2014-03-28T06:11:00Z</dcterms:created>
  <dcterms:modified xsi:type="dcterms:W3CDTF">2014-03-28T12:14:00Z</dcterms:modified>
</cp:coreProperties>
</file>