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name="description" content="Professional B2B training and coaching services to help your business grow through expert-led workshops and strategic consulting."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name="keywords" content="B2B training, coaching, leadership development, business consulting, team performance, professional growth"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name="author" content="ProEdge Solutions"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&lt;title&gt;ProEdge Solutions - B2B Training &amp; Coaching&lt;/title&gt;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background-color: #f4f6f8;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background-color: #003366;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background-color: #00509e;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transition: background 0.3s;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background-color: #003f7f;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main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max-width: 1200px;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.hero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background-color: #e0f0ff;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.hero h1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color: #002244;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margin-top: 2rem;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.services, .contact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background-color: #fff;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box-shadow: 0 0 10px rgba(0,0,0,0.05);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background-color: #003366;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margin-top: 2rem;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form input, form textarea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padding: 0.5rem;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margin-bottom: 1rem;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form button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background-color: #00509e;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padding: 0.7rem 1.2rem;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form button:hover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background-color: #003f7f;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&lt;h1&gt;ProEdge Solutions&lt;/h1&gt;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&lt;p&gt;Professional B2B Training &amp; Coaching for Growing Enterprises&lt;/p&gt;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&lt;a href="#services"&gt;Services&lt;/a&gt;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&lt;a href="#about"&gt;About&lt;/a&gt;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&lt;a href="#contact"&gt;Contact&lt;/a&gt;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&lt;main&gt;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&lt;div class="hero"&gt;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&lt;h1&gt;Unlock Your Team's Full Potential&lt;/h1&gt;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&lt;p&gt;Custom training, expert coaching, measurable results. We help businesses scale with confidence.&lt;/p&gt;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&lt;section id="services" class="services"&gt;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&lt;h2&gt;Our Services&lt;/h2&gt;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&lt;li&gt;Leadership Development Workshops&lt;/li&gt;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&lt;li&gt;Sales &amp; Negotiation Training&lt;/li&gt;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&lt;li&gt;Digital Transformation Coaching&lt;/li&gt;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&lt;li&gt;Change Management Consulting&lt;/li&gt;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&lt;li&gt;Customized Onboarding Programs&lt;/li&gt;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&lt;h2&gt;About Us&lt;/h2&gt;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&lt;p&gt;At ProEdge Solutions, we specialize in helping B2B organizations maximize team performance through tailored training and strategic coaching. With over a decade of experience and a network of seasoned facilitators, we partner with you to craft impactful learning journeys that align with your business goals.&lt;/p&gt;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&lt;section id="contact" class="contact"&gt;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&lt;h2&gt;Contact Us&lt;/h2&gt;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&lt;form action="mailto:info@proedge-solutions.com" method="post" enctype="text/plain"&gt;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&lt;input type="text" id="name" name="name" required 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&lt;input type="email" id="email" name="email" required /&gt;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&lt;textarea id="message" name="message" rows="5" required&gt;&lt;/textarea&gt;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&lt;button type="submit"&gt;Send Message&lt;/button&gt;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&lt;p&gt;&amp;copy; 2025 ProEdge Solutions. All rights reserved. | &lt;a href="mailto:info@proedge-solutions.com" style="color: #fff; text-decoration: underline;"&gt;info@proedge-solutions.com&lt;/a&gt;&lt;/p&gt;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