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drawing>
          <wp:inline xmlns:a="http://schemas.openxmlformats.org/drawingml/2006/main" xmlns:pic="http://schemas.openxmlformats.org/drawingml/2006/picture">
            <wp:extent cx="4846320" cy="3230880"/>
            <wp:docPr id="1" name="Picture 1"/>
            <wp:cNvGraphicFramePr>
              <a:graphicFrameLocks noChangeAspect="1"/>
            </wp:cNvGraphicFramePr>
            <a:graphic>
              <a:graphicData uri="http://schemas.openxmlformats.org/drawingml/2006/picture">
                <pic:pic>
                  <pic:nvPicPr>
                    <pic:cNvPr id="0" name="loanhub-horizontal-logo.png"/>
                    <pic:cNvPicPr/>
                  </pic:nvPicPr>
                  <pic:blipFill>
                    <a:blip r:embed="rId11"/>
                    <a:stretch>
                      <a:fillRect/>
                    </a:stretch>
                  </pic:blipFill>
                  <pic:spPr>
                    <a:xfrm>
                      <a:off x="0" y="0"/>
                      <a:ext cx="4846320" cy="3230880"/>
                    </a:xfrm>
                    <a:prstGeom prst="rect"/>
                  </pic:spPr>
                </pic:pic>
              </a:graphicData>
            </a:graphic>
          </wp:inline>
        </w:drawing>
      </w:r>
    </w:p>
    <w:p>
      <w:pPr>
        <w:jc w:val="center"/>
      </w:pPr>
      <w:r>
        <w:drawing>
          <wp:inline xmlns:a="http://schemas.openxmlformats.org/drawingml/2006/main" xmlns:pic="http://schemas.openxmlformats.org/drawingml/2006/picture">
            <wp:extent cx="1645920" cy="1097280"/>
            <wp:docPr id="2" name="Picture 2"/>
            <wp:cNvGraphicFramePr>
              <a:graphicFrameLocks noChangeAspect="1"/>
            </wp:cNvGraphicFramePr>
            <a:graphic>
              <a:graphicData uri="http://schemas.openxmlformats.org/drawingml/2006/picture">
                <pic:pic>
                  <pic:nvPicPr>
                    <pic:cNvPr id="0" name="loanhub-app-icon.png"/>
                    <pic:cNvPicPr/>
                  </pic:nvPicPr>
                  <pic:blipFill>
                    <a:blip r:embed="rId12"/>
                    <a:stretch>
                      <a:fillRect/>
                    </a:stretch>
                  </pic:blipFill>
                  <pic:spPr>
                    <a:xfrm>
                      <a:off x="0" y="0"/>
                      <a:ext cx="1645920" cy="1097280"/>
                    </a:xfrm>
                    <a:prstGeom prst="rect"/>
                  </pic:spPr>
                </pic:pic>
              </a:graphicData>
            </a:graphic>
          </wp:inline>
        </w:drawing>
      </w:r>
    </w:p>
    <w:p>
      <w:pPr>
        <w:jc w:val="center"/>
      </w:pPr>
      <w:r>
        <w:rPr>
          <w:rFonts w:ascii="DejaVu Sans" w:hAnsi="DejaVu Sans"/>
          <w:b/>
          <w:color w:val="062B55"/>
          <w:sz w:val="48"/>
        </w:rPr>
        <w:t>FULL USER &amp; OPERATIONS MANUAL</w:t>
      </w:r>
    </w:p>
    <w:p>
      <w:pPr>
        <w:jc w:val="center"/>
      </w:pPr>
      <w:r>
        <w:rPr>
          <w:rFonts w:ascii="DejaVu Sans" w:hAnsi="DejaVu Sans"/>
          <w:color w:val="007E8A"/>
          <w:sz w:val="24"/>
        </w:rPr>
        <w:t>Role-by-role guide for the multi-tenant Lesotho loan marketplace</w:t>
      </w:r>
    </w:p>
    <w:tbl>
      <w:tblPr>
        <w:tblW w:type="auto" w:w="0"/>
        <w:tblLayout w:type="fixed"/>
        <w:tblLook w:firstColumn="1" w:firstRow="1" w:lastColumn="0" w:lastRow="0" w:noHBand="0" w:noVBand="1" w:val="04A0"/>
      </w:tblPr>
      <w:tblGrid>
        <w:gridCol w:w="173"/>
        <w:gridCol w:w="9648"/>
      </w:tblGrid>
      <w:tr>
        <w:tc>
          <w:tcPr>
            <w:tcW w:type="dxa" w:w="4946"/>
            <w:shd w:fill="2F9E2F"/>
          </w:tcPr>
          <w:p/>
        </w:tc>
        <w:tc>
          <w:tcPr>
            <w:tcW w:type="dxa" w:w="4946"/>
            <w:shd w:fill="EFF9EC"/>
          </w:tcPr>
          <w:p>
            <w:pPr>
              <w:spacing w:after="40"/>
            </w:pPr>
            <w:r/>
            <w:r>
              <w:rPr>
                <w:rFonts w:ascii="DejaVu Sans" w:hAnsi="DejaVu Sans"/>
                <w:b/>
                <w:color w:val="2F9E2F"/>
                <w:sz w:val="19"/>
              </w:rPr>
              <w:t>Final engineered edition</w:t>
            </w:r>
          </w:p>
          <w:p>
            <w:pPr>
              <w:spacing w:after="0"/>
            </w:pPr>
            <w:r>
              <w:rPr>
                <w:rFonts w:ascii="DejaVu Sans" w:hAnsi="DejaVu Sans"/>
                <w:color w:val="132238"/>
                <w:sz w:val="17"/>
              </w:rPr>
              <w:t>Covers tenant administration, lending, realtime notifications, encrypted-at-rest chat and files, voice notes, accounting, performance, midnight reporting, audited role switching and production deployment.</w:t>
            </w:r>
          </w:p>
        </w:tc>
      </w:tr>
    </w:tbl>
    <w:p>
      <w:pPr>
        <w:spacing w:after="0"/>
      </w:pPr>
    </w:p>
    <w:p>
      <w:pPr>
        <w:spacing w:before="360"/>
        <w:jc w:val="center"/>
      </w:pPr>
      <w:r>
        <w:drawing>
          <wp:inline xmlns:a="http://schemas.openxmlformats.org/drawingml/2006/main" xmlns:pic="http://schemas.openxmlformats.org/drawingml/2006/picture">
            <wp:extent cx="1463040" cy="1749522"/>
            <wp:docPr id="3" name="Picture 3"/>
            <wp:cNvGraphicFramePr>
              <a:graphicFrameLocks noChangeAspect="1"/>
            </wp:cNvGraphicFramePr>
            <a:graphic>
              <a:graphicData uri="http://schemas.openxmlformats.org/drawingml/2006/picture">
                <pic:pic>
                  <pic:nvPicPr>
                    <pic:cNvPr id="0" name="ithute-solutions-developer-logo.png"/>
                    <pic:cNvPicPr/>
                  </pic:nvPicPr>
                  <pic:blipFill>
                    <a:blip r:embed="rId13"/>
                    <a:stretch>
                      <a:fillRect/>
                    </a:stretch>
                  </pic:blipFill>
                  <pic:spPr>
                    <a:xfrm>
                      <a:off x="0" y="0"/>
                      <a:ext cx="1463040" cy="1749522"/>
                    </a:xfrm>
                    <a:prstGeom prst="rect"/>
                  </pic:spPr>
                </pic:pic>
              </a:graphicData>
            </a:graphic>
          </wp:inline>
        </w:drawing>
      </w:r>
    </w:p>
    <w:p>
      <w:pPr>
        <w:jc w:val="center"/>
      </w:pPr>
      <w:r>
        <w:rPr>
          <w:rFonts w:ascii="DejaVu Sans" w:hAnsi="DejaVu Sans"/>
          <w:b/>
          <w:color w:val="062B55"/>
          <w:sz w:val="18"/>
        </w:rPr>
        <w:t>Software developed and maintained by Ithute Solutions</w:t>
      </w:r>
    </w:p>
    <w:p>
      <w:pPr>
        <w:jc w:val="center"/>
      </w:pPr>
      <w:r>
        <w:rPr>
          <w:rFonts w:ascii="DejaVu Sans" w:hAnsi="DejaVu Sans"/>
          <w:color w:val="5B6573"/>
          <w:sz w:val="17"/>
        </w:rPr>
        <w:t>Edition: July 2026 • Current migration head: f1a9c4e7b620</w:t>
      </w:r>
    </w:p>
    <w:p>
      <w:r>
        <w:br w:type="page"/>
      </w:r>
    </w:p>
    <w:p>
      <w:pPr>
        <w:spacing w:after="40"/>
      </w:pPr>
      <w:r>
        <w:rPr>
          <w:rFonts w:ascii="DejaVu Sans" w:hAnsi="DejaVu Sans"/>
          <w:b/>
          <w:color w:val="062B55"/>
          <w:sz w:val="44"/>
        </w:rPr>
        <w:t>1. Document control and how to use this manual</w:t>
      </w:r>
    </w:p>
    <w:p>
      <w:pPr>
        <w:spacing w:after="200"/>
      </w:pPr>
      <w:r>
        <w:rPr>
          <w:rFonts w:ascii="DejaVu Sans" w:hAnsi="DejaVu Sans"/>
          <w:i/>
          <w:color w:val="5B6573"/>
          <w:sz w:val="21"/>
        </w:rPr>
        <w:t>Start here before using any operational module</w:t>
      </w:r>
    </w:p>
    <w:p>
      <w:pPr>
        <w:spacing w:after="200"/>
      </w:pPr>
      <w:r>
        <w:rPr>
          <w:color w:val="007E8A"/>
          <w:sz w:val="10"/>
        </w:rPr>
        <w:t>━━━━━━━━━━━━━━━━━━━━━━━━━━━━━━━━━━━━━━━━━━━━━━━━━━━━━━━━━━━━━━━━━━━━━━</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2592"/>
            <w:vAlign w:val="center"/>
            <w:shd w:fill="062B55"/>
          </w:tcPr>
          <w:p>
            <w:pPr>
              <w:spacing w:after="0"/>
            </w:pPr>
            <w:r/>
            <w:r>
              <w:rPr>
                <w:rFonts w:ascii="DejaVu Sans" w:hAnsi="DejaVu Sans"/>
                <w:b/>
                <w:color w:val="FFFFFF"/>
                <w:sz w:val="16"/>
              </w:rPr>
              <w:t>Item</w:t>
            </w:r>
          </w:p>
        </w:tc>
        <w:tc>
          <w:tcPr>
            <w:tcW w:type="dxa" w:w="6912"/>
            <w:vAlign w:val="center"/>
            <w:shd w:fill="062B55"/>
          </w:tcPr>
          <w:p>
            <w:pPr>
              <w:spacing w:after="0"/>
            </w:pPr>
            <w:r/>
            <w:r>
              <w:rPr>
                <w:rFonts w:ascii="DejaVu Sans" w:hAnsi="DejaVu Sans"/>
                <w:b/>
                <w:color w:val="FFFFFF"/>
                <w:sz w:val="16"/>
              </w:rPr>
              <w:t>Value</w:t>
            </w:r>
          </w:p>
        </w:tc>
      </w:tr>
      <w:tr>
        <w:tc>
          <w:tcPr>
            <w:tcW w:type="dxa" w:w="2592"/>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Product</w:t>
            </w:r>
          </w:p>
        </w:tc>
        <w:tc>
          <w:tcPr>
            <w:tcW w:type="dxa" w:w="6912"/>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LoanHub multi-tenant loan management and marketplace platform</w:t>
            </w:r>
          </w:p>
        </w:tc>
      </w:tr>
      <w:tr>
        <w:tc>
          <w:tcPr>
            <w:tcW w:type="dxa" w:w="2592"/>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Product identity</w:t>
            </w:r>
          </w:p>
        </w:tc>
        <w:tc>
          <w:tcPr>
            <w:tcW w:type="dxa" w:w="6912"/>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LoanHub app icon and LoanHub horizontal logo</w:t>
            </w:r>
          </w:p>
        </w:tc>
      </w:tr>
      <w:tr>
        <w:tc>
          <w:tcPr>
            <w:tcW w:type="dxa" w:w="2592"/>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Developer</w:t>
            </w:r>
          </w:p>
        </w:tc>
        <w:tc>
          <w:tcPr>
            <w:tcW w:type="dxa" w:w="6912"/>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Ithute Solutions</w:t>
            </w:r>
          </w:p>
        </w:tc>
      </w:tr>
      <w:tr>
        <w:tc>
          <w:tcPr>
            <w:tcW w:type="dxa" w:w="2592"/>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Audience</w:t>
            </w:r>
          </w:p>
        </w:tc>
        <w:tc>
          <w:tcPr>
            <w:tcW w:type="dxa" w:w="6912"/>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Platform owner, company teams, branch teams, specialist roles and borrowers</w:t>
            </w:r>
          </w:p>
        </w:tc>
      </w:tr>
      <w:tr>
        <w:tc>
          <w:tcPr>
            <w:tcW w:type="dxa" w:w="2592"/>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Timezone</w:t>
            </w:r>
          </w:p>
        </w:tc>
        <w:tc>
          <w:tcPr>
            <w:tcW w:type="dxa" w:w="6912"/>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Africa/Maseru for midnight reconciliation and generated periods</w:t>
            </w:r>
          </w:p>
        </w:tc>
      </w:tr>
      <w:tr>
        <w:tc>
          <w:tcPr>
            <w:tcW w:type="dxa" w:w="2592"/>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Security position</w:t>
            </w:r>
          </w:p>
        </w:tc>
        <w:tc>
          <w:tcPr>
            <w:tcW w:type="dxa" w:w="6912"/>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HTTPS/WSS in transit; AES-GCM encryption at rest for chat and managed files</w:t>
            </w:r>
          </w:p>
        </w:tc>
      </w:tr>
      <w:tr>
        <w:tc>
          <w:tcPr>
            <w:tcW w:type="dxa" w:w="2592"/>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Important limitation</w:t>
            </w:r>
          </w:p>
        </w:tc>
        <w:tc>
          <w:tcPr>
            <w:tcW w:type="dxa" w:w="6912"/>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Encryption is server-managed, not client-to-client end-to-end encryption</w:t>
            </w:r>
          </w:p>
        </w:tc>
      </w:tr>
      <w:tr>
        <w:tc>
          <w:tcPr>
            <w:tcW w:type="dxa" w:w="2592"/>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Migration head</w:t>
            </w:r>
          </w:p>
        </w:tc>
        <w:tc>
          <w:tcPr>
            <w:tcW w:type="dxa" w:w="6912"/>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f1a9c4e7b620</w:t>
            </w:r>
          </w:p>
        </w:tc>
      </w:tr>
    </w:tbl>
    <w:p>
      <w:pPr>
        <w:spacing w:after="0"/>
      </w:pPr>
    </w:p>
    <w:p>
      <w:pPr>
        <w:spacing w:before="120" w:after="60"/>
      </w:pPr>
      <w:r>
        <w:rPr>
          <w:rFonts w:ascii="DejaVu Sans" w:hAnsi="DejaVu Sans"/>
          <w:b/>
          <w:color w:val="062B55"/>
          <w:sz w:val="26"/>
        </w:rPr>
        <w:t>How to use the guide</w:t>
      </w:r>
    </w:p>
    <w:p>
      <w:pPr>
        <w:pStyle w:val="ListBullet"/>
        <w:spacing w:after="40" w:line="245" w:lineRule="auto"/>
        <w:ind w:left="317" w:hanging="173"/>
      </w:pPr>
      <w:r>
        <w:rPr>
          <w:rFonts w:ascii="DejaVu Sans" w:hAnsi="DejaVu Sans"/>
          <w:color w:val="132238"/>
          <w:sz w:val="18"/>
        </w:rPr>
        <w:t>Read Chapters 2–9 for product identity, account access, themes, notifications and role switching.</w:t>
      </w:r>
    </w:p>
    <w:p>
      <w:pPr>
        <w:pStyle w:val="ListBullet"/>
        <w:spacing w:after="40" w:line="245" w:lineRule="auto"/>
        <w:ind w:left="317" w:hanging="173"/>
      </w:pPr>
      <w:r>
        <w:rPr>
          <w:rFonts w:ascii="DejaVu Sans" w:hAnsi="DejaVu Sans"/>
          <w:color w:val="132238"/>
          <w:sz w:val="18"/>
        </w:rPr>
        <w:t>Read the page for your assigned role before performing daily work.</w:t>
      </w:r>
    </w:p>
    <w:p>
      <w:pPr>
        <w:pStyle w:val="ListBullet"/>
        <w:spacing w:after="40" w:line="245" w:lineRule="auto"/>
        <w:ind w:left="317" w:hanging="173"/>
      </w:pPr>
      <w:r>
        <w:rPr>
          <w:rFonts w:ascii="DejaVu Sans" w:hAnsi="DejaVu Sans"/>
          <w:color w:val="132238"/>
          <w:sz w:val="18"/>
        </w:rPr>
        <w:t>Use workflow chapters for marketplace, loans, chat, files, accounting and reports.</w:t>
      </w:r>
    </w:p>
    <w:p>
      <w:pPr>
        <w:pStyle w:val="ListBullet"/>
        <w:spacing w:after="40" w:line="245" w:lineRule="auto"/>
        <w:ind w:left="317" w:hanging="173"/>
      </w:pPr>
      <w:r>
        <w:rPr>
          <w:rFonts w:ascii="DejaVu Sans" w:hAnsi="DejaVu Sans"/>
          <w:color w:val="132238"/>
          <w:sz w:val="18"/>
        </w:rPr>
        <w:t>Use the operational checklists and troubleshooting pages during daily support.</w:t>
      </w:r>
    </w:p>
    <w:p>
      <w:pPr>
        <w:pStyle w:val="ListBullet"/>
        <w:spacing w:after="40" w:line="245" w:lineRule="auto"/>
        <w:ind w:left="317" w:hanging="173"/>
      </w:pPr>
      <w:r>
        <w:rPr>
          <w:rFonts w:ascii="DejaVu Sans" w:hAnsi="DejaVu Sans"/>
          <w:color w:val="132238"/>
          <w:sz w:val="18"/>
        </w:rPr>
        <w:t>Company policy, consumer-protection rules and Lesotho regulatory requirements override examples in this manual.</w:t>
      </w:r>
    </w:p>
    <w:tbl>
      <w:tblPr>
        <w:tblW w:type="auto" w:w="0"/>
        <w:tblLayout w:type="fixed"/>
        <w:tblLook w:firstColumn="1" w:firstRow="1" w:lastColumn="0" w:lastRow="0" w:noHBand="0" w:noVBand="1" w:val="04A0"/>
      </w:tblPr>
      <w:tblGrid>
        <w:gridCol w:w="173"/>
        <w:gridCol w:w="9648"/>
      </w:tblGrid>
      <w:tr>
        <w:tc>
          <w:tcPr>
            <w:tcW w:type="dxa" w:w="4946"/>
            <w:shd w:fill="B66B00"/>
          </w:tcPr>
          <w:p/>
        </w:tc>
        <w:tc>
          <w:tcPr>
            <w:tcW w:type="dxa" w:w="4946"/>
            <w:shd w:fill="FFF4E5"/>
          </w:tcPr>
          <w:p>
            <w:pPr>
              <w:spacing w:after="40"/>
            </w:pPr>
            <w:r/>
            <w:r>
              <w:rPr>
                <w:rFonts w:ascii="DejaVu Sans" w:hAnsi="DejaVu Sans"/>
                <w:b/>
                <w:color w:val="B66B00"/>
                <w:sz w:val="19"/>
              </w:rPr>
              <w:t>Support rule</w:t>
            </w:r>
          </w:p>
          <w:p>
            <w:pPr>
              <w:spacing w:after="0"/>
            </w:pPr>
            <w:r>
              <w:rPr>
                <w:rFonts w:ascii="DejaVu Sans" w:hAnsi="DejaVu Sans"/>
                <w:color w:val="132238"/>
                <w:sz w:val="17"/>
              </w:rPr>
              <w:t>Use friendly record references and the request ID shown by the interface. Never send passwords, mobile-money PINs, private keys, database passwords or complete tokens.</w:t>
            </w:r>
          </w:p>
        </w:tc>
      </w:tr>
    </w:tbl>
    <w:p>
      <w:pPr>
        <w:spacing w:after="0"/>
      </w:pPr>
    </w:p>
    <w:p>
      <w:r>
        <w:br w:type="page"/>
      </w:r>
    </w:p>
    <w:p>
      <w:pPr>
        <w:spacing w:after="40"/>
      </w:pPr>
      <w:r>
        <w:rPr>
          <w:rFonts w:ascii="DejaVu Sans" w:hAnsi="DejaVu Sans"/>
          <w:b/>
          <w:color w:val="062B55"/>
          <w:sz w:val="44"/>
        </w:rPr>
        <w:t>2. Product overview</w:t>
      </w:r>
    </w:p>
    <w:p>
      <w:pPr>
        <w:spacing w:after="200"/>
      </w:pPr>
      <w:r>
        <w:rPr>
          <w:rFonts w:ascii="DejaVu Sans" w:hAnsi="DejaVu Sans"/>
          <w:i/>
          <w:color w:val="5B6573"/>
          <w:sz w:val="21"/>
        </w:rPr>
        <w:t>How LoanHub connects borrowers, lenders and the platform owner</w:t>
      </w:r>
    </w:p>
    <w:p>
      <w:pPr>
        <w:spacing w:after="200"/>
      </w:pPr>
      <w:r>
        <w:rPr>
          <w:color w:val="007E8A"/>
          <w:sz w:val="10"/>
        </w:rPr>
        <w:t>━━━━━━━━━━━━━━━━━━━━━━━━━━━━━━━━━━━━━━━━━━━━━━━━━━━━━━━━━━━━━━━━━━━━━━</w:t>
      </w:r>
    </w:p>
    <w:p>
      <w:pPr>
        <w:spacing w:after="100" w:line="252" w:lineRule="auto"/>
      </w:pPr>
      <w:r>
        <w:rPr>
          <w:rFonts w:ascii="DejaVu Sans" w:hAnsi="DejaVu Sans"/>
          <w:color w:val="132238"/>
          <w:sz w:val="19"/>
        </w:rPr>
        <w:t>LoanHub allows many independent loan companies to operate in one service while company and branch data remains isolated by server-enforced membership. Borrowers publish requests, eligible lenders compete with offers, the borrower accepts one offer, and the selected company services the loan.</w:t>
      </w:r>
    </w:p>
    <w:p>
      <w:pPr>
        <w:spacing w:before="120" w:after="60"/>
      </w:pPr>
      <w:r>
        <w:rPr>
          <w:rFonts w:ascii="DejaVu Sans" w:hAnsi="DejaVu Sans"/>
          <w:b/>
          <w:color w:val="062B55"/>
          <w:sz w:val="26"/>
        </w:rPr>
        <w:t>Core business flow</w:t>
      </w:r>
    </w:p>
    <w:p>
      <w:pPr>
        <w:pStyle w:val="ListNumber"/>
        <w:spacing w:after="40" w:line="245" w:lineRule="auto"/>
        <w:ind w:left="317" w:hanging="173"/>
      </w:pPr>
      <w:r>
        <w:rPr>
          <w:rFonts w:ascii="DejaVu Sans" w:hAnsi="DejaVu Sans"/>
          <w:color w:val="132238"/>
          <w:sz w:val="18"/>
        </w:rPr>
        <w:t>A borrower registers and completes identity, address and employment details.</w:t>
      </w:r>
    </w:p>
    <w:p>
      <w:pPr>
        <w:pStyle w:val="ListNumber"/>
        <w:spacing w:after="40" w:line="245" w:lineRule="auto"/>
        <w:ind w:left="317" w:hanging="173"/>
      </w:pPr>
      <w:r>
        <w:rPr>
          <w:rFonts w:ascii="DejaVu Sans" w:hAnsi="DejaVu Sans"/>
          <w:color w:val="132238"/>
          <w:sz w:val="18"/>
        </w:rPr>
        <w:t>The borrower broadcasts a consented loan request to the marketplace.</w:t>
      </w:r>
    </w:p>
    <w:p>
      <w:pPr>
        <w:pStyle w:val="ListNumber"/>
        <w:spacing w:after="40" w:line="245" w:lineRule="auto"/>
        <w:ind w:left="317" w:hanging="173"/>
      </w:pPr>
      <w:r>
        <w:rPr>
          <w:rFonts w:ascii="DejaVu Sans" w:hAnsi="DejaVu Sans"/>
          <w:color w:val="132238"/>
          <w:sz w:val="18"/>
        </w:rPr>
        <w:t>Companies receive a redacted request and unlock full details according to plan rules.</w:t>
      </w:r>
    </w:p>
    <w:p>
      <w:pPr>
        <w:pStyle w:val="ListNumber"/>
        <w:spacing w:after="40" w:line="245" w:lineRule="auto"/>
        <w:ind w:left="317" w:hanging="173"/>
      </w:pPr>
      <w:r>
        <w:rPr>
          <w:rFonts w:ascii="DejaVu Sans" w:hAnsi="DejaVu Sans"/>
          <w:color w:val="132238"/>
          <w:sz w:val="18"/>
        </w:rPr>
        <w:t>Authorised loan staff perform affordability and risk review and submit one company offer.</w:t>
      </w:r>
    </w:p>
    <w:p>
      <w:pPr>
        <w:pStyle w:val="ListNumber"/>
        <w:spacing w:after="40" w:line="245" w:lineRule="auto"/>
        <w:ind w:left="317" w:hanging="173"/>
      </w:pPr>
      <w:r>
        <w:rPr>
          <w:rFonts w:ascii="DejaVu Sans" w:hAnsi="DejaVu Sans"/>
          <w:color w:val="132238"/>
          <w:sz w:val="18"/>
        </w:rPr>
        <w:t>The borrower compares amount, fees, interest, term and total repayment and accepts one offer.</w:t>
      </w:r>
    </w:p>
    <w:p>
      <w:pPr>
        <w:pStyle w:val="ListNumber"/>
        <w:spacing w:after="40" w:line="245" w:lineRule="auto"/>
        <w:ind w:left="317" w:hanging="173"/>
      </w:pPr>
      <w:r>
        <w:rPr>
          <w:rFonts w:ascii="DejaVu Sans" w:hAnsi="DejaVu Sans"/>
          <w:color w:val="132238"/>
          <w:sz w:val="18"/>
        </w:rPr>
        <w:t>The selected company approves, disburses, schedules, collects and reconciles the loan.</w:t>
      </w:r>
    </w:p>
    <w:p>
      <w:pPr>
        <w:pStyle w:val="ListNumber"/>
        <w:spacing w:after="40" w:line="245" w:lineRule="auto"/>
        <w:ind w:left="317" w:hanging="173"/>
      </w:pPr>
      <w:r>
        <w:rPr>
          <w:rFonts w:ascii="DejaVu Sans" w:hAnsi="DejaVu Sans"/>
          <w:color w:val="132238"/>
          <w:sz w:val="18"/>
        </w:rPr>
        <w:t>Notifications, audit events, accounting and reports provide oversight throughout the lifecycle.</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2880"/>
            <w:vAlign w:val="center"/>
            <w:shd w:fill="062B55"/>
          </w:tcPr>
          <w:p>
            <w:pPr>
              <w:spacing w:after="0"/>
            </w:pPr>
            <w:r/>
            <w:r>
              <w:rPr>
                <w:rFonts w:ascii="DejaVu Sans" w:hAnsi="DejaVu Sans"/>
                <w:b/>
                <w:color w:val="FFFFFF"/>
                <w:sz w:val="16"/>
              </w:rPr>
              <w:t>Module</w:t>
            </w:r>
          </w:p>
        </w:tc>
        <w:tc>
          <w:tcPr>
            <w:tcW w:type="dxa" w:w="6624"/>
            <w:vAlign w:val="center"/>
            <w:shd w:fill="062B55"/>
          </w:tcPr>
          <w:p>
            <w:pPr>
              <w:spacing w:after="0"/>
            </w:pPr>
            <w:r/>
            <w:r>
              <w:rPr>
                <w:rFonts w:ascii="DejaVu Sans" w:hAnsi="DejaVu Sans"/>
                <w:b/>
                <w:color w:val="FFFFFF"/>
                <w:sz w:val="16"/>
              </w:rPr>
              <w:t>Purpose</w:t>
            </w:r>
          </w:p>
        </w:tc>
      </w:tr>
      <w:tr>
        <w:tc>
          <w:tcPr>
            <w:tcW w:type="dxa" w:w="288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Tenant administration</w:t>
            </w:r>
          </w:p>
        </w:tc>
        <w:tc>
          <w:tcPr>
            <w:tcW w:type="dxa" w:w="662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Companies, branches, roles, staff and company settings</w:t>
            </w:r>
          </w:p>
        </w:tc>
      </w:tr>
      <w:tr>
        <w:tc>
          <w:tcPr>
            <w:tcW w:type="dxa" w:w="288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Marketplace</w:t>
            </w:r>
          </w:p>
        </w:tc>
        <w:tc>
          <w:tcPr>
            <w:tcW w:type="dxa" w:w="662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Broadcast requests, unlocks, offers and selection</w:t>
            </w:r>
          </w:p>
        </w:tc>
      </w:tr>
      <w:tr>
        <w:tc>
          <w:tcPr>
            <w:tcW w:type="dxa" w:w="288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Servicing</w:t>
            </w:r>
          </w:p>
        </w:tc>
        <w:tc>
          <w:tcPr>
            <w:tcW w:type="dxa" w:w="662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Loans, disbursement, schedules, repayments and collections</w:t>
            </w:r>
          </w:p>
        </w:tc>
      </w:tr>
      <w:tr>
        <w:tc>
          <w:tcPr>
            <w:tcW w:type="dxa" w:w="288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Transparency</w:t>
            </w:r>
          </w:p>
        </w:tc>
        <w:tc>
          <w:tcPr>
            <w:tcW w:type="dxa" w:w="662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Notifications, audits, errors and action links</w:t>
            </w:r>
          </w:p>
        </w:tc>
      </w:tr>
      <w:tr>
        <w:tc>
          <w:tcPr>
            <w:tcW w:type="dxa" w:w="288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Business operations</w:t>
            </w:r>
          </w:p>
        </w:tc>
        <w:tc>
          <w:tcPr>
            <w:tcW w:type="dxa" w:w="662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Employees, performance, accounting, chat, files and reports</w:t>
            </w:r>
          </w:p>
        </w:tc>
      </w:tr>
    </w:tbl>
    <w:p>
      <w:pPr>
        <w:spacing w:after="0"/>
      </w:pPr>
    </w:p>
    <w:p>
      <w:r>
        <w:br w:type="page"/>
      </w:r>
    </w:p>
    <w:p>
      <w:pPr>
        <w:spacing w:after="40"/>
      </w:pPr>
      <w:r>
        <w:rPr>
          <w:rFonts w:ascii="DejaVu Sans" w:hAnsi="DejaVu Sans"/>
          <w:b/>
          <w:color w:val="062B55"/>
          <w:sz w:val="44"/>
        </w:rPr>
        <w:t>3. Brand identity and logo use</w:t>
      </w:r>
    </w:p>
    <w:p>
      <w:pPr>
        <w:spacing w:after="200"/>
      </w:pPr>
      <w:r>
        <w:rPr>
          <w:rFonts w:ascii="DejaVu Sans" w:hAnsi="DejaVu Sans"/>
          <w:i/>
          <w:color w:val="5B6573"/>
          <w:sz w:val="21"/>
        </w:rPr>
        <w:t>LoanHub is the product; Ithute Solutions is the developer</w:t>
      </w:r>
    </w:p>
    <w:p>
      <w:pPr>
        <w:spacing w:after="200"/>
      </w:pPr>
      <w:r>
        <w:rPr>
          <w:color w:val="007E8A"/>
          <w:sz w:val="10"/>
        </w:rPr>
        <w:t>━━━━━━━━━━━━━━━━━━━━━━━━━━━━━━━━━━━━━━━━━━━━━━━━━━━━━━━━━━━━━━━━━━━━━━</w:t>
      </w:r>
    </w:p>
    <w:tbl>
      <w:tblPr>
        <w:tblW w:type="auto" w:w="0"/>
        <w:jc w:val="center"/>
        <w:tblLayout w:type="fixed"/>
        <w:tblLook w:firstColumn="1" w:firstRow="1" w:lastColumn="0" w:lastRow="0" w:noHBand="0" w:noVBand="1" w:val="04A0"/>
      </w:tblPr>
      <w:tblGrid>
        <w:gridCol w:w="3298"/>
        <w:gridCol w:w="3298"/>
        <w:gridCol w:w="3298"/>
      </w:tblGrid>
      <w:tr>
        <w:trPr>
          <w:tblHeader w:val="true"/>
        </w:trPr>
        <w:tc>
          <w:tcPr>
            <w:tcW w:type="dxa" w:w="2232"/>
            <w:vAlign w:val="center"/>
            <w:shd w:fill="062B55"/>
          </w:tcPr>
          <w:p>
            <w:pPr>
              <w:spacing w:after="0"/>
            </w:pPr>
            <w:r/>
            <w:r>
              <w:rPr>
                <w:rFonts w:ascii="DejaVu Sans" w:hAnsi="DejaVu Sans"/>
                <w:b/>
                <w:color w:val="FFFFFF"/>
                <w:sz w:val="16"/>
              </w:rPr>
              <w:t>Asset</w:t>
            </w:r>
          </w:p>
        </w:tc>
        <w:tc>
          <w:tcPr>
            <w:tcW w:type="dxa" w:w="3960"/>
            <w:vAlign w:val="center"/>
            <w:shd w:fill="062B55"/>
          </w:tcPr>
          <w:p>
            <w:pPr>
              <w:spacing w:after="0"/>
            </w:pPr>
            <w:r/>
            <w:r>
              <w:rPr>
                <w:rFonts w:ascii="DejaVu Sans" w:hAnsi="DejaVu Sans"/>
                <w:b/>
                <w:color w:val="FFFFFF"/>
                <w:sz w:val="16"/>
              </w:rPr>
              <w:t>Correct use</w:t>
            </w:r>
          </w:p>
        </w:tc>
        <w:tc>
          <w:tcPr>
            <w:tcW w:type="dxa" w:w="3312"/>
            <w:vAlign w:val="center"/>
            <w:shd w:fill="062B55"/>
          </w:tcPr>
          <w:p>
            <w:pPr>
              <w:spacing w:after="0"/>
            </w:pPr>
            <w:r/>
            <w:r>
              <w:rPr>
                <w:rFonts w:ascii="DejaVu Sans" w:hAnsi="DejaVu Sans"/>
                <w:b/>
                <w:color w:val="FFFFFF"/>
                <w:sz w:val="16"/>
              </w:rPr>
              <w:t>Do not use it as</w:t>
            </w:r>
          </w:p>
        </w:tc>
      </w:tr>
      <w:tr>
        <w:tc>
          <w:tcPr>
            <w:tcW w:type="dxa" w:w="2232"/>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LoanHub app icon</w:t>
            </w:r>
          </w:p>
        </w:tc>
        <w:tc>
          <w:tcPr>
            <w:tcW w:type="dxa" w:w="396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Browser/app icon, compact sidebar, mobile launcher and small report mark</w:t>
            </w:r>
          </w:p>
        </w:tc>
        <w:tc>
          <w:tcPr>
            <w:tcW w:type="dxa" w:w="3312"/>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The Ithute Solutions company logo</w:t>
            </w:r>
          </w:p>
        </w:tc>
      </w:tr>
      <w:tr>
        <w:tc>
          <w:tcPr>
            <w:tcW w:type="dxa" w:w="2232"/>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LoanHub horizontal logo</w:t>
            </w:r>
          </w:p>
        </w:tc>
        <w:tc>
          <w:tcPr>
            <w:tcW w:type="dxa" w:w="396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Login page, public marketing, product headers and report covers</w:t>
            </w:r>
          </w:p>
        </w:tc>
        <w:tc>
          <w:tcPr>
            <w:tcW w:type="dxa" w:w="3312"/>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A lender-company logo</w:t>
            </w:r>
          </w:p>
        </w:tc>
      </w:tr>
      <w:tr>
        <w:tc>
          <w:tcPr>
            <w:tcW w:type="dxa" w:w="2232"/>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Ithute Solutions logo</w:t>
            </w:r>
          </w:p>
        </w:tc>
        <w:tc>
          <w:tcPr>
            <w:tcW w:type="dxa" w:w="396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Small “developed by” credit, engineering documentation and maintenance reports</w:t>
            </w:r>
          </w:p>
        </w:tc>
        <w:tc>
          <w:tcPr>
            <w:tcW w:type="dxa" w:w="3312"/>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The primary LoanHub system identity</w:t>
            </w:r>
          </w:p>
        </w:tc>
      </w:tr>
    </w:tbl>
    <w:p>
      <w:pPr>
        <w:spacing w:after="0"/>
      </w:pPr>
    </w:p>
    <w:p>
      <w:pPr>
        <w:spacing w:before="120" w:after="60"/>
      </w:pPr>
      <w:r>
        <w:rPr>
          <w:rFonts w:ascii="DejaVu Sans" w:hAnsi="DejaVu Sans"/>
          <w:b/>
          <w:color w:val="062B55"/>
          <w:sz w:val="26"/>
        </w:rPr>
        <w:t>Inside the system</w:t>
      </w:r>
    </w:p>
    <w:p>
      <w:pPr>
        <w:pStyle w:val="ListBullet"/>
        <w:spacing w:after="40" w:line="245" w:lineRule="auto"/>
        <w:ind w:left="317" w:hanging="173"/>
      </w:pPr>
      <w:r>
        <w:rPr>
          <w:rFonts w:ascii="DejaVu Sans" w:hAnsi="DejaVu Sans"/>
          <w:color w:val="132238"/>
          <w:sz w:val="18"/>
        </w:rPr>
        <w:t>The navbar and authentication screens identify the system as LoanHub.</w:t>
      </w:r>
    </w:p>
    <w:p>
      <w:pPr>
        <w:pStyle w:val="ListBullet"/>
        <w:spacing w:after="40" w:line="245" w:lineRule="auto"/>
        <w:ind w:left="317" w:hanging="173"/>
      </w:pPr>
      <w:r>
        <w:rPr>
          <w:rFonts w:ascii="DejaVu Sans" w:hAnsi="DejaVu Sans"/>
          <w:color w:val="132238"/>
          <w:sz w:val="18"/>
        </w:rPr>
        <w:t>Generated LoanHub reports use the product logo first and a smaller Ithute Solutions developer credit.</w:t>
      </w:r>
    </w:p>
    <w:p>
      <w:pPr>
        <w:pStyle w:val="ListBullet"/>
        <w:spacing w:after="40" w:line="245" w:lineRule="auto"/>
        <w:ind w:left="317" w:hanging="173"/>
      </w:pPr>
      <w:r>
        <w:rPr>
          <w:rFonts w:ascii="DejaVu Sans" w:hAnsi="DejaVu Sans"/>
          <w:color w:val="132238"/>
          <w:sz w:val="18"/>
        </w:rPr>
        <w:t>Loan-company tenants may later add approved company branding without replacing platform ownership marks.</w:t>
      </w:r>
    </w:p>
    <w:p>
      <w:pPr>
        <w:pStyle w:val="ListBullet"/>
        <w:spacing w:after="40" w:line="245" w:lineRule="auto"/>
        <w:ind w:left="317" w:hanging="173"/>
      </w:pPr>
      <w:r>
        <w:rPr>
          <w:rFonts w:ascii="DejaVu Sans" w:hAnsi="DejaVu Sans"/>
          <w:color w:val="132238"/>
          <w:sz w:val="18"/>
        </w:rPr>
        <w:t>Product assets are stored in `brand/`, frontend `public/` and backend `assets/` with clear filenames.</w:t>
      </w:r>
    </w:p>
    <w:tbl>
      <w:tblPr>
        <w:tblW w:type="auto" w:w="0"/>
        <w:tblLayout w:type="fixed"/>
        <w:tblLook w:firstColumn="1" w:firstRow="1" w:lastColumn="0" w:lastRow="0" w:noHBand="0" w:noVBand="1" w:val="04A0"/>
      </w:tblPr>
      <w:tblGrid>
        <w:gridCol w:w="173"/>
        <w:gridCol w:w="9648"/>
      </w:tblGrid>
      <w:tr>
        <w:tc>
          <w:tcPr>
            <w:tcW w:type="dxa" w:w="4946"/>
            <w:shd w:fill="2F9E2F"/>
          </w:tcPr>
          <w:p/>
        </w:tc>
        <w:tc>
          <w:tcPr>
            <w:tcW w:type="dxa" w:w="4946"/>
            <w:shd w:fill="EFF9EC"/>
          </w:tcPr>
          <w:p>
            <w:pPr>
              <w:spacing w:after="40"/>
            </w:pPr>
            <w:r/>
            <w:r>
              <w:rPr>
                <w:rFonts w:ascii="DejaVu Sans" w:hAnsi="DejaVu Sans"/>
                <w:b/>
                <w:color w:val="2F9E2F"/>
                <w:sz w:val="19"/>
              </w:rPr>
              <w:t>Marketing consistency</w:t>
            </w:r>
          </w:p>
          <w:p>
            <w:pPr>
              <w:spacing w:after="0"/>
            </w:pPr>
            <w:r>
              <w:rPr>
                <w:rFonts w:ascii="DejaVu Sans" w:hAnsi="DejaVu Sans"/>
                <w:color w:val="132238"/>
                <w:sz w:val="17"/>
              </w:rPr>
              <w:t>Always describe the product as “LoanHub — Lesotho Loan Marketplace” and the engineering credit as “Developed and maintained by Ithute Solutions.”</w:t>
            </w:r>
          </w:p>
        </w:tc>
      </w:tr>
    </w:tbl>
    <w:p>
      <w:pPr>
        <w:spacing w:after="0"/>
      </w:pPr>
    </w:p>
    <w:p>
      <w:r>
        <w:br w:type="page"/>
      </w:r>
    </w:p>
    <w:p>
      <w:pPr>
        <w:spacing w:after="40"/>
      </w:pPr>
      <w:r>
        <w:rPr>
          <w:rFonts w:ascii="DejaVu Sans" w:hAnsi="DejaVu Sans"/>
          <w:b/>
          <w:color w:val="062B55"/>
          <w:sz w:val="44"/>
        </w:rPr>
        <w:t>4. Accounts, tenants and branches</w:t>
      </w:r>
    </w:p>
    <w:p>
      <w:pPr>
        <w:spacing w:after="200"/>
      </w:pPr>
      <w:r>
        <w:rPr>
          <w:rFonts w:ascii="DejaVu Sans" w:hAnsi="DejaVu Sans"/>
          <w:i/>
          <w:color w:val="5B6573"/>
          <w:sz w:val="21"/>
        </w:rPr>
        <w:t>Understand where permissions come from</w:t>
      </w:r>
    </w:p>
    <w:p>
      <w:pPr>
        <w:spacing w:after="200"/>
      </w:pPr>
      <w:r>
        <w:rPr>
          <w:color w:val="007E8A"/>
          <w:sz w:val="10"/>
        </w:rPr>
        <w:t>━━━━━━━━━━━━━━━━━━━━━━━━━━━━━━━━━━━━━━━━━━━━━━━━━━━━━━━━━━━━━━━━━━━━━━</w:t>
      </w:r>
    </w:p>
    <w:p>
      <w:pPr>
        <w:spacing w:before="120" w:after="60"/>
      </w:pPr>
      <w:r>
        <w:rPr>
          <w:rFonts w:ascii="DejaVu Sans" w:hAnsi="DejaVu Sans"/>
          <w:b/>
          <w:color w:val="062B55"/>
          <w:sz w:val="26"/>
        </w:rPr>
        <w:t>Account</w:t>
      </w:r>
    </w:p>
    <w:p>
      <w:pPr>
        <w:spacing w:after="100" w:line="252" w:lineRule="auto"/>
      </w:pPr>
      <w:r>
        <w:rPr>
          <w:rFonts w:ascii="DejaVu Sans" w:hAnsi="DejaVu Sans"/>
          <w:color w:val="132238"/>
          <w:sz w:val="19"/>
        </w:rPr>
        <w:t>A user account stores authentication and personal identity. The account may also have a borrower profile, one or more company-staff memberships, or the platform-owner role.</w:t>
      </w:r>
    </w:p>
    <w:p>
      <w:pPr>
        <w:spacing w:before="120" w:after="60"/>
      </w:pPr>
      <w:r>
        <w:rPr>
          <w:rFonts w:ascii="DejaVu Sans" w:hAnsi="DejaVu Sans"/>
          <w:b/>
          <w:color w:val="062B55"/>
          <w:sz w:val="26"/>
        </w:rPr>
        <w:t>Tenant</w:t>
      </w:r>
    </w:p>
    <w:p>
      <w:pPr>
        <w:spacing w:after="100" w:line="252" w:lineRule="auto"/>
      </w:pPr>
      <w:r>
        <w:rPr>
          <w:rFonts w:ascii="DejaVu Sans" w:hAnsi="DejaVu Sans"/>
          <w:color w:val="132238"/>
          <w:sz w:val="19"/>
        </w:rPr>
        <w:t>A tenant is a loan company. Company information is isolated from unrelated companies. Company IDs supplied by a browser are never trusted without checking the authenticated membership in PostgreSQL.</w:t>
      </w:r>
    </w:p>
    <w:p>
      <w:pPr>
        <w:spacing w:before="120" w:after="60"/>
      </w:pPr>
      <w:r>
        <w:rPr>
          <w:rFonts w:ascii="DejaVu Sans" w:hAnsi="DejaVu Sans"/>
          <w:b/>
          <w:color w:val="062B55"/>
          <w:sz w:val="26"/>
        </w:rPr>
        <w:t>Branch scope</w:t>
      </w:r>
    </w:p>
    <w:p>
      <w:pPr>
        <w:spacing w:after="100" w:line="252" w:lineRule="auto"/>
      </w:pPr>
      <w:r>
        <w:rPr>
          <w:rFonts w:ascii="DejaVu Sans" w:hAnsi="DejaVu Sans"/>
          <w:color w:val="132238"/>
          <w:sz w:val="19"/>
        </w:rPr>
        <w:t>A staff membership may be assigned to a branch. Branch users receive branch-scoped lists, performance, reports, files and notifications unless a company-wide role authorises broader access.</w:t>
      </w:r>
    </w:p>
    <w:tbl>
      <w:tblPr>
        <w:tblW w:type="auto" w:w="0"/>
        <w:jc w:val="center"/>
        <w:tblLayout w:type="fixed"/>
        <w:tblLook w:firstColumn="1" w:firstRow="1" w:lastColumn="0" w:lastRow="0" w:noHBand="0" w:noVBand="1" w:val="04A0"/>
      </w:tblPr>
      <w:tblGrid>
        <w:gridCol w:w="3298"/>
        <w:gridCol w:w="3298"/>
        <w:gridCol w:w="3298"/>
      </w:tblGrid>
      <w:tr>
        <w:trPr>
          <w:tblHeader w:val="true"/>
        </w:trPr>
        <w:tc>
          <w:tcPr>
            <w:tcW w:type="dxa" w:w="1728"/>
            <w:vAlign w:val="center"/>
            <w:shd w:fill="062B55"/>
          </w:tcPr>
          <w:p>
            <w:pPr>
              <w:spacing w:after="0"/>
            </w:pPr>
            <w:r/>
            <w:r>
              <w:rPr>
                <w:rFonts w:ascii="DejaVu Sans" w:hAnsi="DejaVu Sans"/>
                <w:b/>
                <w:color w:val="FFFFFF"/>
                <w:sz w:val="16"/>
              </w:rPr>
              <w:t>Scope</w:t>
            </w:r>
          </w:p>
        </w:tc>
        <w:tc>
          <w:tcPr>
            <w:tcW w:type="dxa" w:w="3240"/>
            <w:vAlign w:val="center"/>
            <w:shd w:fill="062B55"/>
          </w:tcPr>
          <w:p>
            <w:pPr>
              <w:spacing w:after="0"/>
            </w:pPr>
            <w:r/>
            <w:r>
              <w:rPr>
                <w:rFonts w:ascii="DejaVu Sans" w:hAnsi="DejaVu Sans"/>
                <w:b/>
                <w:color w:val="FFFFFF"/>
                <w:sz w:val="16"/>
              </w:rPr>
              <w:t>Typical viewers</w:t>
            </w:r>
          </w:p>
        </w:tc>
        <w:tc>
          <w:tcPr>
            <w:tcW w:type="dxa" w:w="4536"/>
            <w:vAlign w:val="center"/>
            <w:shd w:fill="062B55"/>
          </w:tcPr>
          <w:p>
            <w:pPr>
              <w:spacing w:after="0"/>
            </w:pPr>
            <w:r/>
            <w:r>
              <w:rPr>
                <w:rFonts w:ascii="DejaVu Sans" w:hAnsi="DejaVu Sans"/>
                <w:b/>
                <w:color w:val="FFFFFF"/>
                <w:sz w:val="16"/>
              </w:rPr>
              <w:t>Examples</w:t>
            </w:r>
          </w:p>
        </w:tc>
      </w:tr>
      <w:tr>
        <w:tc>
          <w:tcPr>
            <w:tcW w:type="dxa" w:w="1728"/>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Platform</w:t>
            </w:r>
          </w:p>
        </w:tc>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Platform owner</w:t>
            </w:r>
          </w:p>
        </w:tc>
        <w:tc>
          <w:tcPr>
            <w:tcW w:type="dxa" w:w="4536"/>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All companies, plans, platform accounting, critical errors</w:t>
            </w:r>
          </w:p>
        </w:tc>
      </w:tr>
      <w:tr>
        <w:tc>
          <w:tcPr>
            <w:tcW w:type="dxa" w:w="1728"/>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w:t>
            </w:r>
          </w:p>
        </w:tc>
        <w:tc>
          <w:tcPr>
            <w:tcW w:type="dxa" w:w="324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Owner/admin and authorised specialists</w:t>
            </w:r>
          </w:p>
        </w:tc>
        <w:tc>
          <w:tcPr>
            <w:tcW w:type="dxa" w:w="4536"/>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 portfolio, staff, reports, accounting</w:t>
            </w:r>
          </w:p>
        </w:tc>
      </w:tr>
      <w:tr>
        <w:tc>
          <w:tcPr>
            <w:tcW w:type="dxa" w:w="1728"/>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Branch</w:t>
            </w:r>
          </w:p>
        </w:tc>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Branch manager and branch-assigned staff</w:t>
            </w:r>
          </w:p>
        </w:tc>
        <w:tc>
          <w:tcPr>
            <w:tcW w:type="dxa" w:w="4536"/>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Branch loans, employees, files and performance</w:t>
            </w:r>
          </w:p>
        </w:tc>
      </w:tr>
      <w:tr>
        <w:tc>
          <w:tcPr>
            <w:tcW w:type="dxa" w:w="1728"/>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Personal</w:t>
            </w:r>
          </w:p>
        </w:tc>
        <w:tc>
          <w:tcPr>
            <w:tcW w:type="dxa" w:w="324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Borrower or employee subject</w:t>
            </w:r>
          </w:p>
        </w:tc>
        <w:tc>
          <w:tcPr>
            <w:tcW w:type="dxa" w:w="4536"/>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Own requests, loans, goals, reviews and private files</w:t>
            </w:r>
          </w:p>
        </w:tc>
      </w:tr>
    </w:tbl>
    <w:p>
      <w:pPr>
        <w:spacing w:after="0"/>
      </w:pPr>
    </w:p>
    <w:tbl>
      <w:tblPr>
        <w:tblW w:type="auto" w:w="0"/>
        <w:tblLayout w:type="fixed"/>
        <w:tblLook w:firstColumn="1" w:firstRow="1" w:lastColumn="0" w:lastRow="0" w:noHBand="0" w:noVBand="1" w:val="04A0"/>
      </w:tblPr>
      <w:tblGrid>
        <w:gridCol w:w="173"/>
        <w:gridCol w:w="9648"/>
      </w:tblGrid>
      <w:tr>
        <w:tc>
          <w:tcPr>
            <w:tcW w:type="dxa" w:w="4946"/>
            <w:shd w:fill="B66B00"/>
          </w:tcPr>
          <w:p/>
        </w:tc>
        <w:tc>
          <w:tcPr>
            <w:tcW w:type="dxa" w:w="4946"/>
            <w:shd w:fill="FFF4E5"/>
          </w:tcPr>
          <w:p>
            <w:pPr>
              <w:spacing w:after="40"/>
            </w:pPr>
            <w:r/>
            <w:r>
              <w:rPr>
                <w:rFonts w:ascii="DejaVu Sans" w:hAnsi="DejaVu Sans"/>
                <w:b/>
                <w:color w:val="B66B00"/>
                <w:sz w:val="19"/>
              </w:rPr>
              <w:t>Always check context</w:t>
            </w:r>
          </w:p>
          <w:p>
            <w:pPr>
              <w:spacing w:after="0"/>
            </w:pPr>
            <w:r>
              <w:rPr>
                <w:rFonts w:ascii="DejaVu Sans" w:hAnsi="DejaVu Sans"/>
                <w:color w:val="132238"/>
                <w:sz w:val="17"/>
              </w:rPr>
              <w:t>Before changing data, confirm the active company, branch and role displayed by the interface.</w:t>
            </w:r>
          </w:p>
        </w:tc>
      </w:tr>
    </w:tbl>
    <w:p>
      <w:pPr>
        <w:spacing w:after="0"/>
      </w:pPr>
    </w:p>
    <w:p>
      <w:r>
        <w:br w:type="page"/>
      </w:r>
    </w:p>
    <w:p>
      <w:pPr>
        <w:spacing w:after="40"/>
      </w:pPr>
      <w:r>
        <w:rPr>
          <w:rFonts w:ascii="DejaVu Sans" w:hAnsi="DejaVu Sans"/>
          <w:b/>
          <w:color w:val="062B55"/>
          <w:sz w:val="44"/>
        </w:rPr>
        <w:t>5. Sign-in, password recovery and session safety</w:t>
      </w:r>
    </w:p>
    <w:p>
      <w:pPr>
        <w:spacing w:after="200"/>
      </w:pPr>
      <w:r>
        <w:rPr>
          <w:rFonts w:ascii="DejaVu Sans" w:hAnsi="DejaVu Sans"/>
          <w:i/>
          <w:color w:val="5B6573"/>
          <w:sz w:val="21"/>
        </w:rPr>
        <w:t>Access LoanHub without exposing credentials</w:t>
      </w:r>
    </w:p>
    <w:p>
      <w:pPr>
        <w:spacing w:after="200"/>
      </w:pPr>
      <w:r>
        <w:rPr>
          <w:color w:val="007E8A"/>
          <w:sz w:val="10"/>
        </w:rPr>
        <w:t>━━━━━━━━━━━━━━━━━━━━━━━━━━━━━━━━━━━━━━━━━━━━━━━━━━━━━━━━━━━━━━━━━━━━━━</w:t>
      </w:r>
    </w:p>
    <w:p>
      <w:pPr>
        <w:pStyle w:val="ListNumber"/>
        <w:spacing w:after="40" w:line="245" w:lineRule="auto"/>
        <w:ind w:left="317" w:hanging="173"/>
      </w:pPr>
      <w:r>
        <w:rPr>
          <w:rFonts w:ascii="DejaVu Sans" w:hAnsi="DejaVu Sans"/>
          <w:color w:val="132238"/>
          <w:sz w:val="18"/>
        </w:rPr>
        <w:t>Open the official HTTPS LoanHub address and enter the registered phone number and password.</w:t>
      </w:r>
    </w:p>
    <w:p>
      <w:pPr>
        <w:pStyle w:val="ListNumber"/>
        <w:spacing w:after="40" w:line="245" w:lineRule="auto"/>
        <w:ind w:left="317" w:hanging="173"/>
      </w:pPr>
      <w:r>
        <w:rPr>
          <w:rFonts w:ascii="DejaVu Sans" w:hAnsi="DejaVu Sans"/>
          <w:color w:val="132238"/>
          <w:sz w:val="18"/>
        </w:rPr>
        <w:t>LoanHub redirects to the platform, company or borrower portal according to authorised access.</w:t>
      </w:r>
    </w:p>
    <w:p>
      <w:pPr>
        <w:pStyle w:val="ListNumber"/>
        <w:spacing w:after="40" w:line="245" w:lineRule="auto"/>
        <w:ind w:left="317" w:hanging="173"/>
      </w:pPr>
      <w:r>
        <w:rPr>
          <w:rFonts w:ascii="DejaVu Sans" w:hAnsi="DejaVu Sans"/>
          <w:color w:val="132238"/>
          <w:sz w:val="18"/>
        </w:rPr>
        <w:t>Use the theme control to select Light, Dark or System without changing permissions.</w:t>
      </w:r>
    </w:p>
    <w:p>
      <w:pPr>
        <w:pStyle w:val="ListNumber"/>
        <w:spacing w:after="40" w:line="245" w:lineRule="auto"/>
        <w:ind w:left="317" w:hanging="173"/>
      </w:pPr>
      <w:r>
        <w:rPr>
          <w:rFonts w:ascii="DejaVu Sans" w:hAnsi="DejaVu Sans"/>
          <w:color w:val="132238"/>
          <w:sz w:val="18"/>
        </w:rPr>
        <w:t>Use Logout on shared devices and close the browser after sensitive finance or owner work.</w:t>
      </w:r>
    </w:p>
    <w:p>
      <w:pPr>
        <w:pStyle w:val="ListNumber"/>
        <w:spacing w:after="40" w:line="245" w:lineRule="auto"/>
        <w:ind w:left="317" w:hanging="173"/>
      </w:pPr>
      <w:r>
        <w:rPr>
          <w:rFonts w:ascii="DejaVu Sans" w:hAnsi="DejaVu Sans"/>
          <w:color w:val="132238"/>
          <w:sz w:val="18"/>
        </w:rPr>
        <w:t>Use “Forgot password?” to submit a privacy-safe recovery request to the platform owner. The page never confirms whether an account exists.</w:t>
      </w:r>
    </w:p>
    <w:p>
      <w:pPr>
        <w:spacing w:before="120" w:after="60"/>
      </w:pPr>
      <w:r>
        <w:rPr>
          <w:rFonts w:ascii="DejaVu Sans" w:hAnsi="DejaVu Sans"/>
          <w:b/>
          <w:color w:val="062B55"/>
          <w:sz w:val="26"/>
        </w:rPr>
        <w:t>Password recovery</w:t>
      </w:r>
    </w:p>
    <w:p>
      <w:pPr>
        <w:spacing w:after="100" w:line="252" w:lineRule="auto"/>
      </w:pPr>
      <w:r>
        <w:rPr>
          <w:rFonts w:ascii="DejaVu Sans" w:hAnsi="DejaVu Sans"/>
          <w:color w:val="132238"/>
          <w:sz w:val="19"/>
        </w:rPr>
        <w:t>The recovery page creates a friendly RST reference and sends a private notification to platform support when a matching active account exists. An authorised platform owner verifies identity through approved channels. LoanHub never sends the existing password.</w:t>
      </w:r>
    </w:p>
    <w:p>
      <w:pPr>
        <w:pStyle w:val="ListBullet"/>
        <w:spacing w:after="40" w:line="245" w:lineRule="auto"/>
        <w:ind w:left="317" w:hanging="173"/>
      </w:pPr>
      <w:r>
        <w:rPr>
          <w:rFonts w:ascii="DejaVu Sans" w:hAnsi="DejaVu Sans"/>
          <w:color w:val="132238"/>
          <w:sz w:val="18"/>
        </w:rPr>
        <w:t>Use a long, unique passphrase.</w:t>
      </w:r>
    </w:p>
    <w:p>
      <w:pPr>
        <w:pStyle w:val="ListBullet"/>
        <w:spacing w:after="40" w:line="245" w:lineRule="auto"/>
        <w:ind w:left="317" w:hanging="173"/>
      </w:pPr>
      <w:r>
        <w:rPr>
          <w:rFonts w:ascii="DejaVu Sans" w:hAnsi="DejaVu Sans"/>
          <w:color w:val="132238"/>
          <w:sz w:val="18"/>
        </w:rPr>
        <w:t>Never send passwords, tokens, JWT keys or mobile-money PINs in chat.</w:t>
      </w:r>
    </w:p>
    <w:p>
      <w:pPr>
        <w:pStyle w:val="ListBullet"/>
        <w:spacing w:after="40" w:line="245" w:lineRule="auto"/>
        <w:ind w:left="317" w:hanging="173"/>
      </w:pPr>
      <w:r>
        <w:rPr>
          <w:rFonts w:ascii="DejaVu Sans" w:hAnsi="DejaVu Sans"/>
          <w:color w:val="132238"/>
          <w:sz w:val="18"/>
        </w:rPr>
        <w:t>Do not save owner or finance passwords on shared computers.</w:t>
      </w:r>
    </w:p>
    <w:p>
      <w:pPr>
        <w:pStyle w:val="ListBullet"/>
        <w:spacing w:after="40" w:line="245" w:lineRule="auto"/>
        <w:ind w:left="317" w:hanging="173"/>
      </w:pPr>
      <w:r>
        <w:rPr>
          <w:rFonts w:ascii="DejaVu Sans" w:hAnsi="DejaVu Sans"/>
          <w:color w:val="132238"/>
          <w:sz w:val="18"/>
        </w:rPr>
        <w:t>Unexpected tenant or role access must be reported immediately.</w:t>
      </w:r>
    </w:p>
    <w:p>
      <w:r>
        <w:br w:type="page"/>
      </w:r>
    </w:p>
    <w:p>
      <w:pPr>
        <w:spacing w:after="40"/>
      </w:pPr>
      <w:r>
        <w:rPr>
          <w:rFonts w:ascii="DejaVu Sans" w:hAnsi="DejaVu Sans"/>
          <w:b/>
          <w:color w:val="062B55"/>
          <w:sz w:val="44"/>
        </w:rPr>
        <w:t>6. Navigation, themes and accessible use</w:t>
      </w:r>
    </w:p>
    <w:p>
      <w:pPr>
        <w:spacing w:after="200"/>
      </w:pPr>
      <w:r>
        <w:rPr>
          <w:rFonts w:ascii="DejaVu Sans" w:hAnsi="DejaVu Sans"/>
          <w:i/>
          <w:color w:val="5B6573"/>
          <w:sz w:val="21"/>
        </w:rPr>
        <w:t>Use every workspace comfortably on desktop and mobile</w:t>
      </w:r>
    </w:p>
    <w:p>
      <w:pPr>
        <w:spacing w:after="200"/>
      </w:pPr>
      <w:r>
        <w:rPr>
          <w:color w:val="007E8A"/>
          <w:sz w:val="10"/>
        </w:rPr>
        <w:t>━━━━━━━━━━━━━━━━━━━━━━━━━━━━━━━━━━━━━━━━━━━━━━━━━━━━━━━━━━━━━━━━━━━━━━</w:t>
      </w:r>
    </w:p>
    <w:p>
      <w:pPr>
        <w:spacing w:before="120" w:after="60"/>
      </w:pPr>
      <w:r>
        <w:rPr>
          <w:rFonts w:ascii="DejaVu Sans" w:hAnsi="DejaVu Sans"/>
          <w:b/>
          <w:color w:val="062B55"/>
          <w:sz w:val="26"/>
        </w:rPr>
        <w:t>Navigation</w:t>
      </w:r>
    </w:p>
    <w:p>
      <w:pPr>
        <w:pStyle w:val="ListBullet"/>
        <w:spacing w:after="40" w:line="245" w:lineRule="auto"/>
        <w:ind w:left="317" w:hanging="173"/>
      </w:pPr>
      <w:r>
        <w:rPr>
          <w:rFonts w:ascii="DejaVu Sans" w:hAnsi="DejaVu Sans"/>
          <w:color w:val="132238"/>
          <w:sz w:val="18"/>
        </w:rPr>
        <w:t>The sidebar contains only modules allowed by the active role.</w:t>
      </w:r>
    </w:p>
    <w:p>
      <w:pPr>
        <w:pStyle w:val="ListBullet"/>
        <w:spacing w:after="40" w:line="245" w:lineRule="auto"/>
        <w:ind w:left="317" w:hanging="173"/>
      </w:pPr>
      <w:r>
        <w:rPr>
          <w:rFonts w:ascii="DejaVu Sans" w:hAnsi="DejaVu Sans"/>
          <w:color w:val="132238"/>
          <w:sz w:val="18"/>
        </w:rPr>
        <w:t>The notification bell opens a recent inbox and shows unread count.</w:t>
      </w:r>
    </w:p>
    <w:p>
      <w:pPr>
        <w:pStyle w:val="ListBullet"/>
        <w:spacing w:after="40" w:line="245" w:lineRule="auto"/>
        <w:ind w:left="317" w:hanging="173"/>
      </w:pPr>
      <w:r>
        <w:rPr>
          <w:rFonts w:ascii="DejaVu Sans" w:hAnsi="DejaVu Sans"/>
          <w:color w:val="132238"/>
          <w:sz w:val="18"/>
        </w:rPr>
        <w:t>The floating chat button opens the correct chat route for the current portal.</w:t>
      </w:r>
    </w:p>
    <w:p>
      <w:pPr>
        <w:pStyle w:val="ListBullet"/>
        <w:spacing w:after="40" w:line="245" w:lineRule="auto"/>
        <w:ind w:left="317" w:hanging="173"/>
      </w:pPr>
      <w:r>
        <w:rPr>
          <w:rFonts w:ascii="DejaVu Sans" w:hAnsi="DejaVu Sans"/>
          <w:color w:val="132238"/>
          <w:sz w:val="18"/>
        </w:rPr>
        <w:t>Search, filters, pagination and responsive cards reduce large-table overload.</w:t>
      </w:r>
    </w:p>
    <w:p>
      <w:pPr>
        <w:pStyle w:val="ListBullet"/>
        <w:spacing w:after="40" w:line="245" w:lineRule="auto"/>
        <w:ind w:left="317" w:hanging="173"/>
      </w:pPr>
      <w:r>
        <w:rPr>
          <w:rFonts w:ascii="DejaVu Sans" w:hAnsi="DejaVu Sans"/>
          <w:color w:val="132238"/>
          <w:sz w:val="18"/>
        </w:rPr>
        <w:t>Mobile navigation preserves the same permission rules as desktop navigation.</w:t>
      </w:r>
    </w:p>
    <w:p>
      <w:pPr>
        <w:spacing w:before="120" w:after="60"/>
      </w:pPr>
      <w:r>
        <w:rPr>
          <w:rFonts w:ascii="DejaVu Sans" w:hAnsi="DejaVu Sans"/>
          <w:b/>
          <w:color w:val="062B55"/>
          <w:sz w:val="26"/>
        </w:rPr>
        <w:t>Theme control</w:t>
      </w:r>
    </w:p>
    <w:p>
      <w:pPr>
        <w:spacing w:after="100" w:line="252" w:lineRule="auto"/>
      </w:pPr>
      <w:r>
        <w:rPr>
          <w:rFonts w:ascii="DejaVu Sans" w:hAnsi="DejaVu Sans"/>
          <w:color w:val="132238"/>
          <w:sz w:val="19"/>
        </w:rPr>
        <w:t>Select Light, Dark or System from the header theme control. System follows the device preference. Theme selection changes presentation only; it never changes access, reporting or stored business data.</w:t>
      </w:r>
    </w:p>
    <w:p>
      <w:pPr>
        <w:spacing w:before="120" w:after="60"/>
      </w:pPr>
      <w:r>
        <w:rPr>
          <w:rFonts w:ascii="DejaVu Sans" w:hAnsi="DejaVu Sans"/>
          <w:b/>
          <w:color w:val="062B55"/>
          <w:sz w:val="26"/>
        </w:rPr>
        <w:t>Human-friendly references</w:t>
      </w:r>
    </w:p>
    <w:tbl>
      <w:tblPr>
        <w:tblW w:type="auto" w:w="0"/>
        <w:jc w:val="center"/>
        <w:tblLayout w:type="fixed"/>
        <w:tblLook w:firstColumn="1" w:firstRow="1" w:lastColumn="0" w:lastRow="0" w:noHBand="0" w:noVBand="1" w:val="04A0"/>
      </w:tblPr>
      <w:tblGrid>
        <w:gridCol w:w="3298"/>
        <w:gridCol w:w="3298"/>
        <w:gridCol w:w="3298"/>
      </w:tblGrid>
      <w:tr>
        <w:trPr>
          <w:tblHeader w:val="true"/>
        </w:trPr>
        <w:tc>
          <w:tcPr>
            <w:tcW w:type="dxa" w:w="2160"/>
            <w:vAlign w:val="center"/>
            <w:shd w:fill="062B55"/>
          </w:tcPr>
          <w:p>
            <w:pPr>
              <w:spacing w:after="0"/>
            </w:pPr>
            <w:r/>
            <w:r>
              <w:rPr>
                <w:rFonts w:ascii="DejaVu Sans" w:hAnsi="DejaVu Sans"/>
                <w:b/>
                <w:color w:val="FFFFFF"/>
                <w:sz w:val="16"/>
              </w:rPr>
              <w:t>Record</w:t>
            </w:r>
          </w:p>
        </w:tc>
        <w:tc>
          <w:tcPr>
            <w:tcW w:type="dxa" w:w="3024"/>
            <w:vAlign w:val="center"/>
            <w:shd w:fill="062B55"/>
          </w:tcPr>
          <w:p>
            <w:pPr>
              <w:spacing w:after="0"/>
            </w:pPr>
            <w:r/>
            <w:r>
              <w:rPr>
                <w:rFonts w:ascii="DejaVu Sans" w:hAnsi="DejaVu Sans"/>
                <w:b/>
                <w:color w:val="FFFFFF"/>
                <w:sz w:val="16"/>
              </w:rPr>
              <w:t>Example</w:t>
            </w:r>
          </w:p>
        </w:tc>
        <w:tc>
          <w:tcPr>
            <w:tcW w:type="dxa" w:w="4176"/>
            <w:vAlign w:val="center"/>
            <w:shd w:fill="062B55"/>
          </w:tcPr>
          <w:p>
            <w:pPr>
              <w:spacing w:after="0"/>
            </w:pPr>
            <w:r/>
            <w:r>
              <w:rPr>
                <w:rFonts w:ascii="DejaVu Sans" w:hAnsi="DejaVu Sans"/>
                <w:b/>
                <w:color w:val="FFFFFF"/>
                <w:sz w:val="16"/>
              </w:rPr>
              <w:t>Use when contacting support</w:t>
            </w:r>
          </w:p>
        </w:tc>
      </w:tr>
      <w:tr>
        <w:tc>
          <w:tcPr>
            <w:tcW w:type="dxa" w:w="216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Payment</w:t>
            </w:r>
          </w:p>
        </w:tc>
        <w:tc>
          <w:tcPr>
            <w:tcW w:type="dxa" w:w="302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PAY-2026-8A74B113</w:t>
            </w:r>
          </w:p>
        </w:tc>
        <w:tc>
          <w:tcPr>
            <w:tcW w:type="dxa" w:w="4176"/>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Reference, company and date</w:t>
            </w:r>
          </w:p>
        </w:tc>
      </w:tr>
      <w:tr>
        <w:tc>
          <w:tcPr>
            <w:tcW w:type="dxa" w:w="216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Branch</w:t>
            </w:r>
          </w:p>
        </w:tc>
        <w:tc>
          <w:tcPr>
            <w:tcW w:type="dxa" w:w="302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BRN-2026-14CC90F2</w:t>
            </w:r>
          </w:p>
        </w:tc>
        <w:tc>
          <w:tcPr>
            <w:tcW w:type="dxa" w:w="4176"/>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Branch name and reference</w:t>
            </w:r>
          </w:p>
        </w:tc>
      </w:tr>
      <w:tr>
        <w:tc>
          <w:tcPr>
            <w:tcW w:type="dxa" w:w="216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Report</w:t>
            </w:r>
          </w:p>
        </w:tc>
        <w:tc>
          <w:tcPr>
            <w:tcW w:type="dxa" w:w="302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RPT-20260715-7C42A1D9</w:t>
            </w:r>
          </w:p>
        </w:tc>
        <w:tc>
          <w:tcPr>
            <w:tcW w:type="dxa" w:w="4176"/>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Title, period and reference</w:t>
            </w:r>
          </w:p>
        </w:tc>
      </w:tr>
      <w:tr>
        <w:tc>
          <w:tcPr>
            <w:tcW w:type="dxa" w:w="216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Password recovery</w:t>
            </w:r>
          </w:p>
        </w:tc>
        <w:tc>
          <w:tcPr>
            <w:tcW w:type="dxa" w:w="302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RST-20260715-2C8D91F0</w:t>
            </w:r>
          </w:p>
        </w:tc>
        <w:tc>
          <w:tcPr>
            <w:tcW w:type="dxa" w:w="4176"/>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Recovery reference only</w:t>
            </w:r>
          </w:p>
        </w:tc>
      </w:tr>
      <w:tr>
        <w:tc>
          <w:tcPr>
            <w:tcW w:type="dxa" w:w="216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Error</w:t>
            </w:r>
          </w:p>
        </w:tc>
        <w:tc>
          <w:tcPr>
            <w:tcW w:type="dxa" w:w="302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Request ID shown by the safe error message</w:t>
            </w:r>
          </w:p>
        </w:tc>
        <w:tc>
          <w:tcPr>
            <w:tcW w:type="dxa" w:w="4176"/>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Page, time, role and request ID</w:t>
            </w:r>
          </w:p>
        </w:tc>
      </w:tr>
    </w:tbl>
    <w:p>
      <w:pPr>
        <w:spacing w:after="0"/>
      </w:pPr>
    </w:p>
    <w:p>
      <w:r>
        <w:br w:type="page"/>
      </w:r>
    </w:p>
    <w:p>
      <w:pPr>
        <w:spacing w:after="40"/>
      </w:pPr>
      <w:r>
        <w:rPr>
          <w:rFonts w:ascii="DejaVu Sans" w:hAnsi="DejaVu Sans"/>
          <w:b/>
          <w:color w:val="062B55"/>
          <w:sz w:val="44"/>
        </w:rPr>
        <w:t>7. Notifications and action routing</w:t>
      </w:r>
    </w:p>
    <w:p>
      <w:pPr>
        <w:spacing w:after="200"/>
      </w:pPr>
      <w:r>
        <w:rPr>
          <w:rFonts w:ascii="DejaVu Sans" w:hAnsi="DejaVu Sans"/>
          <w:i/>
          <w:color w:val="5B6573"/>
          <w:sz w:val="21"/>
        </w:rPr>
        <w:t>Receive useful events without notification spam</w:t>
      </w:r>
    </w:p>
    <w:p>
      <w:pPr>
        <w:spacing w:after="200"/>
      </w:pPr>
      <w:r>
        <w:rPr>
          <w:color w:val="007E8A"/>
          <w:sz w:val="10"/>
        </w:rPr>
        <w:t>━━━━━━━━━━━━━━━━━━━━━━━━━━━━━━━━━━━━━━━━━━━━━━━━━━━━━━━━━━━━━━━━━━━━━━</w:t>
      </w:r>
    </w:p>
    <w:p>
      <w:pPr>
        <w:pStyle w:val="ListNumber"/>
        <w:spacing w:after="40" w:line="245" w:lineRule="auto"/>
        <w:ind w:left="317" w:hanging="173"/>
      </w:pPr>
      <w:r>
        <w:rPr>
          <w:rFonts w:ascii="DejaVu Sans" w:hAnsi="DejaVu Sans"/>
          <w:color w:val="132238"/>
          <w:sz w:val="18"/>
        </w:rPr>
        <w:t>Open the navbar bell to view the latest notification cards.</w:t>
      </w:r>
    </w:p>
    <w:p>
      <w:pPr>
        <w:pStyle w:val="ListNumber"/>
        <w:spacing w:after="40" w:line="245" w:lineRule="auto"/>
        <w:ind w:left="317" w:hanging="173"/>
      </w:pPr>
      <w:r>
        <w:rPr>
          <w:rFonts w:ascii="DejaVu Sans" w:hAnsi="DejaVu Sans"/>
          <w:color w:val="132238"/>
          <w:sz w:val="18"/>
        </w:rPr>
        <w:t>Unread count increases when a role-relevant event is persisted.</w:t>
      </w:r>
    </w:p>
    <w:p>
      <w:pPr>
        <w:pStyle w:val="ListNumber"/>
        <w:spacing w:after="40" w:line="245" w:lineRule="auto"/>
        <w:ind w:left="317" w:hanging="173"/>
      </w:pPr>
      <w:r>
        <w:rPr>
          <w:rFonts w:ascii="DejaVu Sans" w:hAnsi="DejaVu Sans"/>
          <w:color w:val="132238"/>
          <w:sz w:val="18"/>
        </w:rPr>
        <w:t>Select a notification to mark it read and navigate to the linked action page.</w:t>
      </w:r>
    </w:p>
    <w:p>
      <w:pPr>
        <w:pStyle w:val="ListNumber"/>
        <w:spacing w:after="40" w:line="245" w:lineRule="auto"/>
        <w:ind w:left="317" w:hanging="173"/>
      </w:pPr>
      <w:r>
        <w:rPr>
          <w:rFonts w:ascii="DejaVu Sans" w:hAnsi="DejaVu Sans"/>
          <w:color w:val="132238"/>
          <w:sz w:val="18"/>
        </w:rPr>
        <w:t>Use the full notification centre to search, filter, archive or mark all as read.</w:t>
      </w:r>
    </w:p>
    <w:p>
      <w:pPr>
        <w:pStyle w:val="ListNumber"/>
        <w:spacing w:after="40" w:line="245" w:lineRule="auto"/>
        <w:ind w:left="317" w:hanging="173"/>
      </w:pPr>
      <w:r>
        <w:rPr>
          <w:rFonts w:ascii="DejaVu Sans" w:hAnsi="DejaVu Sans"/>
          <w:color w:val="132238"/>
          <w:sz w:val="18"/>
        </w:rPr>
        <w:t>WebSocket delivery is instant; PostgreSQL persistence means a missed socket message still appears after refresh.</w:t>
      </w:r>
    </w:p>
    <w:p>
      <w:pPr>
        <w:spacing w:before="120" w:after="60"/>
      </w:pPr>
      <w:r>
        <w:rPr>
          <w:rFonts w:ascii="DejaVu Sans" w:hAnsi="DejaVu Sans"/>
          <w:b/>
          <w:color w:val="062B55"/>
          <w:sz w:val="26"/>
        </w:rPr>
        <w:t>What enters the inbox</w:t>
      </w:r>
    </w:p>
    <w:p>
      <w:pPr>
        <w:spacing w:after="100" w:line="252" w:lineRule="auto"/>
      </w:pPr>
      <w:r>
        <w:rPr>
          <w:rFonts w:ascii="DejaVu Sans" w:hAnsi="DejaVu Sans"/>
          <w:color w:val="132238"/>
          <w:sz w:val="19"/>
        </w:rPr>
        <w:t>Actionable grouped events enter the inbox. Detailed CRUD changes remain in the audit trail. Large operations such as creating a repayment schedule may create many audit records but only one useful notification.</w:t>
      </w:r>
    </w:p>
    <w:tbl>
      <w:tblPr>
        <w:tblW w:type="auto" w:w="0"/>
        <w:jc w:val="center"/>
        <w:tblLayout w:type="fixed"/>
        <w:tblLook w:firstColumn="1" w:firstRow="1" w:lastColumn="0" w:lastRow="0" w:noHBand="0" w:noVBand="1" w:val="04A0"/>
      </w:tblPr>
      <w:tblGrid>
        <w:gridCol w:w="3298"/>
        <w:gridCol w:w="3298"/>
        <w:gridCol w:w="3298"/>
      </w:tblGrid>
      <w:tr>
        <w:trPr>
          <w:tblHeader w:val="true"/>
        </w:trPr>
        <w:tc>
          <w:tcPr>
            <w:tcW w:type="dxa" w:w="3096"/>
            <w:vAlign w:val="center"/>
            <w:shd w:fill="062B55"/>
          </w:tcPr>
          <w:p>
            <w:pPr>
              <w:spacing w:after="0"/>
            </w:pPr>
            <w:r/>
            <w:r>
              <w:rPr>
                <w:rFonts w:ascii="DejaVu Sans" w:hAnsi="DejaVu Sans"/>
                <w:b/>
                <w:color w:val="FFFFFF"/>
                <w:sz w:val="16"/>
              </w:rPr>
              <w:t>Event</w:t>
            </w:r>
          </w:p>
        </w:tc>
        <w:tc>
          <w:tcPr>
            <w:tcW w:type="dxa" w:w="2880"/>
            <w:vAlign w:val="center"/>
            <w:shd w:fill="062B55"/>
          </w:tcPr>
          <w:p>
            <w:pPr>
              <w:spacing w:after="0"/>
            </w:pPr>
            <w:r/>
            <w:r>
              <w:rPr>
                <w:rFonts w:ascii="DejaVu Sans" w:hAnsi="DejaVu Sans"/>
                <w:b/>
                <w:color w:val="FFFFFF"/>
                <w:sz w:val="16"/>
              </w:rPr>
              <w:t>Recipients</w:t>
            </w:r>
          </w:p>
        </w:tc>
        <w:tc>
          <w:tcPr>
            <w:tcW w:type="dxa" w:w="3384"/>
            <w:vAlign w:val="center"/>
            <w:shd w:fill="062B55"/>
          </w:tcPr>
          <w:p>
            <w:pPr>
              <w:spacing w:after="0"/>
            </w:pPr>
            <w:r/>
            <w:r>
              <w:rPr>
                <w:rFonts w:ascii="DejaVu Sans" w:hAnsi="DejaVu Sans"/>
                <w:b/>
                <w:color w:val="FFFFFF"/>
                <w:sz w:val="16"/>
              </w:rPr>
              <w:t>Action</w:t>
            </w:r>
          </w:p>
        </w:tc>
      </w:tr>
      <w:tr>
        <w:tc>
          <w:tcPr>
            <w:tcW w:type="dxa" w:w="3096"/>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New company registration</w:t>
            </w:r>
          </w:p>
        </w:tc>
        <w:tc>
          <w:tcPr>
            <w:tcW w:type="dxa" w:w="288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Platform owner</w:t>
            </w:r>
          </w:p>
        </w:tc>
        <w:tc>
          <w:tcPr>
            <w:tcW w:type="dxa" w:w="338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Review company application</w:t>
            </w:r>
          </w:p>
        </w:tc>
      </w:tr>
      <w:tr>
        <w:tc>
          <w:tcPr>
            <w:tcW w:type="dxa" w:w="3096"/>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New marketplace request</w:t>
            </w:r>
          </w:p>
        </w:tc>
        <w:tc>
          <w:tcPr>
            <w:tcW w:type="dxa" w:w="288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Eligible lender roles</w:t>
            </w:r>
          </w:p>
        </w:tc>
        <w:tc>
          <w:tcPr>
            <w:tcW w:type="dxa" w:w="338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Review redacted request</w:t>
            </w:r>
          </w:p>
        </w:tc>
      </w:tr>
      <w:tr>
        <w:tc>
          <w:tcPr>
            <w:tcW w:type="dxa" w:w="3096"/>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Offer received</w:t>
            </w:r>
          </w:p>
        </w:tc>
        <w:tc>
          <w:tcPr>
            <w:tcW w:type="dxa" w:w="288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Borrower</w:t>
            </w:r>
          </w:p>
        </w:tc>
        <w:tc>
          <w:tcPr>
            <w:tcW w:type="dxa" w:w="338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Compare offer</w:t>
            </w:r>
          </w:p>
        </w:tc>
      </w:tr>
      <w:tr>
        <w:tc>
          <w:tcPr>
            <w:tcW w:type="dxa" w:w="3096"/>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Failed payment</w:t>
            </w:r>
          </w:p>
        </w:tc>
        <w:tc>
          <w:tcPr>
            <w:tcW w:type="dxa" w:w="288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Relevant finance/collections and affected party</w:t>
            </w:r>
          </w:p>
        </w:tc>
        <w:tc>
          <w:tcPr>
            <w:tcW w:type="dxa" w:w="338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Inspect transaction</w:t>
            </w:r>
          </w:p>
        </w:tc>
      </w:tr>
      <w:tr>
        <w:tc>
          <w:tcPr>
            <w:tcW w:type="dxa" w:w="3096"/>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Critical unhandled error</w:t>
            </w:r>
          </w:p>
        </w:tc>
        <w:tc>
          <w:tcPr>
            <w:tcW w:type="dxa" w:w="288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Platform owner only</w:t>
            </w:r>
          </w:p>
        </w:tc>
        <w:tc>
          <w:tcPr>
            <w:tcW w:type="dxa" w:w="338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Open system-error incident</w:t>
            </w:r>
          </w:p>
        </w:tc>
      </w:tr>
    </w:tbl>
    <w:p>
      <w:pPr>
        <w:spacing w:after="0"/>
      </w:pPr>
    </w:p>
    <w:p>
      <w:r>
        <w:br w:type="page"/>
      </w:r>
    </w:p>
    <w:p>
      <w:pPr>
        <w:spacing w:after="40"/>
      </w:pPr>
      <w:r>
        <w:rPr>
          <w:rFonts w:ascii="DejaVu Sans" w:hAnsi="DejaVu Sans"/>
          <w:b/>
          <w:color w:val="062B55"/>
          <w:sz w:val="44"/>
        </w:rPr>
        <w:t>8. Safe error handling and technical incidents</w:t>
      </w:r>
    </w:p>
    <w:p>
      <w:pPr>
        <w:spacing w:after="200"/>
      </w:pPr>
      <w:r>
        <w:rPr>
          <w:rFonts w:ascii="DejaVu Sans" w:hAnsi="DejaVu Sans"/>
          <w:i/>
          <w:color w:val="5B6573"/>
          <w:sz w:val="21"/>
        </w:rPr>
        <w:t>Ordinary users see safe help; platform owners see diagnostics</w:t>
      </w:r>
    </w:p>
    <w:p>
      <w:pPr>
        <w:spacing w:after="200"/>
      </w:pPr>
      <w:r>
        <w:rPr>
          <w:color w:val="007E8A"/>
          <w:sz w:val="10"/>
        </w:rPr>
        <w:t>━━━━━━━━━━━━━━━━━━━━━━━━━━━━━━━━━━━━━━━━━━━━━━━━━━━━━━━━━━━━━━━━━━━━━━</w:t>
      </w:r>
    </w:p>
    <w:p>
      <w:pPr>
        <w:spacing w:after="100" w:line="252" w:lineRule="auto"/>
      </w:pPr>
      <w:r>
        <w:rPr>
          <w:rFonts w:ascii="DejaVu Sans" w:hAnsi="DejaVu Sans"/>
          <w:color w:val="132238"/>
          <w:sz w:val="19"/>
        </w:rPr>
        <w:t>Validation and permission problems are displayed as readable messages. An unhandled backend failure is assigned a request ID, stored in the incident log, grouped by fingerprint and broadcast only to active platform owners.</w:t>
      </w:r>
    </w:p>
    <w:p>
      <w:pPr>
        <w:spacing w:before="120" w:after="60"/>
      </w:pPr>
      <w:r>
        <w:rPr>
          <w:rFonts w:ascii="DejaVu Sans" w:hAnsi="DejaVu Sans"/>
          <w:b/>
          <w:color w:val="062B55"/>
          <w:sz w:val="26"/>
        </w:rPr>
        <w:t>What ordinary users see</w:t>
      </w:r>
    </w:p>
    <w:tbl>
      <w:tblPr>
        <w:tblW w:type="auto" w:w="0"/>
        <w:tblLayout w:type="fixed"/>
        <w:tblLook w:firstColumn="1" w:firstRow="1" w:lastColumn="0" w:lastRow="0" w:noHBand="0" w:noVBand="1" w:val="04A0"/>
      </w:tblPr>
      <w:tblGrid>
        <w:gridCol w:w="173"/>
        <w:gridCol w:w="9648"/>
      </w:tblGrid>
      <w:tr>
        <w:tc>
          <w:tcPr>
            <w:tcW w:type="dxa" w:w="4946"/>
            <w:shd w:fill="062B55"/>
          </w:tcPr>
          <w:p/>
        </w:tc>
        <w:tc>
          <w:tcPr>
            <w:tcW w:type="dxa" w:w="4946"/>
            <w:shd w:fill="EEF5F8"/>
          </w:tcPr>
          <w:p>
            <w:pPr>
              <w:spacing w:after="40"/>
            </w:pPr>
            <w:r/>
            <w:r>
              <w:rPr>
                <w:rFonts w:ascii="DejaVu Sans" w:hAnsi="DejaVu Sans"/>
                <w:b/>
                <w:color w:val="062B55"/>
                <w:sz w:val="19"/>
              </w:rPr>
              <w:t>Safe message</w:t>
            </w:r>
          </w:p>
          <w:p>
            <w:pPr>
              <w:spacing w:after="0"/>
            </w:pPr>
            <w:r>
              <w:rPr>
                <w:rFonts w:ascii="DejaVu Sans" w:hAnsi="DejaVu Sans"/>
                <w:color w:val="132238"/>
                <w:sz w:val="17"/>
              </w:rPr>
              <w:t>“The action could not be completed. The platform owner has been notified.” The message includes a request ID, but never a stack trace, SQL statement, secret or internal file path.</w:t>
            </w:r>
          </w:p>
        </w:tc>
      </w:tr>
    </w:tbl>
    <w:p>
      <w:pPr>
        <w:spacing w:after="0"/>
      </w:pPr>
    </w:p>
    <w:p>
      <w:pPr>
        <w:spacing w:before="120" w:after="60"/>
      </w:pPr>
      <w:r>
        <w:rPr>
          <w:rFonts w:ascii="DejaVu Sans" w:hAnsi="DejaVu Sans"/>
          <w:b/>
          <w:color w:val="062B55"/>
          <w:sz w:val="26"/>
        </w:rPr>
        <w:t>What the platform owner sees</w:t>
      </w:r>
    </w:p>
    <w:p>
      <w:pPr>
        <w:pStyle w:val="ListBullet"/>
        <w:spacing w:after="40" w:line="245" w:lineRule="auto"/>
        <w:ind w:left="317" w:hanging="173"/>
      </w:pPr>
      <w:r>
        <w:rPr>
          <w:rFonts w:ascii="DejaVu Sans" w:hAnsi="DejaVu Sans"/>
          <w:color w:val="132238"/>
          <w:sz w:val="18"/>
        </w:rPr>
        <w:t>Endpoint, method, status, request ID and fingerprint.</w:t>
      </w:r>
    </w:p>
    <w:p>
      <w:pPr>
        <w:pStyle w:val="ListBullet"/>
        <w:spacing w:after="40" w:line="245" w:lineRule="auto"/>
        <w:ind w:left="317" w:hanging="173"/>
      </w:pPr>
      <w:r>
        <w:rPr>
          <w:rFonts w:ascii="DejaVu Sans" w:hAnsi="DejaVu Sans"/>
          <w:color w:val="132238"/>
          <w:sz w:val="18"/>
        </w:rPr>
        <w:t>Occurrence count and first/last seen times.</w:t>
      </w:r>
    </w:p>
    <w:p>
      <w:pPr>
        <w:pStyle w:val="ListBullet"/>
        <w:spacing w:after="40" w:line="245" w:lineRule="auto"/>
        <w:ind w:left="317" w:hanging="173"/>
      </w:pPr>
      <w:r>
        <w:rPr>
          <w:rFonts w:ascii="DejaVu Sans" w:hAnsi="DejaVu Sans"/>
          <w:color w:val="132238"/>
          <w:sz w:val="18"/>
        </w:rPr>
        <w:t>Safe affected user/company/branch context.</w:t>
      </w:r>
    </w:p>
    <w:p>
      <w:pPr>
        <w:pStyle w:val="ListBullet"/>
        <w:spacing w:after="40" w:line="245" w:lineRule="auto"/>
        <w:ind w:left="317" w:hanging="173"/>
      </w:pPr>
      <w:r>
        <w:rPr>
          <w:rFonts w:ascii="DejaVu Sans" w:hAnsi="DejaVu Sans"/>
          <w:color w:val="132238"/>
          <w:sz w:val="18"/>
        </w:rPr>
        <w:t>Full diagnostic message and stack trace on the restricted incident page.</w:t>
      </w:r>
    </w:p>
    <w:p>
      <w:pPr>
        <w:pStyle w:val="ListBullet"/>
        <w:spacing w:after="40" w:line="245" w:lineRule="auto"/>
        <w:ind w:left="317" w:hanging="173"/>
      </w:pPr>
      <w:r>
        <w:rPr>
          <w:rFonts w:ascii="DejaVu Sans" w:hAnsi="DejaVu Sans"/>
          <w:color w:val="132238"/>
          <w:sz w:val="18"/>
        </w:rPr>
        <w:t>Resolve, document and reopen controls.</w:t>
      </w:r>
    </w:p>
    <w:p>
      <w:pPr>
        <w:spacing w:before="120" w:after="60"/>
      </w:pPr>
      <w:r>
        <w:rPr>
          <w:rFonts w:ascii="DejaVu Sans" w:hAnsi="DejaVu Sans"/>
          <w:b/>
          <w:color w:val="062B55"/>
          <w:sz w:val="26"/>
        </w:rPr>
        <w:t>Spam control</w:t>
      </w:r>
    </w:p>
    <w:p>
      <w:pPr>
        <w:spacing w:after="100" w:line="252" w:lineRule="auto"/>
      </w:pPr>
      <w:r>
        <w:rPr>
          <w:rFonts w:ascii="DejaVu Sans" w:hAnsi="DejaVu Sans"/>
          <w:color w:val="132238"/>
          <w:sz w:val="19"/>
        </w:rPr>
        <w:t>Recurring fingerprints are grouped and technical notifications are suppressed for a short window. The occurrence counter still increases, preserving transparency without overwhelming the owner inbox.</w:t>
      </w:r>
    </w:p>
    <w:p>
      <w:r>
        <w:br w:type="page"/>
      </w:r>
    </w:p>
    <w:p>
      <w:pPr>
        <w:spacing w:after="40"/>
      </w:pPr>
      <w:r>
        <w:rPr>
          <w:rFonts w:ascii="DejaVu Sans" w:hAnsi="DejaVu Sans"/>
          <w:b/>
          <w:color w:val="062B55"/>
          <w:sz w:val="44"/>
        </w:rPr>
        <w:t>9. Platform-owner role switching</w:t>
      </w:r>
    </w:p>
    <w:p>
      <w:pPr>
        <w:spacing w:after="200"/>
      </w:pPr>
      <w:r>
        <w:rPr>
          <w:rFonts w:ascii="DejaVu Sans" w:hAnsi="DejaVu Sans"/>
          <w:i/>
          <w:color w:val="5B6573"/>
          <w:sz w:val="21"/>
        </w:rPr>
        <w:t>Test and support roles without creating many browser sessions</w:t>
      </w:r>
    </w:p>
    <w:p>
      <w:pPr>
        <w:spacing w:after="200"/>
      </w:pPr>
      <w:r>
        <w:rPr>
          <w:color w:val="007E8A"/>
          <w:sz w:val="10"/>
        </w:rPr>
        <w:t>━━━━━━━━━━━━━━━━━━━━━━━━━━━━━━━━━━━━━━━━━━━━━━━━━━━━━━━━━━━━━━━━━━━━━━</w:t>
      </w:r>
    </w:p>
    <w:p>
      <w:pPr>
        <w:pStyle w:val="ListNumber"/>
        <w:spacing w:after="40" w:line="245" w:lineRule="auto"/>
        <w:ind w:left="317" w:hanging="173"/>
      </w:pPr>
      <w:r>
        <w:rPr>
          <w:rFonts w:ascii="DejaVu Sans" w:hAnsi="DejaVu Sans"/>
          <w:color w:val="132238"/>
          <w:sz w:val="18"/>
        </w:rPr>
        <w:t>Select Switch role from the platform-owner header.</w:t>
      </w:r>
    </w:p>
    <w:p>
      <w:pPr>
        <w:pStyle w:val="ListNumber"/>
        <w:spacing w:after="40" w:line="245" w:lineRule="auto"/>
        <w:ind w:left="317" w:hanging="173"/>
      </w:pPr>
      <w:r>
        <w:rPr>
          <w:rFonts w:ascii="DejaVu Sans" w:hAnsi="DejaVu Sans"/>
          <w:color w:val="132238"/>
          <w:sz w:val="18"/>
        </w:rPr>
        <w:t>Search an active borrower or company membership by name, company, branch or role.</w:t>
      </w:r>
    </w:p>
    <w:p>
      <w:pPr>
        <w:pStyle w:val="ListNumber"/>
        <w:spacing w:after="40" w:line="245" w:lineRule="auto"/>
        <w:ind w:left="317" w:hanging="173"/>
      </w:pPr>
      <w:r>
        <w:rPr>
          <w:rFonts w:ascii="DejaVu Sans" w:hAnsi="DejaVu Sans"/>
          <w:color w:val="132238"/>
          <w:sz w:val="18"/>
        </w:rPr>
        <w:t>Enter a clear support/testing reason.</w:t>
      </w:r>
    </w:p>
    <w:p>
      <w:pPr>
        <w:pStyle w:val="ListNumber"/>
        <w:spacing w:after="40" w:line="245" w:lineRule="auto"/>
        <w:ind w:left="317" w:hanging="173"/>
      </w:pPr>
      <w:r>
        <w:rPr>
          <w:rFonts w:ascii="DejaVu Sans" w:hAnsi="DejaVu Sans"/>
          <w:color w:val="132238"/>
          <w:sz w:val="18"/>
        </w:rPr>
        <w:t>Start the time-limited session. An amber banner remains visible at all times.</w:t>
      </w:r>
    </w:p>
    <w:p>
      <w:pPr>
        <w:pStyle w:val="ListNumber"/>
        <w:spacing w:after="40" w:line="245" w:lineRule="auto"/>
        <w:ind w:left="317" w:hanging="173"/>
      </w:pPr>
      <w:r>
        <w:rPr>
          <w:rFonts w:ascii="DejaVu Sans" w:hAnsi="DejaVu Sans"/>
          <w:color w:val="132238"/>
          <w:sz w:val="18"/>
        </w:rPr>
        <w:t>Perform the required workflow test, then select Return to restore the preserved platform-owner session.</w:t>
      </w:r>
    </w:p>
    <w:p>
      <w:pPr>
        <w:spacing w:before="120" w:after="60"/>
      </w:pPr>
      <w:r>
        <w:rPr>
          <w:rFonts w:ascii="DejaVu Sans" w:hAnsi="DejaVu Sans"/>
          <w:b/>
          <w:color w:val="062B55"/>
          <w:sz w:val="26"/>
        </w:rPr>
        <w:t>Safeguards</w:t>
      </w:r>
    </w:p>
    <w:p>
      <w:pPr>
        <w:pStyle w:val="ListBullet"/>
        <w:spacing w:after="40" w:line="245" w:lineRule="auto"/>
        <w:ind w:left="317" w:hanging="173"/>
      </w:pPr>
      <w:r>
        <w:rPr>
          <w:rFonts w:ascii="DejaVu Sans" w:hAnsi="DejaVu Sans"/>
          <w:color w:val="132238"/>
          <w:sz w:val="18"/>
        </w:rPr>
        <w:t>Only a platform owner can start role switching.</w:t>
      </w:r>
    </w:p>
    <w:p>
      <w:pPr>
        <w:pStyle w:val="ListBullet"/>
        <w:spacing w:after="40" w:line="245" w:lineRule="auto"/>
        <w:ind w:left="317" w:hanging="173"/>
      </w:pPr>
      <w:r>
        <w:rPr>
          <w:rFonts w:ascii="DejaVu Sans" w:hAnsi="DejaVu Sans"/>
          <w:color w:val="132238"/>
          <w:sz w:val="18"/>
        </w:rPr>
        <w:t>Another platform-owner account cannot be impersonated.</w:t>
      </w:r>
    </w:p>
    <w:p>
      <w:pPr>
        <w:pStyle w:val="ListBullet"/>
        <w:spacing w:after="40" w:line="245" w:lineRule="auto"/>
        <w:ind w:left="317" w:hanging="173"/>
      </w:pPr>
      <w:r>
        <w:rPr>
          <w:rFonts w:ascii="DejaVu Sans" w:hAnsi="DejaVu Sans"/>
          <w:color w:val="132238"/>
          <w:sz w:val="18"/>
        </w:rPr>
        <w:t>The target company membership is verified by the backend.</w:t>
      </w:r>
    </w:p>
    <w:p>
      <w:pPr>
        <w:pStyle w:val="ListBullet"/>
        <w:spacing w:after="40" w:line="245" w:lineRule="auto"/>
        <w:ind w:left="317" w:hanging="173"/>
      </w:pPr>
      <w:r>
        <w:rPr>
          <w:rFonts w:ascii="DejaVu Sans" w:hAnsi="DejaVu Sans"/>
          <w:color w:val="132238"/>
          <w:sz w:val="18"/>
        </w:rPr>
        <w:t>The token contains the original actor and expires after the configured limit.</w:t>
      </w:r>
    </w:p>
    <w:p>
      <w:pPr>
        <w:pStyle w:val="ListBullet"/>
        <w:spacing w:after="40" w:line="245" w:lineRule="auto"/>
        <w:ind w:left="317" w:hanging="173"/>
      </w:pPr>
      <w:r>
        <w:rPr>
          <w:rFonts w:ascii="DejaVu Sans" w:hAnsi="DejaVu Sans"/>
          <w:color w:val="132238"/>
          <w:sz w:val="18"/>
        </w:rPr>
        <w:t>The start event and all actions retain impersonation context in the audit trail.</w:t>
      </w:r>
    </w:p>
    <w:p>
      <w:pPr>
        <w:pStyle w:val="ListBullet"/>
        <w:spacing w:after="40" w:line="245" w:lineRule="auto"/>
        <w:ind w:left="317" w:hanging="173"/>
      </w:pPr>
      <w:r>
        <w:rPr>
          <w:rFonts w:ascii="DejaVu Sans" w:hAnsi="DejaVu Sans"/>
          <w:color w:val="132238"/>
          <w:sz w:val="18"/>
        </w:rPr>
        <w:t>If the impersonated token expires, the frontend restores the original owner session rather than attempting an ordinary refresh.</w:t>
      </w:r>
    </w:p>
    <w:tbl>
      <w:tblPr>
        <w:tblW w:type="auto" w:w="0"/>
        <w:tblLayout w:type="fixed"/>
        <w:tblLook w:firstColumn="1" w:firstRow="1" w:lastColumn="0" w:lastRow="0" w:noHBand="0" w:noVBand="1" w:val="04A0"/>
      </w:tblPr>
      <w:tblGrid>
        <w:gridCol w:w="173"/>
        <w:gridCol w:w="9648"/>
      </w:tblGrid>
      <w:tr>
        <w:tc>
          <w:tcPr>
            <w:tcW w:type="dxa" w:w="4946"/>
            <w:shd w:fill="B42318"/>
          </w:tcPr>
          <w:p/>
        </w:tc>
        <w:tc>
          <w:tcPr>
            <w:tcW w:type="dxa" w:w="4946"/>
            <w:shd w:fill="FDECEC"/>
          </w:tcPr>
          <w:p>
            <w:pPr>
              <w:spacing w:after="40"/>
            </w:pPr>
            <w:r/>
            <w:r>
              <w:rPr>
                <w:rFonts w:ascii="DejaVu Sans" w:hAnsi="DejaVu Sans"/>
                <w:b/>
                <w:color w:val="B42318"/>
                <w:sz w:val="19"/>
              </w:rPr>
              <w:t>Not an anonymity feature</w:t>
            </w:r>
          </w:p>
          <w:p>
            <w:pPr>
              <w:spacing w:after="0"/>
            </w:pPr>
            <w:r>
              <w:rPr>
                <w:rFonts w:ascii="DejaVu Sans" w:hAnsi="DejaVu Sans"/>
                <w:color w:val="132238"/>
                <w:sz w:val="17"/>
              </w:rPr>
              <w:t>Role switching is for support and workflow testing. It must never be used to hide the responsible platform owner.</w:t>
            </w:r>
          </w:p>
        </w:tc>
      </w:tr>
    </w:tbl>
    <w:p>
      <w:pPr>
        <w:spacing w:after="0"/>
      </w:pPr>
    </w:p>
    <w:p>
      <w:r>
        <w:br w:type="page"/>
      </w:r>
    </w:p>
    <w:p>
      <w:pPr>
        <w:spacing w:after="40"/>
      </w:pPr>
      <w:r>
        <w:rPr>
          <w:rFonts w:ascii="DejaVu Sans" w:hAnsi="DejaVu Sans"/>
          <w:b/>
          <w:color w:val="062B55"/>
          <w:sz w:val="44"/>
        </w:rPr>
        <w:t>10. Platform owner / SuperAdmin</w:t>
      </w:r>
    </w:p>
    <w:p>
      <w:pPr>
        <w:spacing w:after="200"/>
      </w:pPr>
      <w:r>
        <w:rPr>
          <w:rFonts w:ascii="DejaVu Sans" w:hAnsi="DejaVu Sans"/>
          <w:i/>
          <w:color w:val="5B6573"/>
          <w:sz w:val="21"/>
        </w:rPr>
        <w:t>Govern the complete multi-tenant service, commercial model, security and technical operations.</w:t>
      </w:r>
    </w:p>
    <w:p>
      <w:pPr>
        <w:spacing w:after="200"/>
      </w:pPr>
      <w:r>
        <w:rPr>
          <w:color w:val="007E8A"/>
          <w:sz w:val="10"/>
        </w:rPr>
        <w:t>━━━━━━━━━━━━━━━━━━━━━━━━━━━━━━━━━━━━━━━━━━━━━━━━━━━━━━━━━━━━━━━━━━━━━━</w:t>
      </w:r>
    </w:p>
    <w:p>
      <w:pPr>
        <w:spacing w:before="120" w:after="60"/>
      </w:pPr>
      <w:r>
        <w:rPr>
          <w:rFonts w:ascii="DejaVu Sans" w:hAnsi="DejaVu Sans"/>
          <w:b/>
          <w:color w:val="062B55"/>
          <w:sz w:val="26"/>
        </w:rPr>
        <w:t>What this role can do</w:t>
      </w:r>
    </w:p>
    <w:p>
      <w:pPr>
        <w:pStyle w:val="ListBullet"/>
        <w:spacing w:after="40" w:line="245" w:lineRule="auto"/>
        <w:ind w:left="317" w:hanging="173"/>
      </w:pPr>
      <w:r>
        <w:rPr>
          <w:rFonts w:ascii="DejaVu Sans" w:hAnsi="DejaVu Sans"/>
          <w:color w:val="132238"/>
          <w:sz w:val="18"/>
        </w:rPr>
        <w:t>Approve, reject, suspend and activate loan companies.</w:t>
      </w:r>
    </w:p>
    <w:p>
      <w:pPr>
        <w:pStyle w:val="ListBullet"/>
        <w:spacing w:after="40" w:line="245" w:lineRule="auto"/>
        <w:ind w:left="317" w:hanging="173"/>
      </w:pPr>
      <w:r>
        <w:rPr>
          <w:rFonts w:ascii="DejaVu Sans" w:hAnsi="DejaVu Sans"/>
          <w:color w:val="132238"/>
          <w:sz w:val="18"/>
        </w:rPr>
        <w:t>Configure subscription plans, unlock fees, transaction fees, limits and feature switches.</w:t>
      </w:r>
    </w:p>
    <w:p>
      <w:pPr>
        <w:pStyle w:val="ListBullet"/>
        <w:spacing w:after="40" w:line="245" w:lineRule="auto"/>
        <w:ind w:left="317" w:hanging="173"/>
      </w:pPr>
      <w:r>
        <w:rPr>
          <w:rFonts w:ascii="DejaVu Sans" w:hAnsi="DejaVu Sans"/>
          <w:color w:val="132238"/>
          <w:sz w:val="18"/>
        </w:rPr>
        <w:t>Review platform companies, loans, payments, accounting, reports, performance, audit and critical errors.</w:t>
      </w:r>
    </w:p>
    <w:p>
      <w:pPr>
        <w:pStyle w:val="ListBullet"/>
        <w:spacing w:after="40" w:line="245" w:lineRule="auto"/>
        <w:ind w:left="317" w:hanging="173"/>
      </w:pPr>
      <w:r>
        <w:rPr>
          <w:rFonts w:ascii="DejaVu Sans" w:hAnsi="DejaVu Sans"/>
          <w:color w:val="132238"/>
          <w:sz w:val="18"/>
        </w:rPr>
        <w:t>Use audited role switching to test role workflows.</w:t>
      </w:r>
    </w:p>
    <w:p>
      <w:pPr>
        <w:pStyle w:val="ListBullet"/>
        <w:spacing w:after="40" w:line="245" w:lineRule="auto"/>
        <w:ind w:left="317" w:hanging="173"/>
      </w:pPr>
      <w:r>
        <w:rPr>
          <w:rFonts w:ascii="DejaVu Sans" w:hAnsi="DejaVu Sans"/>
          <w:color w:val="132238"/>
          <w:sz w:val="18"/>
        </w:rPr>
        <w:t>Communicate with authorised users through platform chat and managed files.</w:t>
      </w:r>
    </w:p>
    <w:p>
      <w:pPr>
        <w:spacing w:before="120" w:after="60"/>
      </w:pPr>
      <w:r>
        <w:rPr>
          <w:rFonts w:ascii="DejaVu Sans" w:hAnsi="DejaVu Sans"/>
          <w:b/>
          <w:color w:val="062B55"/>
          <w:sz w:val="26"/>
        </w:rPr>
        <w:t>Recommended daily routine</w:t>
      </w:r>
    </w:p>
    <w:p>
      <w:pPr>
        <w:pStyle w:val="ListNumber"/>
        <w:spacing w:after="40" w:line="245" w:lineRule="auto"/>
        <w:ind w:left="317" w:hanging="173"/>
      </w:pPr>
      <w:r>
        <w:rPr>
          <w:rFonts w:ascii="DejaVu Sans" w:hAnsi="DejaVu Sans"/>
          <w:color w:val="132238"/>
          <w:sz w:val="18"/>
        </w:rPr>
        <w:t>Review pending companies, high-priority notifications and system errors.</w:t>
      </w:r>
    </w:p>
    <w:p>
      <w:pPr>
        <w:pStyle w:val="ListNumber"/>
        <w:spacing w:after="40" w:line="245" w:lineRule="auto"/>
        <w:ind w:left="317" w:hanging="173"/>
      </w:pPr>
      <w:r>
        <w:rPr>
          <w:rFonts w:ascii="DejaVu Sans" w:hAnsi="DejaVu Sans"/>
          <w:color w:val="132238"/>
          <w:sz w:val="18"/>
        </w:rPr>
        <w:t>Check payment, loan and subscription exceptions.</w:t>
      </w:r>
    </w:p>
    <w:p>
      <w:pPr>
        <w:pStyle w:val="ListNumber"/>
        <w:spacing w:after="40" w:line="245" w:lineRule="auto"/>
        <w:ind w:left="317" w:hanging="173"/>
      </w:pPr>
      <w:r>
        <w:rPr>
          <w:rFonts w:ascii="DejaVu Sans" w:hAnsi="DejaVu Sans"/>
          <w:color w:val="132238"/>
          <w:sz w:val="18"/>
        </w:rPr>
        <w:t>Review audit activity and unusual role or tenant changes.</w:t>
      </w:r>
    </w:p>
    <w:p>
      <w:pPr>
        <w:pStyle w:val="ListNumber"/>
        <w:spacing w:after="40" w:line="245" w:lineRule="auto"/>
        <w:ind w:left="317" w:hanging="173"/>
      </w:pPr>
      <w:r>
        <w:rPr>
          <w:rFonts w:ascii="DejaVu Sans" w:hAnsi="DejaVu Sans"/>
          <w:color w:val="132238"/>
          <w:sz w:val="18"/>
        </w:rPr>
        <w:t>Review platform accounting and generated reconciliation reports.</w:t>
      </w:r>
    </w:p>
    <w:p>
      <w:pPr>
        <w:pStyle w:val="ListNumber"/>
        <w:spacing w:after="40" w:line="245" w:lineRule="auto"/>
        <w:ind w:left="317" w:hanging="173"/>
      </w:pPr>
      <w:r>
        <w:rPr>
          <w:rFonts w:ascii="DejaVu Sans" w:hAnsi="DejaVu Sans"/>
          <w:color w:val="132238"/>
          <w:sz w:val="18"/>
        </w:rPr>
        <w:t>Follow up unresolved support conversations.</w:t>
      </w:r>
    </w:p>
    <w:p>
      <w:pPr>
        <w:spacing w:before="120" w:after="60"/>
      </w:pPr>
      <w:r>
        <w:rPr>
          <w:rFonts w:ascii="DejaVu Sans" w:hAnsi="DejaVu Sans"/>
          <w:b/>
          <w:color w:val="062B55"/>
          <w:sz w:val="26"/>
        </w:rPr>
        <w:t>Control boundaries</w:t>
      </w:r>
    </w:p>
    <w:p>
      <w:pPr>
        <w:pStyle w:val="ListBullet"/>
        <w:spacing w:after="40" w:line="245" w:lineRule="auto"/>
        <w:ind w:left="317" w:hanging="173"/>
      </w:pPr>
      <w:r>
        <w:rPr>
          <w:rFonts w:ascii="DejaVu Sans" w:hAnsi="DejaVu Sans"/>
          <w:color w:val="132238"/>
          <w:sz w:val="18"/>
        </w:rPr>
        <w:t>Do not permanently delete financial history.</w:t>
      </w:r>
    </w:p>
    <w:p>
      <w:pPr>
        <w:pStyle w:val="ListBullet"/>
        <w:spacing w:after="40" w:line="245" w:lineRule="auto"/>
        <w:ind w:left="317" w:hanging="173"/>
      </w:pPr>
      <w:r>
        <w:rPr>
          <w:rFonts w:ascii="DejaVu Sans" w:hAnsi="DejaVu Sans"/>
          <w:color w:val="132238"/>
          <w:sz w:val="18"/>
        </w:rPr>
        <w:t>Protect JWT keys, encryption keys and provider credentials outside Git.</w:t>
      </w:r>
    </w:p>
    <w:p>
      <w:pPr>
        <w:pStyle w:val="ListBullet"/>
        <w:spacing w:after="40" w:line="245" w:lineRule="auto"/>
        <w:ind w:left="317" w:hanging="173"/>
      </w:pPr>
      <w:r>
        <w:rPr>
          <w:rFonts w:ascii="DejaVu Sans" w:hAnsi="DejaVu Sans"/>
          <w:color w:val="132238"/>
          <w:sz w:val="18"/>
        </w:rPr>
        <w:t>Use role switching only with a documented reason.</w:t>
      </w:r>
    </w:p>
    <w:p>
      <w:pPr>
        <w:pStyle w:val="ListBullet"/>
        <w:spacing w:after="40" w:line="245" w:lineRule="auto"/>
        <w:ind w:left="317" w:hanging="173"/>
      </w:pPr>
      <w:r>
        <w:rPr>
          <w:rFonts w:ascii="DejaVu Sans" w:hAnsi="DejaVu Sans"/>
          <w:color w:val="132238"/>
          <w:sz w:val="18"/>
        </w:rPr>
        <w:t>Run migrations only after backup and staging validation.</w:t>
      </w:r>
    </w:p>
    <w:p>
      <w:pPr>
        <w:spacing w:before="120" w:after="60"/>
      </w:pPr>
      <w:r>
        <w:rPr>
          <w:rFonts w:ascii="DejaVu Sans" w:hAnsi="DejaVu Sans"/>
          <w:b/>
          <w:color w:val="062B55"/>
          <w:sz w:val="26"/>
        </w:rPr>
        <w:t>Main workspaces</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3240"/>
            <w:vAlign w:val="center"/>
            <w:shd w:fill="062B55"/>
          </w:tcPr>
          <w:p>
            <w:pPr>
              <w:spacing w:after="0"/>
            </w:pPr>
            <w:r/>
            <w:r>
              <w:rPr>
                <w:rFonts w:ascii="DejaVu Sans" w:hAnsi="DejaVu Sans"/>
                <w:b/>
                <w:color w:val="FFFFFF"/>
                <w:sz w:val="16"/>
              </w:rPr>
              <w:t>Workspace</w:t>
            </w:r>
          </w:p>
        </w:tc>
        <w:tc>
          <w:tcPr>
            <w:tcW w:type="dxa" w:w="6264"/>
            <w:vAlign w:val="center"/>
            <w:shd w:fill="062B55"/>
          </w:tcPr>
          <w:p>
            <w:pPr>
              <w:spacing w:after="0"/>
            </w:pPr>
            <w:r/>
            <w:r>
              <w:rPr>
                <w:rFonts w:ascii="DejaVu Sans" w:hAnsi="DejaVu Sans"/>
                <w:b/>
                <w:color w:val="FFFFFF"/>
                <w:sz w:val="16"/>
              </w:rPr>
              <w:t>Purpose</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/superadmin</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Live platform dashboard</w:t>
            </w:r>
          </w:p>
        </w:tc>
      </w:tr>
      <w:tr>
        <w:tc>
          <w:tcPr>
            <w:tcW w:type="dxa" w:w="324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/superadmin/companies</w:t>
            </w:r>
          </w:p>
        </w:tc>
        <w:tc>
          <w:tcPr>
            <w:tcW w:type="dxa" w:w="626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Tenant applications and company controls</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/superadmin/plans</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Commercial plan configuration</w:t>
            </w:r>
          </w:p>
        </w:tc>
      </w:tr>
      <w:tr>
        <w:tc>
          <w:tcPr>
            <w:tcW w:type="dxa" w:w="324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/superadmin/system-errors</w:t>
            </w:r>
          </w:p>
        </w:tc>
        <w:tc>
          <w:tcPr>
            <w:tcW w:type="dxa" w:w="626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Restricted technical incidents</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/superadmin/accounting</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Platform accounting</w:t>
            </w:r>
          </w:p>
        </w:tc>
      </w:tr>
      <w:tr>
        <w:tc>
          <w:tcPr>
            <w:tcW w:type="dxa" w:w="324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/superadmin/reports</w:t>
            </w:r>
          </w:p>
        </w:tc>
        <w:tc>
          <w:tcPr>
            <w:tcW w:type="dxa" w:w="626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Platform/company/branch reports</w:t>
            </w:r>
          </w:p>
        </w:tc>
      </w:tr>
    </w:tbl>
    <w:p>
      <w:pPr>
        <w:spacing w:after="0"/>
      </w:pPr>
    </w:p>
    <w:p>
      <w:r>
        <w:br w:type="page"/>
      </w:r>
    </w:p>
    <w:p>
      <w:pPr>
        <w:spacing w:after="40"/>
      </w:pPr>
      <w:r>
        <w:rPr>
          <w:rFonts w:ascii="DejaVu Sans" w:hAnsi="DejaVu Sans"/>
          <w:b/>
          <w:color w:val="062B55"/>
          <w:sz w:val="44"/>
        </w:rPr>
        <w:t>11. Company owner</w:t>
      </w:r>
    </w:p>
    <w:p>
      <w:pPr>
        <w:spacing w:after="200"/>
      </w:pPr>
      <w:r>
        <w:rPr>
          <w:rFonts w:ascii="DejaVu Sans" w:hAnsi="DejaVu Sans"/>
          <w:i/>
          <w:color w:val="5B6573"/>
          <w:sz w:val="21"/>
        </w:rPr>
        <w:t>Control one loan company as the highest tenant authority.</w:t>
      </w:r>
    </w:p>
    <w:p>
      <w:pPr>
        <w:spacing w:after="200"/>
      </w:pPr>
      <w:r>
        <w:rPr>
          <w:color w:val="007E8A"/>
          <w:sz w:val="10"/>
        </w:rPr>
        <w:t>━━━━━━━━━━━━━━━━━━━━━━━━━━━━━━━━━━━━━━━━━━━━━━━━━━━━━━━━━━━━━━━━━━━━━━</w:t>
      </w:r>
    </w:p>
    <w:p>
      <w:pPr>
        <w:spacing w:before="120" w:after="60"/>
      </w:pPr>
      <w:r>
        <w:rPr>
          <w:rFonts w:ascii="DejaVu Sans" w:hAnsi="DejaVu Sans"/>
          <w:b/>
          <w:color w:val="062B55"/>
          <w:sz w:val="26"/>
        </w:rPr>
        <w:t>What this role can do</w:t>
      </w:r>
    </w:p>
    <w:p>
      <w:pPr>
        <w:pStyle w:val="ListBullet"/>
        <w:spacing w:after="40" w:line="245" w:lineRule="auto"/>
        <w:ind w:left="317" w:hanging="173"/>
      </w:pPr>
      <w:r>
        <w:rPr>
          <w:rFonts w:ascii="DejaVu Sans" w:hAnsi="DejaVu Sans"/>
          <w:color w:val="132238"/>
          <w:sz w:val="18"/>
        </w:rPr>
        <w:t>Manage legal settings, branches, staff memberships, roles and loan products.</w:t>
      </w:r>
    </w:p>
    <w:p>
      <w:pPr>
        <w:pStyle w:val="ListBullet"/>
        <w:spacing w:after="40" w:line="245" w:lineRule="auto"/>
        <w:ind w:left="317" w:hanging="173"/>
      </w:pPr>
      <w:r>
        <w:rPr>
          <w:rFonts w:ascii="DejaVu Sans" w:hAnsi="DejaVu Sans"/>
          <w:color w:val="132238"/>
          <w:sz w:val="18"/>
        </w:rPr>
        <w:t>Oversee marketplace, offers, loans, payments and collections.</w:t>
      </w:r>
    </w:p>
    <w:p>
      <w:pPr>
        <w:pStyle w:val="ListBullet"/>
        <w:spacing w:after="40" w:line="245" w:lineRule="auto"/>
        <w:ind w:left="317" w:hanging="173"/>
      </w:pPr>
      <w:r>
        <w:rPr>
          <w:rFonts w:ascii="DejaVu Sans" w:hAnsi="DejaVu Sans"/>
          <w:color w:val="132238"/>
          <w:sz w:val="18"/>
        </w:rPr>
        <w:t>Control subscription choices and company-wide limits.</w:t>
      </w:r>
    </w:p>
    <w:p>
      <w:pPr>
        <w:pStyle w:val="ListBullet"/>
        <w:spacing w:after="40" w:line="245" w:lineRule="auto"/>
        <w:ind w:left="317" w:hanging="173"/>
      </w:pPr>
      <w:r>
        <w:rPr>
          <w:rFonts w:ascii="DejaVu Sans" w:hAnsi="DejaVu Sans"/>
          <w:color w:val="132238"/>
          <w:sz w:val="18"/>
        </w:rPr>
        <w:t>Access accounting, reports, employees, performance, files, chat and audit activity.</w:t>
      </w:r>
    </w:p>
    <w:p>
      <w:pPr>
        <w:spacing w:before="120" w:after="60"/>
      </w:pPr>
      <w:r>
        <w:rPr>
          <w:rFonts w:ascii="DejaVu Sans" w:hAnsi="DejaVu Sans"/>
          <w:b/>
          <w:color w:val="062B55"/>
          <w:sz w:val="26"/>
        </w:rPr>
        <w:t>Recommended daily routine</w:t>
      </w:r>
    </w:p>
    <w:p>
      <w:pPr>
        <w:pStyle w:val="ListNumber"/>
        <w:spacing w:after="40" w:line="245" w:lineRule="auto"/>
        <w:ind w:left="317" w:hanging="173"/>
      </w:pPr>
      <w:r>
        <w:rPr>
          <w:rFonts w:ascii="DejaVu Sans" w:hAnsi="DejaVu Sans"/>
          <w:color w:val="132238"/>
          <w:sz w:val="18"/>
        </w:rPr>
        <w:t>Confirm company approval and subscription status.</w:t>
      </w:r>
    </w:p>
    <w:p>
      <w:pPr>
        <w:pStyle w:val="ListNumber"/>
        <w:spacing w:after="40" w:line="245" w:lineRule="auto"/>
        <w:ind w:left="317" w:hanging="173"/>
      </w:pPr>
      <w:r>
        <w:rPr>
          <w:rFonts w:ascii="DejaVu Sans" w:hAnsi="DejaVu Sans"/>
          <w:color w:val="132238"/>
          <w:sz w:val="18"/>
        </w:rPr>
        <w:t>Review active, overdue and failed operational items.</w:t>
      </w:r>
    </w:p>
    <w:p>
      <w:pPr>
        <w:pStyle w:val="ListNumber"/>
        <w:spacing w:after="40" w:line="245" w:lineRule="auto"/>
        <w:ind w:left="317" w:hanging="173"/>
      </w:pPr>
      <w:r>
        <w:rPr>
          <w:rFonts w:ascii="DejaVu Sans" w:hAnsi="DejaVu Sans"/>
          <w:color w:val="132238"/>
          <w:sz w:val="18"/>
        </w:rPr>
        <w:t>Resolve staffing, branch and access exceptions.</w:t>
      </w:r>
    </w:p>
    <w:p>
      <w:pPr>
        <w:pStyle w:val="ListNumber"/>
        <w:spacing w:after="40" w:line="245" w:lineRule="auto"/>
        <w:ind w:left="317" w:hanging="173"/>
      </w:pPr>
      <w:r>
        <w:rPr>
          <w:rFonts w:ascii="DejaVu Sans" w:hAnsi="DejaVu Sans"/>
          <w:color w:val="132238"/>
          <w:sz w:val="18"/>
        </w:rPr>
        <w:t>Review accounting balances and daily reconciliation reports.</w:t>
      </w:r>
    </w:p>
    <w:p>
      <w:pPr>
        <w:pStyle w:val="ListNumber"/>
        <w:spacing w:after="40" w:line="245" w:lineRule="auto"/>
        <w:ind w:left="317" w:hanging="173"/>
      </w:pPr>
      <w:r>
        <w:rPr>
          <w:rFonts w:ascii="DejaVu Sans" w:hAnsi="DejaVu Sans"/>
          <w:color w:val="132238"/>
          <w:sz w:val="18"/>
        </w:rPr>
        <w:t>Review company performance and outstanding support cases.</w:t>
      </w:r>
    </w:p>
    <w:p>
      <w:pPr>
        <w:spacing w:before="120" w:after="60"/>
      </w:pPr>
      <w:r>
        <w:rPr>
          <w:rFonts w:ascii="DejaVu Sans" w:hAnsi="DejaVu Sans"/>
          <w:b/>
          <w:color w:val="062B55"/>
          <w:sz w:val="26"/>
        </w:rPr>
        <w:t>Control boundaries</w:t>
      </w:r>
    </w:p>
    <w:p>
      <w:pPr>
        <w:pStyle w:val="ListBullet"/>
        <w:spacing w:after="40" w:line="245" w:lineRule="auto"/>
        <w:ind w:left="317" w:hanging="173"/>
      </w:pPr>
      <w:r>
        <w:rPr>
          <w:rFonts w:ascii="DejaVu Sans" w:hAnsi="DejaVu Sans"/>
          <w:color w:val="132238"/>
          <w:sz w:val="18"/>
        </w:rPr>
        <w:t>Assign least privilege and separate finance, lending, collections and audit duties.</w:t>
      </w:r>
    </w:p>
    <w:p>
      <w:pPr>
        <w:pStyle w:val="ListBullet"/>
        <w:spacing w:after="40" w:line="245" w:lineRule="auto"/>
        <w:ind w:left="317" w:hanging="173"/>
      </w:pPr>
      <w:r>
        <w:rPr>
          <w:rFonts w:ascii="DejaVu Sans" w:hAnsi="DejaVu Sans"/>
          <w:color w:val="132238"/>
          <w:sz w:val="18"/>
        </w:rPr>
        <w:t>Do not edit history to hide corrections; use controlled entries and audit notes.</w:t>
      </w:r>
    </w:p>
    <w:p>
      <w:pPr>
        <w:pStyle w:val="ListBullet"/>
        <w:spacing w:after="40" w:line="245" w:lineRule="auto"/>
        <w:ind w:left="317" w:hanging="173"/>
      </w:pPr>
      <w:r>
        <w:rPr>
          <w:rFonts w:ascii="DejaVu Sans" w:hAnsi="DejaVu Sans"/>
          <w:color w:val="132238"/>
          <w:sz w:val="18"/>
        </w:rPr>
        <w:t>Keep licence and company contact details current.</w:t>
      </w:r>
    </w:p>
    <w:p>
      <w:pPr>
        <w:spacing w:before="120" w:after="60"/>
      </w:pPr>
      <w:r>
        <w:rPr>
          <w:rFonts w:ascii="DejaVu Sans" w:hAnsi="DejaVu Sans"/>
          <w:b/>
          <w:color w:val="062B55"/>
          <w:sz w:val="26"/>
        </w:rPr>
        <w:t>Main workspaces</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3240"/>
            <w:vAlign w:val="center"/>
            <w:shd w:fill="062B55"/>
          </w:tcPr>
          <w:p>
            <w:pPr>
              <w:spacing w:after="0"/>
            </w:pPr>
            <w:r/>
            <w:r>
              <w:rPr>
                <w:rFonts w:ascii="DejaVu Sans" w:hAnsi="DejaVu Sans"/>
                <w:b/>
                <w:color w:val="FFFFFF"/>
                <w:sz w:val="16"/>
              </w:rPr>
              <w:t>Workspace</w:t>
            </w:r>
          </w:p>
        </w:tc>
        <w:tc>
          <w:tcPr>
            <w:tcW w:type="dxa" w:w="6264"/>
            <w:vAlign w:val="center"/>
            <w:shd w:fill="062B55"/>
          </w:tcPr>
          <w:p>
            <w:pPr>
              <w:spacing w:after="0"/>
            </w:pPr>
            <w:r/>
            <w:r>
              <w:rPr>
                <w:rFonts w:ascii="DejaVu Sans" w:hAnsi="DejaVu Sans"/>
                <w:b/>
                <w:color w:val="FFFFFF"/>
                <w:sz w:val="16"/>
              </w:rPr>
              <w:t>Purpose</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 dashboard</w:t>
            </w:r>
          </w:p>
        </w:tc>
      </w:tr>
      <w:tr>
        <w:tc>
          <w:tcPr>
            <w:tcW w:type="dxa" w:w="324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/company/settings</w:t>
            </w:r>
          </w:p>
        </w:tc>
        <w:tc>
          <w:tcPr>
            <w:tcW w:type="dxa" w:w="626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Legal and operating profile</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/company/branches</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Branch structure</w:t>
            </w:r>
          </w:p>
        </w:tc>
      </w:tr>
      <w:tr>
        <w:tc>
          <w:tcPr>
            <w:tcW w:type="dxa" w:w="324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/company/staff</w:t>
            </w:r>
          </w:p>
        </w:tc>
        <w:tc>
          <w:tcPr>
            <w:tcW w:type="dxa" w:w="626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Staff and roles</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/company/accounting</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 books</w:t>
            </w:r>
          </w:p>
        </w:tc>
      </w:tr>
      <w:tr>
        <w:tc>
          <w:tcPr>
            <w:tcW w:type="dxa" w:w="324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/company/reports</w:t>
            </w:r>
          </w:p>
        </w:tc>
        <w:tc>
          <w:tcPr>
            <w:tcW w:type="dxa" w:w="626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Operational and financial reporting</w:t>
            </w:r>
          </w:p>
        </w:tc>
      </w:tr>
    </w:tbl>
    <w:p>
      <w:pPr>
        <w:spacing w:after="0"/>
      </w:pPr>
    </w:p>
    <w:p>
      <w:r>
        <w:br w:type="page"/>
      </w:r>
    </w:p>
    <w:p>
      <w:pPr>
        <w:spacing w:after="40"/>
      </w:pPr>
      <w:r>
        <w:rPr>
          <w:rFonts w:ascii="DejaVu Sans" w:hAnsi="DejaVu Sans"/>
          <w:b/>
          <w:color w:val="062B55"/>
          <w:sz w:val="44"/>
        </w:rPr>
        <w:t>12. Company administrator</w:t>
      </w:r>
    </w:p>
    <w:p>
      <w:pPr>
        <w:spacing w:after="200"/>
      </w:pPr>
      <w:r>
        <w:rPr>
          <w:rFonts w:ascii="DejaVu Sans" w:hAnsi="DejaVu Sans"/>
          <w:i/>
          <w:color w:val="5B6573"/>
          <w:sz w:val="21"/>
        </w:rPr>
        <w:t>Run day-to-day company administration under the company owner.</w:t>
      </w:r>
    </w:p>
    <w:p>
      <w:pPr>
        <w:spacing w:after="200"/>
      </w:pPr>
      <w:r>
        <w:rPr>
          <w:color w:val="007E8A"/>
          <w:sz w:val="10"/>
        </w:rPr>
        <w:t>━━━━━━━━━━━━━━━━━━━━━━━━━━━━━━━━━━━━━━━━━━━━━━━━━━━━━━━━━━━━━━━━━━━━━━</w:t>
      </w:r>
    </w:p>
    <w:p>
      <w:pPr>
        <w:spacing w:before="120" w:after="60"/>
      </w:pPr>
      <w:r>
        <w:rPr>
          <w:rFonts w:ascii="DejaVu Sans" w:hAnsi="DejaVu Sans"/>
          <w:b/>
          <w:color w:val="062B55"/>
          <w:sz w:val="26"/>
        </w:rPr>
        <w:t>What this role can do</w:t>
      </w:r>
    </w:p>
    <w:p>
      <w:pPr>
        <w:pStyle w:val="ListBullet"/>
        <w:spacing w:after="40" w:line="245" w:lineRule="auto"/>
        <w:ind w:left="317" w:hanging="173"/>
      </w:pPr>
      <w:r>
        <w:rPr>
          <w:rFonts w:ascii="DejaVu Sans" w:hAnsi="DejaVu Sans"/>
          <w:color w:val="132238"/>
          <w:sz w:val="18"/>
        </w:rPr>
        <w:t>Maintain company master data, branches, staff and products.</w:t>
      </w:r>
    </w:p>
    <w:p>
      <w:pPr>
        <w:pStyle w:val="ListBullet"/>
        <w:spacing w:after="40" w:line="245" w:lineRule="auto"/>
        <w:ind w:left="317" w:hanging="173"/>
      </w:pPr>
      <w:r>
        <w:rPr>
          <w:rFonts w:ascii="DejaVu Sans" w:hAnsi="DejaVu Sans"/>
          <w:color w:val="132238"/>
          <w:sz w:val="18"/>
        </w:rPr>
        <w:t>Coordinate lending, finance, collections, support and HR workflows.</w:t>
      </w:r>
    </w:p>
    <w:p>
      <w:pPr>
        <w:pStyle w:val="ListBullet"/>
        <w:spacing w:after="40" w:line="245" w:lineRule="auto"/>
        <w:ind w:left="317" w:hanging="173"/>
      </w:pPr>
      <w:r>
        <w:rPr>
          <w:rFonts w:ascii="DejaVu Sans" w:hAnsi="DejaVu Sans"/>
          <w:color w:val="132238"/>
          <w:sz w:val="18"/>
        </w:rPr>
        <w:t>Review company notifications, chat, files, performance and reports.</w:t>
      </w:r>
    </w:p>
    <w:p>
      <w:pPr>
        <w:spacing w:before="120" w:after="60"/>
      </w:pPr>
      <w:r>
        <w:rPr>
          <w:rFonts w:ascii="DejaVu Sans" w:hAnsi="DejaVu Sans"/>
          <w:b/>
          <w:color w:val="062B55"/>
          <w:sz w:val="26"/>
        </w:rPr>
        <w:t>Recommended daily routine</w:t>
      </w:r>
    </w:p>
    <w:p>
      <w:pPr>
        <w:pStyle w:val="ListNumber"/>
        <w:spacing w:after="40" w:line="245" w:lineRule="auto"/>
        <w:ind w:left="317" w:hanging="173"/>
      </w:pPr>
      <w:r>
        <w:rPr>
          <w:rFonts w:ascii="DejaVu Sans" w:hAnsi="DejaVu Sans"/>
          <w:color w:val="132238"/>
          <w:sz w:val="18"/>
        </w:rPr>
        <w:t>Prioritise notifications by severity and due date.</w:t>
      </w:r>
    </w:p>
    <w:p>
      <w:pPr>
        <w:pStyle w:val="ListNumber"/>
        <w:spacing w:after="40" w:line="245" w:lineRule="auto"/>
        <w:ind w:left="317" w:hanging="173"/>
      </w:pPr>
      <w:r>
        <w:rPr>
          <w:rFonts w:ascii="DejaVu Sans" w:hAnsi="DejaVu Sans"/>
          <w:color w:val="132238"/>
          <w:sz w:val="18"/>
        </w:rPr>
        <w:t>Check incomplete records and inactive dependencies.</w:t>
      </w:r>
    </w:p>
    <w:p>
      <w:pPr>
        <w:pStyle w:val="ListNumber"/>
        <w:spacing w:after="40" w:line="245" w:lineRule="auto"/>
        <w:ind w:left="317" w:hanging="173"/>
      </w:pPr>
      <w:r>
        <w:rPr>
          <w:rFonts w:ascii="DejaVu Sans" w:hAnsi="DejaVu Sans"/>
          <w:color w:val="132238"/>
          <w:sz w:val="18"/>
        </w:rPr>
        <w:t>Route work to the correct specialist role.</w:t>
      </w:r>
    </w:p>
    <w:p>
      <w:pPr>
        <w:pStyle w:val="ListNumber"/>
        <w:spacing w:after="40" w:line="245" w:lineRule="auto"/>
        <w:ind w:left="317" w:hanging="173"/>
      </w:pPr>
      <w:r>
        <w:rPr>
          <w:rFonts w:ascii="DejaVu Sans" w:hAnsi="DejaVu Sans"/>
          <w:color w:val="132238"/>
          <w:sz w:val="18"/>
        </w:rPr>
        <w:t>Review audit activity for unexpected changes.</w:t>
      </w:r>
    </w:p>
    <w:p>
      <w:pPr>
        <w:spacing w:before="120" w:after="60"/>
      </w:pPr>
      <w:r>
        <w:rPr>
          <w:rFonts w:ascii="DejaVu Sans" w:hAnsi="DejaVu Sans"/>
          <w:b/>
          <w:color w:val="062B55"/>
          <w:sz w:val="26"/>
        </w:rPr>
        <w:t>Control boundaries</w:t>
      </w:r>
    </w:p>
    <w:p>
      <w:pPr>
        <w:pStyle w:val="ListBullet"/>
        <w:spacing w:after="40" w:line="245" w:lineRule="auto"/>
        <w:ind w:left="317" w:hanging="173"/>
      </w:pPr>
      <w:r>
        <w:rPr>
          <w:rFonts w:ascii="DejaVu Sans" w:hAnsi="DejaVu Sans"/>
          <w:color w:val="132238"/>
          <w:sz w:val="18"/>
        </w:rPr>
        <w:t>Do not grant administrator access to solve a temporary task.</w:t>
      </w:r>
    </w:p>
    <w:p>
      <w:pPr>
        <w:pStyle w:val="ListBullet"/>
        <w:spacing w:after="40" w:line="245" w:lineRule="auto"/>
        <w:ind w:left="317" w:hanging="173"/>
      </w:pPr>
      <w:r>
        <w:rPr>
          <w:rFonts w:ascii="DejaVu Sans" w:hAnsi="DejaVu Sans"/>
          <w:color w:val="132238"/>
          <w:sz w:val="18"/>
        </w:rPr>
        <w:t>Confirm branch assignment before activating membership.</w:t>
      </w:r>
    </w:p>
    <w:p>
      <w:pPr>
        <w:pStyle w:val="ListBullet"/>
        <w:spacing w:after="40" w:line="245" w:lineRule="auto"/>
        <w:ind w:left="317" w:hanging="173"/>
      </w:pPr>
      <w:r>
        <w:rPr>
          <w:rFonts w:ascii="DejaVu Sans" w:hAnsi="DejaVu Sans"/>
          <w:color w:val="132238"/>
          <w:sz w:val="18"/>
        </w:rPr>
        <w:t>Use managed group chat instead of external uncontrolled channels.</w:t>
      </w:r>
    </w:p>
    <w:p>
      <w:pPr>
        <w:spacing w:before="120" w:after="60"/>
      </w:pPr>
      <w:r>
        <w:rPr>
          <w:rFonts w:ascii="DejaVu Sans" w:hAnsi="DejaVu Sans"/>
          <w:b/>
          <w:color w:val="062B55"/>
          <w:sz w:val="26"/>
        </w:rPr>
        <w:t>Main workspaces</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3240"/>
            <w:vAlign w:val="center"/>
            <w:shd w:fill="062B55"/>
          </w:tcPr>
          <w:p>
            <w:pPr>
              <w:spacing w:after="0"/>
            </w:pPr>
            <w:r/>
            <w:r>
              <w:rPr>
                <w:rFonts w:ascii="DejaVu Sans" w:hAnsi="DejaVu Sans"/>
                <w:b/>
                <w:color w:val="FFFFFF"/>
                <w:sz w:val="16"/>
              </w:rPr>
              <w:t>Workspace</w:t>
            </w:r>
          </w:p>
        </w:tc>
        <w:tc>
          <w:tcPr>
            <w:tcW w:type="dxa" w:w="6264"/>
            <w:vAlign w:val="center"/>
            <w:shd w:fill="062B55"/>
          </w:tcPr>
          <w:p>
            <w:pPr>
              <w:spacing w:after="0"/>
            </w:pPr>
            <w:r/>
            <w:r>
              <w:rPr>
                <w:rFonts w:ascii="DejaVu Sans" w:hAnsi="DejaVu Sans"/>
                <w:b/>
                <w:color w:val="FFFFFF"/>
                <w:sz w:val="16"/>
              </w:rPr>
              <w:t>Purpose</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Operational overview</w:t>
            </w:r>
          </w:p>
        </w:tc>
      </w:tr>
      <w:tr>
        <w:tc>
          <w:tcPr>
            <w:tcW w:type="dxa" w:w="324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/company/notifications</w:t>
            </w:r>
          </w:p>
        </w:tc>
        <w:tc>
          <w:tcPr>
            <w:tcW w:type="dxa" w:w="626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Actionable events</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/company/activity</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 audit history</w:t>
            </w:r>
          </w:p>
        </w:tc>
      </w:tr>
      <w:tr>
        <w:tc>
          <w:tcPr>
            <w:tcW w:type="dxa" w:w="324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/company/chat</w:t>
            </w:r>
          </w:p>
        </w:tc>
        <w:tc>
          <w:tcPr>
            <w:tcW w:type="dxa" w:w="626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Operational communication</w:t>
            </w:r>
          </w:p>
        </w:tc>
      </w:tr>
    </w:tbl>
    <w:p>
      <w:pPr>
        <w:spacing w:after="0"/>
      </w:pPr>
    </w:p>
    <w:p>
      <w:r>
        <w:br w:type="page"/>
      </w:r>
    </w:p>
    <w:p>
      <w:pPr>
        <w:spacing w:after="40"/>
      </w:pPr>
      <w:r>
        <w:rPr>
          <w:rFonts w:ascii="DejaVu Sans" w:hAnsi="DejaVu Sans"/>
          <w:b/>
          <w:color w:val="062B55"/>
          <w:sz w:val="44"/>
        </w:rPr>
        <w:t>13. Branch manager</w:t>
      </w:r>
    </w:p>
    <w:p>
      <w:pPr>
        <w:spacing w:after="200"/>
      </w:pPr>
      <w:r>
        <w:rPr>
          <w:rFonts w:ascii="DejaVu Sans" w:hAnsi="DejaVu Sans"/>
          <w:i/>
          <w:color w:val="5B6573"/>
          <w:sz w:val="21"/>
        </w:rPr>
        <w:t>Manage staff, lending and performance for an assigned branch.</w:t>
      </w:r>
    </w:p>
    <w:p>
      <w:pPr>
        <w:spacing w:after="200"/>
      </w:pPr>
      <w:r>
        <w:rPr>
          <w:color w:val="007E8A"/>
          <w:sz w:val="10"/>
        </w:rPr>
        <w:t>━━━━━━━━━━━━━━━━━━━━━━━━━━━━━━━━━━━━━━━━━━━━━━━━━━━━━━━━━━━━━━━━━━━━━━</w:t>
      </w:r>
    </w:p>
    <w:p>
      <w:pPr>
        <w:spacing w:before="120" w:after="60"/>
      </w:pPr>
      <w:r>
        <w:rPr>
          <w:rFonts w:ascii="DejaVu Sans" w:hAnsi="DejaVu Sans"/>
          <w:b/>
          <w:color w:val="062B55"/>
          <w:sz w:val="26"/>
        </w:rPr>
        <w:t>What this role can do</w:t>
      </w:r>
    </w:p>
    <w:p>
      <w:pPr>
        <w:pStyle w:val="ListBullet"/>
        <w:spacing w:after="40" w:line="245" w:lineRule="auto"/>
        <w:ind w:left="317" w:hanging="173"/>
      </w:pPr>
      <w:r>
        <w:rPr>
          <w:rFonts w:ascii="DejaVu Sans" w:hAnsi="DejaVu Sans"/>
          <w:color w:val="132238"/>
          <w:sz w:val="18"/>
        </w:rPr>
        <w:t>View branch-scoped loans, employees, files, reports and performance.</w:t>
      </w:r>
    </w:p>
    <w:p>
      <w:pPr>
        <w:pStyle w:val="ListBullet"/>
        <w:spacing w:after="40" w:line="245" w:lineRule="auto"/>
        <w:ind w:left="317" w:hanging="173"/>
      </w:pPr>
      <w:r>
        <w:rPr>
          <w:rFonts w:ascii="DejaVu Sans" w:hAnsi="DejaVu Sans"/>
          <w:color w:val="132238"/>
          <w:sz w:val="18"/>
        </w:rPr>
        <w:t>Coordinate loan officers, finance and collections.</w:t>
      </w:r>
    </w:p>
    <w:p>
      <w:pPr>
        <w:pStyle w:val="ListBullet"/>
        <w:spacing w:after="40" w:line="245" w:lineRule="auto"/>
        <w:ind w:left="317" w:hanging="173"/>
      </w:pPr>
      <w:r>
        <w:rPr>
          <w:rFonts w:ascii="DejaVu Sans" w:hAnsi="DejaVu Sans"/>
          <w:color w:val="132238"/>
          <w:sz w:val="18"/>
        </w:rPr>
        <w:t>Escalate risk, compliance and technical issues.</w:t>
      </w:r>
    </w:p>
    <w:p>
      <w:pPr>
        <w:spacing w:before="120" w:after="60"/>
      </w:pPr>
      <w:r>
        <w:rPr>
          <w:rFonts w:ascii="DejaVu Sans" w:hAnsi="DejaVu Sans"/>
          <w:b/>
          <w:color w:val="062B55"/>
          <w:sz w:val="26"/>
        </w:rPr>
        <w:t>Recommended daily routine</w:t>
      </w:r>
    </w:p>
    <w:p>
      <w:pPr>
        <w:pStyle w:val="ListNumber"/>
        <w:spacing w:after="40" w:line="245" w:lineRule="auto"/>
        <w:ind w:left="317" w:hanging="173"/>
      </w:pPr>
      <w:r>
        <w:rPr>
          <w:rFonts w:ascii="DejaVu Sans" w:hAnsi="DejaVu Sans"/>
          <w:color w:val="132238"/>
          <w:sz w:val="18"/>
        </w:rPr>
        <w:t>Review branch queue, staff workload and overdue loans.</w:t>
      </w:r>
    </w:p>
    <w:p>
      <w:pPr>
        <w:pStyle w:val="ListNumber"/>
        <w:spacing w:after="40" w:line="245" w:lineRule="auto"/>
        <w:ind w:left="317" w:hanging="173"/>
      </w:pPr>
      <w:r>
        <w:rPr>
          <w:rFonts w:ascii="DejaVu Sans" w:hAnsi="DejaVu Sans"/>
          <w:color w:val="132238"/>
          <w:sz w:val="18"/>
        </w:rPr>
        <w:t>Assign work and confirm hand-offs.</w:t>
      </w:r>
    </w:p>
    <w:p>
      <w:pPr>
        <w:pStyle w:val="ListNumber"/>
        <w:spacing w:after="40" w:line="245" w:lineRule="auto"/>
        <w:ind w:left="317" w:hanging="173"/>
      </w:pPr>
      <w:r>
        <w:rPr>
          <w:rFonts w:ascii="DejaVu Sans" w:hAnsi="DejaVu Sans"/>
          <w:color w:val="132238"/>
          <w:sz w:val="18"/>
        </w:rPr>
        <w:t>Review branch performance and reconciliation report.</w:t>
      </w:r>
    </w:p>
    <w:p>
      <w:pPr>
        <w:pStyle w:val="ListNumber"/>
        <w:spacing w:after="40" w:line="245" w:lineRule="auto"/>
        <w:ind w:left="317" w:hanging="173"/>
      </w:pPr>
      <w:r>
        <w:rPr>
          <w:rFonts w:ascii="DejaVu Sans" w:hAnsi="DejaVu Sans"/>
          <w:color w:val="132238"/>
          <w:sz w:val="18"/>
        </w:rPr>
        <w:t>Escalate exceptions with supporting references.</w:t>
      </w:r>
    </w:p>
    <w:p>
      <w:pPr>
        <w:spacing w:before="120" w:after="60"/>
      </w:pPr>
      <w:r>
        <w:rPr>
          <w:rFonts w:ascii="DejaVu Sans" w:hAnsi="DejaVu Sans"/>
          <w:b/>
          <w:color w:val="062B55"/>
          <w:sz w:val="26"/>
        </w:rPr>
        <w:t>Control boundaries</w:t>
      </w:r>
    </w:p>
    <w:p>
      <w:pPr>
        <w:pStyle w:val="ListBullet"/>
        <w:spacing w:after="40" w:line="245" w:lineRule="auto"/>
        <w:ind w:left="317" w:hanging="173"/>
      </w:pPr>
      <w:r>
        <w:rPr>
          <w:rFonts w:ascii="DejaVu Sans" w:hAnsi="DejaVu Sans"/>
          <w:color w:val="132238"/>
          <w:sz w:val="18"/>
        </w:rPr>
        <w:t>Do not access another branch without company-wide authority.</w:t>
      </w:r>
    </w:p>
    <w:p>
      <w:pPr>
        <w:pStyle w:val="ListBullet"/>
        <w:spacing w:after="40" w:line="245" w:lineRule="auto"/>
        <w:ind w:left="317" w:hanging="173"/>
      </w:pPr>
      <w:r>
        <w:rPr>
          <w:rFonts w:ascii="DejaVu Sans" w:hAnsi="DejaVu Sans"/>
          <w:color w:val="132238"/>
          <w:sz w:val="18"/>
        </w:rPr>
        <w:t>Confirm customer identity before sensitive actions.</w:t>
      </w:r>
    </w:p>
    <w:p>
      <w:pPr>
        <w:pStyle w:val="ListBullet"/>
        <w:spacing w:after="40" w:line="245" w:lineRule="auto"/>
        <w:ind w:left="317" w:hanging="173"/>
      </w:pPr>
      <w:r>
        <w:rPr>
          <w:rFonts w:ascii="DejaVu Sans" w:hAnsi="DejaVu Sans"/>
          <w:color w:val="132238"/>
          <w:sz w:val="18"/>
        </w:rPr>
        <w:t>Report conflicts of interest and suspected fraud.</w:t>
      </w:r>
    </w:p>
    <w:p>
      <w:pPr>
        <w:spacing w:before="120" w:after="60"/>
      </w:pPr>
      <w:r>
        <w:rPr>
          <w:rFonts w:ascii="DejaVu Sans" w:hAnsi="DejaVu Sans"/>
          <w:b/>
          <w:color w:val="062B55"/>
          <w:sz w:val="26"/>
        </w:rPr>
        <w:t>Main workspaces</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3240"/>
            <w:vAlign w:val="center"/>
            <w:shd w:fill="062B55"/>
          </w:tcPr>
          <w:p>
            <w:pPr>
              <w:spacing w:after="0"/>
            </w:pPr>
            <w:r/>
            <w:r>
              <w:rPr>
                <w:rFonts w:ascii="DejaVu Sans" w:hAnsi="DejaVu Sans"/>
                <w:b/>
                <w:color w:val="FFFFFF"/>
                <w:sz w:val="16"/>
              </w:rPr>
              <w:t>Workspace</w:t>
            </w:r>
          </w:p>
        </w:tc>
        <w:tc>
          <w:tcPr>
            <w:tcW w:type="dxa" w:w="6264"/>
            <w:vAlign w:val="center"/>
            <w:shd w:fill="062B55"/>
          </w:tcPr>
          <w:p>
            <w:pPr>
              <w:spacing w:after="0"/>
            </w:pPr>
            <w:r/>
            <w:r>
              <w:rPr>
                <w:rFonts w:ascii="DejaVu Sans" w:hAnsi="DejaVu Sans"/>
                <w:b/>
                <w:color w:val="FFFFFF"/>
                <w:sz w:val="16"/>
              </w:rPr>
              <w:t>Purpose</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/company/loans</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Branch-permitted loans</w:t>
            </w:r>
          </w:p>
        </w:tc>
      </w:tr>
      <w:tr>
        <w:tc>
          <w:tcPr>
            <w:tcW w:type="dxa" w:w="324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/company/performance</w:t>
            </w:r>
          </w:p>
        </w:tc>
        <w:tc>
          <w:tcPr>
            <w:tcW w:type="dxa" w:w="626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Branch analytics</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/company/reports</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Branch reports</w:t>
            </w:r>
          </w:p>
        </w:tc>
      </w:tr>
      <w:tr>
        <w:tc>
          <w:tcPr>
            <w:tcW w:type="dxa" w:w="324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/company/chat</w:t>
            </w:r>
          </w:p>
        </w:tc>
        <w:tc>
          <w:tcPr>
            <w:tcW w:type="dxa" w:w="626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Branch communication</w:t>
            </w:r>
          </w:p>
        </w:tc>
      </w:tr>
    </w:tbl>
    <w:p>
      <w:pPr>
        <w:spacing w:after="0"/>
      </w:pPr>
    </w:p>
    <w:p>
      <w:r>
        <w:br w:type="page"/>
      </w:r>
    </w:p>
    <w:p>
      <w:pPr>
        <w:spacing w:after="40"/>
      </w:pPr>
      <w:r>
        <w:rPr>
          <w:rFonts w:ascii="DejaVu Sans" w:hAnsi="DejaVu Sans"/>
          <w:b/>
          <w:color w:val="062B55"/>
          <w:sz w:val="44"/>
        </w:rPr>
        <w:t>14. Loan officer</w:t>
      </w:r>
    </w:p>
    <w:p>
      <w:pPr>
        <w:spacing w:after="200"/>
      </w:pPr>
      <w:r>
        <w:rPr>
          <w:rFonts w:ascii="DejaVu Sans" w:hAnsi="DejaVu Sans"/>
          <w:i/>
          <w:color w:val="5B6573"/>
          <w:sz w:val="21"/>
        </w:rPr>
        <w:t>Evaluate borrower requests and prepare responsible, competitive offers.</w:t>
      </w:r>
    </w:p>
    <w:p>
      <w:pPr>
        <w:spacing w:after="200"/>
      </w:pPr>
      <w:r>
        <w:rPr>
          <w:color w:val="007E8A"/>
          <w:sz w:val="10"/>
        </w:rPr>
        <w:t>━━━━━━━━━━━━━━━━━━━━━━━━━━━━━━━━━━━━━━━━━━━━━━━━━━━━━━━━━━━━━━━━━━━━━━</w:t>
      </w:r>
    </w:p>
    <w:p>
      <w:pPr>
        <w:spacing w:before="120" w:after="60"/>
      </w:pPr>
      <w:r>
        <w:rPr>
          <w:rFonts w:ascii="DejaVu Sans" w:hAnsi="DejaVu Sans"/>
          <w:b/>
          <w:color w:val="062B55"/>
          <w:sz w:val="26"/>
        </w:rPr>
        <w:t>What this role can do</w:t>
      </w:r>
    </w:p>
    <w:p>
      <w:pPr>
        <w:pStyle w:val="ListBullet"/>
        <w:spacing w:after="40" w:line="245" w:lineRule="auto"/>
        <w:ind w:left="317" w:hanging="173"/>
      </w:pPr>
      <w:r>
        <w:rPr>
          <w:rFonts w:ascii="DejaVu Sans" w:hAnsi="DejaVu Sans"/>
          <w:color w:val="132238"/>
          <w:sz w:val="18"/>
        </w:rPr>
        <w:t>Review redacted marketplace requests.</w:t>
      </w:r>
    </w:p>
    <w:p>
      <w:pPr>
        <w:pStyle w:val="ListBullet"/>
        <w:spacing w:after="40" w:line="245" w:lineRule="auto"/>
        <w:ind w:left="317" w:hanging="173"/>
      </w:pPr>
      <w:r>
        <w:rPr>
          <w:rFonts w:ascii="DejaVu Sans" w:hAnsi="DejaVu Sans"/>
          <w:color w:val="132238"/>
          <w:sz w:val="18"/>
        </w:rPr>
        <w:t>Unlock borrower details under authorised billing rules.</w:t>
      </w:r>
    </w:p>
    <w:p>
      <w:pPr>
        <w:pStyle w:val="ListBullet"/>
        <w:spacing w:after="40" w:line="245" w:lineRule="auto"/>
        <w:ind w:left="317" w:hanging="173"/>
      </w:pPr>
      <w:r>
        <w:rPr>
          <w:rFonts w:ascii="DejaVu Sans" w:hAnsi="DejaVu Sans"/>
          <w:color w:val="132238"/>
          <w:sz w:val="18"/>
        </w:rPr>
        <w:t>Assess affordability and product fit.</w:t>
      </w:r>
    </w:p>
    <w:p>
      <w:pPr>
        <w:pStyle w:val="ListBullet"/>
        <w:spacing w:after="40" w:line="245" w:lineRule="auto"/>
        <w:ind w:left="317" w:hanging="173"/>
      </w:pPr>
      <w:r>
        <w:rPr>
          <w:rFonts w:ascii="DejaVu Sans" w:hAnsi="DejaVu Sans"/>
          <w:color w:val="132238"/>
          <w:sz w:val="18"/>
        </w:rPr>
        <w:t>Create and track company offers.</w:t>
      </w:r>
    </w:p>
    <w:p>
      <w:pPr>
        <w:spacing w:before="120" w:after="60"/>
      </w:pPr>
      <w:r>
        <w:rPr>
          <w:rFonts w:ascii="DejaVu Sans" w:hAnsi="DejaVu Sans"/>
          <w:b/>
          <w:color w:val="062B55"/>
          <w:sz w:val="26"/>
        </w:rPr>
        <w:t>Recommended daily routine</w:t>
      </w:r>
    </w:p>
    <w:p>
      <w:pPr>
        <w:pStyle w:val="ListNumber"/>
        <w:spacing w:after="40" w:line="245" w:lineRule="auto"/>
        <w:ind w:left="317" w:hanging="173"/>
      </w:pPr>
      <w:r>
        <w:rPr>
          <w:rFonts w:ascii="DejaVu Sans" w:hAnsi="DejaVu Sans"/>
          <w:color w:val="132238"/>
          <w:sz w:val="18"/>
        </w:rPr>
        <w:t>Review new and expiring requests.</w:t>
      </w:r>
    </w:p>
    <w:p>
      <w:pPr>
        <w:pStyle w:val="ListNumber"/>
        <w:spacing w:after="40" w:line="245" w:lineRule="auto"/>
        <w:ind w:left="317" w:hanging="173"/>
      </w:pPr>
      <w:r>
        <w:rPr>
          <w:rFonts w:ascii="DejaVu Sans" w:hAnsi="DejaVu Sans"/>
          <w:color w:val="132238"/>
          <w:sz w:val="18"/>
        </w:rPr>
        <w:t>Check documents, consent, income and obligations.</w:t>
      </w:r>
    </w:p>
    <w:p>
      <w:pPr>
        <w:pStyle w:val="ListNumber"/>
        <w:spacing w:after="40" w:line="245" w:lineRule="auto"/>
        <w:ind w:left="317" w:hanging="173"/>
      </w:pPr>
      <w:r>
        <w:rPr>
          <w:rFonts w:ascii="DejaVu Sans" w:hAnsi="DejaVu Sans"/>
          <w:color w:val="132238"/>
          <w:sz w:val="18"/>
        </w:rPr>
        <w:t>Prepare a compliant offer using an active product.</w:t>
      </w:r>
    </w:p>
    <w:p>
      <w:pPr>
        <w:pStyle w:val="ListNumber"/>
        <w:spacing w:after="40" w:line="245" w:lineRule="auto"/>
        <w:ind w:left="317" w:hanging="173"/>
      </w:pPr>
      <w:r>
        <w:rPr>
          <w:rFonts w:ascii="DejaVu Sans" w:hAnsi="DejaVu Sans"/>
          <w:color w:val="132238"/>
          <w:sz w:val="18"/>
        </w:rPr>
        <w:t>Monitor accepted, rejected and expired outcomes.</w:t>
      </w:r>
    </w:p>
    <w:p>
      <w:pPr>
        <w:spacing w:before="120" w:after="60"/>
      </w:pPr>
      <w:r>
        <w:rPr>
          <w:rFonts w:ascii="DejaVu Sans" w:hAnsi="DejaVu Sans"/>
          <w:b/>
          <w:color w:val="062B55"/>
          <w:sz w:val="26"/>
        </w:rPr>
        <w:t>Control boundaries</w:t>
      </w:r>
    </w:p>
    <w:p>
      <w:pPr>
        <w:pStyle w:val="ListBullet"/>
        <w:spacing w:after="40" w:line="245" w:lineRule="auto"/>
        <w:ind w:left="317" w:hanging="173"/>
      </w:pPr>
      <w:r>
        <w:rPr>
          <w:rFonts w:ascii="DejaVu Sans" w:hAnsi="DejaVu Sans"/>
          <w:color w:val="132238"/>
          <w:sz w:val="18"/>
        </w:rPr>
        <w:t>Do not disclose borrower details to another company.</w:t>
      </w:r>
    </w:p>
    <w:p>
      <w:pPr>
        <w:pStyle w:val="ListBullet"/>
        <w:spacing w:after="40" w:line="245" w:lineRule="auto"/>
        <w:ind w:left="317" w:hanging="173"/>
      </w:pPr>
      <w:r>
        <w:rPr>
          <w:rFonts w:ascii="DejaVu Sans" w:hAnsi="DejaVu Sans"/>
          <w:color w:val="132238"/>
          <w:sz w:val="18"/>
        </w:rPr>
        <w:t>Do not promise approval before required checks.</w:t>
      </w:r>
    </w:p>
    <w:p>
      <w:pPr>
        <w:pStyle w:val="ListBullet"/>
        <w:spacing w:after="40" w:line="245" w:lineRule="auto"/>
        <w:ind w:left="317" w:hanging="173"/>
      </w:pPr>
      <w:r>
        <w:rPr>
          <w:rFonts w:ascii="DejaVu Sans" w:hAnsi="DejaVu Sans"/>
          <w:color w:val="132238"/>
          <w:sz w:val="18"/>
        </w:rPr>
        <w:t>Do not enter rates outside authorised product and policy limits.</w:t>
      </w:r>
    </w:p>
    <w:p>
      <w:pPr>
        <w:spacing w:before="120" w:after="60"/>
      </w:pPr>
      <w:r>
        <w:rPr>
          <w:rFonts w:ascii="DejaVu Sans" w:hAnsi="DejaVu Sans"/>
          <w:b/>
          <w:color w:val="062B55"/>
          <w:sz w:val="26"/>
        </w:rPr>
        <w:t>Main workspaces</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3240"/>
            <w:vAlign w:val="center"/>
            <w:shd w:fill="062B55"/>
          </w:tcPr>
          <w:p>
            <w:pPr>
              <w:spacing w:after="0"/>
            </w:pPr>
            <w:r/>
            <w:r>
              <w:rPr>
                <w:rFonts w:ascii="DejaVu Sans" w:hAnsi="DejaVu Sans"/>
                <w:b/>
                <w:color w:val="FFFFFF"/>
                <w:sz w:val="16"/>
              </w:rPr>
              <w:t>Workspace</w:t>
            </w:r>
          </w:p>
        </w:tc>
        <w:tc>
          <w:tcPr>
            <w:tcW w:type="dxa" w:w="6264"/>
            <w:vAlign w:val="center"/>
            <w:shd w:fill="062B55"/>
          </w:tcPr>
          <w:p>
            <w:pPr>
              <w:spacing w:after="0"/>
            </w:pPr>
            <w:r/>
            <w:r>
              <w:rPr>
                <w:rFonts w:ascii="DejaVu Sans" w:hAnsi="DejaVu Sans"/>
                <w:b/>
                <w:color w:val="FFFFFF"/>
                <w:sz w:val="16"/>
              </w:rPr>
              <w:t>Purpose</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/company/marketplace</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Broadcast requests</w:t>
            </w:r>
          </w:p>
        </w:tc>
      </w:tr>
      <w:tr>
        <w:tc>
          <w:tcPr>
            <w:tcW w:type="dxa" w:w="324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/company/products</w:t>
            </w:r>
          </w:p>
        </w:tc>
        <w:tc>
          <w:tcPr>
            <w:tcW w:type="dxa" w:w="626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Approved product rules</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/company/loans</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Selected/serviced loans</w:t>
            </w:r>
          </w:p>
        </w:tc>
      </w:tr>
      <w:tr>
        <w:tc>
          <w:tcPr>
            <w:tcW w:type="dxa" w:w="324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/company/chat</w:t>
            </w:r>
          </w:p>
        </w:tc>
        <w:tc>
          <w:tcPr>
            <w:tcW w:type="dxa" w:w="626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Borrower communication</w:t>
            </w:r>
          </w:p>
        </w:tc>
      </w:tr>
    </w:tbl>
    <w:p>
      <w:pPr>
        <w:spacing w:after="0"/>
      </w:pPr>
    </w:p>
    <w:p>
      <w:r>
        <w:br w:type="page"/>
      </w:r>
    </w:p>
    <w:p>
      <w:pPr>
        <w:spacing w:after="40"/>
      </w:pPr>
      <w:r>
        <w:rPr>
          <w:rFonts w:ascii="DejaVu Sans" w:hAnsi="DejaVu Sans"/>
          <w:b/>
          <w:color w:val="062B55"/>
          <w:sz w:val="44"/>
        </w:rPr>
        <w:t>15. Finance officer</w:t>
      </w:r>
    </w:p>
    <w:p>
      <w:pPr>
        <w:spacing w:after="200"/>
      </w:pPr>
      <w:r>
        <w:rPr>
          <w:rFonts w:ascii="DejaVu Sans" w:hAnsi="DejaVu Sans"/>
          <w:i/>
          <w:color w:val="5B6573"/>
          <w:sz w:val="21"/>
        </w:rPr>
        <w:t>Control disbursements, receipts, reconciliation and accounting evidence.</w:t>
      </w:r>
    </w:p>
    <w:p>
      <w:pPr>
        <w:spacing w:after="200"/>
      </w:pPr>
      <w:r>
        <w:rPr>
          <w:color w:val="007E8A"/>
          <w:sz w:val="10"/>
        </w:rPr>
        <w:t>━━━━━━━━━━━━━━━━━━━━━━━━━━━━━━━━━━━━━━━━━━━━━━━━━━━━━━━━━━━━━━━━━━━━━━</w:t>
      </w:r>
    </w:p>
    <w:p>
      <w:pPr>
        <w:spacing w:before="120" w:after="60"/>
      </w:pPr>
      <w:r>
        <w:rPr>
          <w:rFonts w:ascii="DejaVu Sans" w:hAnsi="DejaVu Sans"/>
          <w:b/>
          <w:color w:val="062B55"/>
          <w:sz w:val="26"/>
        </w:rPr>
        <w:t>What this role can do</w:t>
      </w:r>
    </w:p>
    <w:p>
      <w:pPr>
        <w:pStyle w:val="ListBullet"/>
        <w:spacing w:after="40" w:line="245" w:lineRule="auto"/>
        <w:ind w:left="317" w:hanging="173"/>
      </w:pPr>
      <w:r>
        <w:rPr>
          <w:rFonts w:ascii="DejaVu Sans" w:hAnsi="DejaVu Sans"/>
          <w:color w:val="132238"/>
          <w:sz w:val="18"/>
        </w:rPr>
        <w:t>Review and initiate authorised disbursement and repayment transactions.</w:t>
      </w:r>
    </w:p>
    <w:p>
      <w:pPr>
        <w:pStyle w:val="ListBullet"/>
        <w:spacing w:after="40" w:line="245" w:lineRule="auto"/>
        <w:ind w:left="317" w:hanging="173"/>
      </w:pPr>
      <w:r>
        <w:rPr>
          <w:rFonts w:ascii="DejaVu Sans" w:hAnsi="DejaVu Sans"/>
          <w:color w:val="132238"/>
          <w:sz w:val="18"/>
        </w:rPr>
        <w:t>Reconcile provider references, LoanHub ledger and accounting entries.</w:t>
      </w:r>
    </w:p>
    <w:p>
      <w:pPr>
        <w:pStyle w:val="ListBullet"/>
        <w:spacing w:after="40" w:line="245" w:lineRule="auto"/>
        <w:ind w:left="317" w:hanging="173"/>
      </w:pPr>
      <w:r>
        <w:rPr>
          <w:rFonts w:ascii="DejaVu Sans" w:hAnsi="DejaVu Sans"/>
          <w:color w:val="132238"/>
          <w:sz w:val="18"/>
        </w:rPr>
        <w:t>Review trial balance, profit and loss and balance sheet.</w:t>
      </w:r>
    </w:p>
    <w:p>
      <w:pPr>
        <w:spacing w:before="120" w:after="60"/>
      </w:pPr>
      <w:r>
        <w:rPr>
          <w:rFonts w:ascii="DejaVu Sans" w:hAnsi="DejaVu Sans"/>
          <w:b/>
          <w:color w:val="062B55"/>
          <w:sz w:val="26"/>
        </w:rPr>
        <w:t>Recommended daily routine</w:t>
      </w:r>
    </w:p>
    <w:p>
      <w:pPr>
        <w:pStyle w:val="ListNumber"/>
        <w:spacing w:after="40" w:line="245" w:lineRule="auto"/>
        <w:ind w:left="317" w:hanging="173"/>
      </w:pPr>
      <w:r>
        <w:rPr>
          <w:rFonts w:ascii="DejaVu Sans" w:hAnsi="DejaVu Sans"/>
          <w:color w:val="132238"/>
          <w:sz w:val="18"/>
        </w:rPr>
        <w:t>Review pending and failed payments.</w:t>
      </w:r>
    </w:p>
    <w:p>
      <w:pPr>
        <w:pStyle w:val="ListNumber"/>
        <w:spacing w:after="40" w:line="245" w:lineRule="auto"/>
        <w:ind w:left="317" w:hanging="173"/>
      </w:pPr>
      <w:r>
        <w:rPr>
          <w:rFonts w:ascii="DejaVu Sans" w:hAnsi="DejaVu Sans"/>
          <w:color w:val="132238"/>
          <w:sz w:val="18"/>
        </w:rPr>
        <w:t>Verify amount, payer/payee and authorisation.</w:t>
      </w:r>
    </w:p>
    <w:p>
      <w:pPr>
        <w:pStyle w:val="ListNumber"/>
        <w:spacing w:after="40" w:line="245" w:lineRule="auto"/>
        <w:ind w:left="317" w:hanging="173"/>
      </w:pPr>
      <w:r>
        <w:rPr>
          <w:rFonts w:ascii="DejaVu Sans" w:hAnsi="DejaVu Sans"/>
          <w:color w:val="132238"/>
          <w:sz w:val="18"/>
        </w:rPr>
        <w:t>Reconcile successful provider result to LoanHub records.</w:t>
      </w:r>
    </w:p>
    <w:p>
      <w:pPr>
        <w:pStyle w:val="ListNumber"/>
        <w:spacing w:after="40" w:line="245" w:lineRule="auto"/>
        <w:ind w:left="317" w:hanging="173"/>
      </w:pPr>
      <w:r>
        <w:rPr>
          <w:rFonts w:ascii="DejaVu Sans" w:hAnsi="DejaVu Sans"/>
          <w:color w:val="132238"/>
          <w:sz w:val="18"/>
        </w:rPr>
        <w:t>Post or review related journal evidence.</w:t>
      </w:r>
    </w:p>
    <w:p>
      <w:pPr>
        <w:spacing w:before="120" w:after="60"/>
      </w:pPr>
      <w:r>
        <w:rPr>
          <w:rFonts w:ascii="DejaVu Sans" w:hAnsi="DejaVu Sans"/>
          <w:b/>
          <w:color w:val="062B55"/>
          <w:sz w:val="26"/>
        </w:rPr>
        <w:t>Control boundaries</w:t>
      </w:r>
    </w:p>
    <w:p>
      <w:pPr>
        <w:pStyle w:val="ListBullet"/>
        <w:spacing w:after="40" w:line="245" w:lineRule="auto"/>
        <w:ind w:left="317" w:hanging="173"/>
      </w:pPr>
      <w:r>
        <w:rPr>
          <w:rFonts w:ascii="DejaVu Sans" w:hAnsi="DejaVu Sans"/>
          <w:color w:val="132238"/>
          <w:sz w:val="18"/>
        </w:rPr>
        <w:t>A pending database payment is not proof of provider settlement.</w:t>
      </w:r>
    </w:p>
    <w:p>
      <w:pPr>
        <w:pStyle w:val="ListBullet"/>
        <w:spacing w:after="40" w:line="245" w:lineRule="auto"/>
        <w:ind w:left="317" w:hanging="173"/>
      </w:pPr>
      <w:r>
        <w:rPr>
          <w:rFonts w:ascii="DejaVu Sans" w:hAnsi="DejaVu Sans"/>
          <w:color w:val="132238"/>
          <w:sz w:val="18"/>
        </w:rPr>
        <w:t>Never mark success without verified evidence.</w:t>
      </w:r>
    </w:p>
    <w:p>
      <w:pPr>
        <w:pStyle w:val="ListBullet"/>
        <w:spacing w:after="40" w:line="245" w:lineRule="auto"/>
        <w:ind w:left="317" w:hanging="173"/>
      </w:pPr>
      <w:r>
        <w:rPr>
          <w:rFonts w:ascii="DejaVu Sans" w:hAnsi="DejaVu Sans"/>
          <w:color w:val="132238"/>
          <w:sz w:val="18"/>
        </w:rPr>
        <w:t>Keep provider credentials and callbacks restricted.</w:t>
      </w:r>
    </w:p>
    <w:p>
      <w:pPr>
        <w:spacing w:before="120" w:after="60"/>
      </w:pPr>
      <w:r>
        <w:rPr>
          <w:rFonts w:ascii="DejaVu Sans" w:hAnsi="DejaVu Sans"/>
          <w:b/>
          <w:color w:val="062B55"/>
          <w:sz w:val="26"/>
        </w:rPr>
        <w:t>Main workspaces</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3240"/>
            <w:vAlign w:val="center"/>
            <w:shd w:fill="062B55"/>
          </w:tcPr>
          <w:p>
            <w:pPr>
              <w:spacing w:after="0"/>
            </w:pPr>
            <w:r/>
            <w:r>
              <w:rPr>
                <w:rFonts w:ascii="DejaVu Sans" w:hAnsi="DejaVu Sans"/>
                <w:b/>
                <w:color w:val="FFFFFF"/>
                <w:sz w:val="16"/>
              </w:rPr>
              <w:t>Workspace</w:t>
            </w:r>
          </w:p>
        </w:tc>
        <w:tc>
          <w:tcPr>
            <w:tcW w:type="dxa" w:w="6264"/>
            <w:vAlign w:val="center"/>
            <w:shd w:fill="062B55"/>
          </w:tcPr>
          <w:p>
            <w:pPr>
              <w:spacing w:after="0"/>
            </w:pPr>
            <w:r/>
            <w:r>
              <w:rPr>
                <w:rFonts w:ascii="DejaVu Sans" w:hAnsi="DejaVu Sans"/>
                <w:b/>
                <w:color w:val="FFFFFF"/>
                <w:sz w:val="16"/>
              </w:rPr>
              <w:t>Purpose</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/company/payments</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 payment ledger</w:t>
            </w:r>
          </w:p>
        </w:tc>
      </w:tr>
      <w:tr>
        <w:tc>
          <w:tcPr>
            <w:tcW w:type="dxa" w:w="324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/company/accounting</w:t>
            </w:r>
          </w:p>
        </w:tc>
        <w:tc>
          <w:tcPr>
            <w:tcW w:type="dxa" w:w="626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Journals and statements</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/company/reports</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Financial reports</w:t>
            </w:r>
          </w:p>
        </w:tc>
      </w:tr>
      <w:tr>
        <w:tc>
          <w:tcPr>
            <w:tcW w:type="dxa" w:w="324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/company/files</w:t>
            </w:r>
          </w:p>
        </w:tc>
        <w:tc>
          <w:tcPr>
            <w:tcW w:type="dxa" w:w="626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Payment evidence</w:t>
            </w:r>
          </w:p>
        </w:tc>
      </w:tr>
    </w:tbl>
    <w:p>
      <w:pPr>
        <w:spacing w:after="0"/>
      </w:pPr>
    </w:p>
    <w:p>
      <w:r>
        <w:br w:type="page"/>
      </w:r>
    </w:p>
    <w:p>
      <w:pPr>
        <w:spacing w:after="40"/>
      </w:pPr>
      <w:r>
        <w:rPr>
          <w:rFonts w:ascii="DejaVu Sans" w:hAnsi="DejaVu Sans"/>
          <w:b/>
          <w:color w:val="062B55"/>
          <w:sz w:val="44"/>
        </w:rPr>
        <w:t>16. Collections officer</w:t>
      </w:r>
    </w:p>
    <w:p>
      <w:pPr>
        <w:spacing w:after="200"/>
      </w:pPr>
      <w:r>
        <w:rPr>
          <w:rFonts w:ascii="DejaVu Sans" w:hAnsi="DejaVu Sans"/>
          <w:i/>
          <w:color w:val="5B6573"/>
          <w:sz w:val="21"/>
        </w:rPr>
        <w:t>Follow due and overdue repayments professionally and transparently.</w:t>
      </w:r>
    </w:p>
    <w:p>
      <w:pPr>
        <w:spacing w:after="200"/>
      </w:pPr>
      <w:r>
        <w:rPr>
          <w:color w:val="007E8A"/>
          <w:sz w:val="10"/>
        </w:rPr>
        <w:t>━━━━━━━━━━━━━━━━━━━━━━━━━━━━━━━━━━━━━━━━━━━━━━━━━━━━━━━━━━━━━━━━━━━━━━</w:t>
      </w:r>
    </w:p>
    <w:p>
      <w:pPr>
        <w:spacing w:before="120" w:after="60"/>
      </w:pPr>
      <w:r>
        <w:rPr>
          <w:rFonts w:ascii="DejaVu Sans" w:hAnsi="DejaVu Sans"/>
          <w:b/>
          <w:color w:val="062B55"/>
          <w:sz w:val="26"/>
        </w:rPr>
        <w:t>What this role can do</w:t>
      </w:r>
    </w:p>
    <w:p>
      <w:pPr>
        <w:pStyle w:val="ListBullet"/>
        <w:spacing w:after="40" w:line="245" w:lineRule="auto"/>
        <w:ind w:left="317" w:hanging="173"/>
      </w:pPr>
      <w:r>
        <w:rPr>
          <w:rFonts w:ascii="DejaVu Sans" w:hAnsi="DejaVu Sans"/>
          <w:color w:val="132238"/>
          <w:sz w:val="18"/>
        </w:rPr>
        <w:t>Review assigned or branch overdue loans and schedules.</w:t>
      </w:r>
    </w:p>
    <w:p>
      <w:pPr>
        <w:pStyle w:val="ListBullet"/>
        <w:spacing w:after="40" w:line="245" w:lineRule="auto"/>
        <w:ind w:left="317" w:hanging="173"/>
      </w:pPr>
      <w:r>
        <w:rPr>
          <w:rFonts w:ascii="DejaVu Sans" w:hAnsi="DejaVu Sans"/>
          <w:color w:val="132238"/>
          <w:sz w:val="18"/>
        </w:rPr>
        <w:t>Inspect payment history before contacting borrowers.</w:t>
      </w:r>
    </w:p>
    <w:p>
      <w:pPr>
        <w:pStyle w:val="ListBullet"/>
        <w:spacing w:after="40" w:line="245" w:lineRule="auto"/>
        <w:ind w:left="317" w:hanging="173"/>
      </w:pPr>
      <w:r>
        <w:rPr>
          <w:rFonts w:ascii="DejaVu Sans" w:hAnsi="DejaVu Sans"/>
          <w:color w:val="132238"/>
          <w:sz w:val="18"/>
        </w:rPr>
        <w:t>Record follow-up, promises, disputes and escalation.</w:t>
      </w:r>
    </w:p>
    <w:p>
      <w:pPr>
        <w:spacing w:before="120" w:after="60"/>
      </w:pPr>
      <w:r>
        <w:rPr>
          <w:rFonts w:ascii="DejaVu Sans" w:hAnsi="DejaVu Sans"/>
          <w:b/>
          <w:color w:val="062B55"/>
          <w:sz w:val="26"/>
        </w:rPr>
        <w:t>Recommended daily routine</w:t>
      </w:r>
    </w:p>
    <w:p>
      <w:pPr>
        <w:pStyle w:val="ListNumber"/>
        <w:spacing w:after="40" w:line="245" w:lineRule="auto"/>
        <w:ind w:left="317" w:hanging="173"/>
      </w:pPr>
      <w:r>
        <w:rPr>
          <w:rFonts w:ascii="DejaVu Sans" w:hAnsi="DejaVu Sans"/>
          <w:color w:val="132238"/>
          <w:sz w:val="18"/>
        </w:rPr>
        <w:t>Prioritise overdue queue by age, amount and risk policy.</w:t>
      </w:r>
    </w:p>
    <w:p>
      <w:pPr>
        <w:pStyle w:val="ListNumber"/>
        <w:spacing w:after="40" w:line="245" w:lineRule="auto"/>
        <w:ind w:left="317" w:hanging="173"/>
      </w:pPr>
      <w:r>
        <w:rPr>
          <w:rFonts w:ascii="DejaVu Sans" w:hAnsi="DejaVu Sans"/>
          <w:color w:val="132238"/>
          <w:sz w:val="18"/>
        </w:rPr>
        <w:t>Confirm no completed payment is awaiting reconciliation.</w:t>
      </w:r>
    </w:p>
    <w:p>
      <w:pPr>
        <w:pStyle w:val="ListNumber"/>
        <w:spacing w:after="40" w:line="245" w:lineRule="auto"/>
        <w:ind w:left="317" w:hanging="173"/>
      </w:pPr>
      <w:r>
        <w:rPr>
          <w:rFonts w:ascii="DejaVu Sans" w:hAnsi="DejaVu Sans"/>
          <w:color w:val="132238"/>
          <w:sz w:val="18"/>
        </w:rPr>
        <w:t>Contact borrower through approved channel.</w:t>
      </w:r>
    </w:p>
    <w:p>
      <w:pPr>
        <w:pStyle w:val="ListNumber"/>
        <w:spacing w:after="40" w:line="245" w:lineRule="auto"/>
        <w:ind w:left="317" w:hanging="173"/>
      </w:pPr>
      <w:r>
        <w:rPr>
          <w:rFonts w:ascii="DejaVu Sans" w:hAnsi="DejaVu Sans"/>
          <w:color w:val="132238"/>
          <w:sz w:val="18"/>
        </w:rPr>
        <w:t>Update outcome and next action.</w:t>
      </w:r>
    </w:p>
    <w:p>
      <w:pPr>
        <w:spacing w:before="120" w:after="60"/>
      </w:pPr>
      <w:r>
        <w:rPr>
          <w:rFonts w:ascii="DejaVu Sans" w:hAnsi="DejaVu Sans"/>
          <w:b/>
          <w:color w:val="062B55"/>
          <w:sz w:val="26"/>
        </w:rPr>
        <w:t>Control boundaries</w:t>
      </w:r>
    </w:p>
    <w:p>
      <w:pPr>
        <w:pStyle w:val="ListBullet"/>
        <w:spacing w:after="40" w:line="245" w:lineRule="auto"/>
        <w:ind w:left="317" w:hanging="173"/>
      </w:pPr>
      <w:r>
        <w:rPr>
          <w:rFonts w:ascii="DejaVu Sans" w:hAnsi="DejaVu Sans"/>
          <w:color w:val="132238"/>
          <w:sz w:val="18"/>
        </w:rPr>
        <w:t>Follow respectful-contact and consumer-protection policy.</w:t>
      </w:r>
    </w:p>
    <w:p>
      <w:pPr>
        <w:pStyle w:val="ListBullet"/>
        <w:spacing w:after="40" w:line="245" w:lineRule="auto"/>
        <w:ind w:left="317" w:hanging="173"/>
      </w:pPr>
      <w:r>
        <w:rPr>
          <w:rFonts w:ascii="DejaVu Sans" w:hAnsi="DejaVu Sans"/>
          <w:color w:val="132238"/>
          <w:sz w:val="18"/>
        </w:rPr>
        <w:t>Do not expose debt in group chat.</w:t>
      </w:r>
    </w:p>
    <w:p>
      <w:pPr>
        <w:pStyle w:val="ListBullet"/>
        <w:spacing w:after="40" w:line="245" w:lineRule="auto"/>
        <w:ind w:left="317" w:hanging="173"/>
      </w:pPr>
      <w:r>
        <w:rPr>
          <w:rFonts w:ascii="DejaVu Sans" w:hAnsi="DejaVu Sans"/>
          <w:color w:val="132238"/>
          <w:sz w:val="18"/>
        </w:rPr>
        <w:t>Do not delete failed or reversed payment evidence.</w:t>
      </w:r>
    </w:p>
    <w:p>
      <w:pPr>
        <w:spacing w:before="120" w:after="60"/>
      </w:pPr>
      <w:r>
        <w:rPr>
          <w:rFonts w:ascii="DejaVu Sans" w:hAnsi="DejaVu Sans"/>
          <w:b/>
          <w:color w:val="062B55"/>
          <w:sz w:val="26"/>
        </w:rPr>
        <w:t>Main workspaces</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3240"/>
            <w:vAlign w:val="center"/>
            <w:shd w:fill="062B55"/>
          </w:tcPr>
          <w:p>
            <w:pPr>
              <w:spacing w:after="0"/>
            </w:pPr>
            <w:r/>
            <w:r>
              <w:rPr>
                <w:rFonts w:ascii="DejaVu Sans" w:hAnsi="DejaVu Sans"/>
                <w:b/>
                <w:color w:val="FFFFFF"/>
                <w:sz w:val="16"/>
              </w:rPr>
              <w:t>Workspace</w:t>
            </w:r>
          </w:p>
        </w:tc>
        <w:tc>
          <w:tcPr>
            <w:tcW w:type="dxa" w:w="6264"/>
            <w:vAlign w:val="center"/>
            <w:shd w:fill="062B55"/>
          </w:tcPr>
          <w:p>
            <w:pPr>
              <w:spacing w:after="0"/>
            </w:pPr>
            <w:r/>
            <w:r>
              <w:rPr>
                <w:rFonts w:ascii="DejaVu Sans" w:hAnsi="DejaVu Sans"/>
                <w:b/>
                <w:color w:val="FFFFFF"/>
                <w:sz w:val="16"/>
              </w:rPr>
              <w:t>Purpose</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/company/loans</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Balances and schedules</w:t>
            </w:r>
          </w:p>
        </w:tc>
      </w:tr>
      <w:tr>
        <w:tc>
          <w:tcPr>
            <w:tcW w:type="dxa" w:w="324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/company/payments</w:t>
            </w:r>
          </w:p>
        </w:tc>
        <w:tc>
          <w:tcPr>
            <w:tcW w:type="dxa" w:w="626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Payment evidence</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/company/chat</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Private follow-up</w:t>
            </w:r>
          </w:p>
        </w:tc>
      </w:tr>
    </w:tbl>
    <w:p>
      <w:pPr>
        <w:spacing w:after="0"/>
      </w:pPr>
    </w:p>
    <w:p>
      <w:r>
        <w:br w:type="page"/>
      </w:r>
    </w:p>
    <w:p>
      <w:pPr>
        <w:spacing w:after="40"/>
      </w:pPr>
      <w:r>
        <w:rPr>
          <w:rFonts w:ascii="DejaVu Sans" w:hAnsi="DejaVu Sans"/>
          <w:b/>
          <w:color w:val="062B55"/>
          <w:sz w:val="44"/>
        </w:rPr>
        <w:t>17. Compliance officer</w:t>
      </w:r>
    </w:p>
    <w:p>
      <w:pPr>
        <w:spacing w:after="200"/>
      </w:pPr>
      <w:r>
        <w:rPr>
          <w:rFonts w:ascii="DejaVu Sans" w:hAnsi="DejaVu Sans"/>
          <w:i/>
          <w:color w:val="5B6573"/>
          <w:sz w:val="21"/>
        </w:rPr>
        <w:t>Monitor consent, access, regulatory controls and remediation.</w:t>
      </w:r>
    </w:p>
    <w:p>
      <w:pPr>
        <w:spacing w:after="200"/>
      </w:pPr>
      <w:r>
        <w:rPr>
          <w:color w:val="007E8A"/>
          <w:sz w:val="10"/>
        </w:rPr>
        <w:t>━━━━━━━━━━━━━━━━━━━━━━━━━━━━━━━━━━━━━━━━━━━━━━━━━━━━━━━━━━━━━━━━━━━━━━</w:t>
      </w:r>
    </w:p>
    <w:p>
      <w:pPr>
        <w:spacing w:before="120" w:after="60"/>
      </w:pPr>
      <w:r>
        <w:rPr>
          <w:rFonts w:ascii="DejaVu Sans" w:hAnsi="DejaVu Sans"/>
          <w:b/>
          <w:color w:val="062B55"/>
          <w:sz w:val="26"/>
        </w:rPr>
        <w:t>What this role can do</w:t>
      </w:r>
    </w:p>
    <w:p>
      <w:pPr>
        <w:pStyle w:val="ListBullet"/>
        <w:spacing w:after="40" w:line="245" w:lineRule="auto"/>
        <w:ind w:left="317" w:hanging="173"/>
      </w:pPr>
      <w:r>
        <w:rPr>
          <w:rFonts w:ascii="DejaVu Sans" w:hAnsi="DejaVu Sans"/>
          <w:color w:val="132238"/>
          <w:sz w:val="18"/>
        </w:rPr>
        <w:t>Review audit activity, role changes, company records and high-risk notifications.</w:t>
      </w:r>
    </w:p>
    <w:p>
      <w:pPr>
        <w:pStyle w:val="ListBullet"/>
        <w:spacing w:after="40" w:line="245" w:lineRule="auto"/>
        <w:ind w:left="317" w:hanging="173"/>
      </w:pPr>
      <w:r>
        <w:rPr>
          <w:rFonts w:ascii="DejaVu Sans" w:hAnsi="DejaVu Sans"/>
          <w:color w:val="132238"/>
          <w:sz w:val="18"/>
        </w:rPr>
        <w:t>Collect controlled evidence from reports and files.</w:t>
      </w:r>
    </w:p>
    <w:p>
      <w:pPr>
        <w:pStyle w:val="ListBullet"/>
        <w:spacing w:after="40" w:line="245" w:lineRule="auto"/>
        <w:ind w:left="317" w:hanging="173"/>
      </w:pPr>
      <w:r>
        <w:rPr>
          <w:rFonts w:ascii="DejaVu Sans" w:hAnsi="DejaVu Sans"/>
          <w:color w:val="132238"/>
          <w:sz w:val="18"/>
        </w:rPr>
        <w:t>Document and monitor remediation.</w:t>
      </w:r>
    </w:p>
    <w:p>
      <w:pPr>
        <w:spacing w:before="120" w:after="60"/>
      </w:pPr>
      <w:r>
        <w:rPr>
          <w:rFonts w:ascii="DejaVu Sans" w:hAnsi="DejaVu Sans"/>
          <w:b/>
          <w:color w:val="062B55"/>
          <w:sz w:val="26"/>
        </w:rPr>
        <w:t>Recommended daily routine</w:t>
      </w:r>
    </w:p>
    <w:p>
      <w:pPr>
        <w:pStyle w:val="ListNumber"/>
        <w:spacing w:after="40" w:line="245" w:lineRule="auto"/>
        <w:ind w:left="317" w:hanging="173"/>
      </w:pPr>
      <w:r>
        <w:rPr>
          <w:rFonts w:ascii="DejaVu Sans" w:hAnsi="DejaVu Sans"/>
          <w:color w:val="132238"/>
          <w:sz w:val="18"/>
        </w:rPr>
        <w:t>Review high-risk events and changes.</w:t>
      </w:r>
    </w:p>
    <w:p>
      <w:pPr>
        <w:pStyle w:val="ListNumber"/>
        <w:spacing w:after="40" w:line="245" w:lineRule="auto"/>
        <w:ind w:left="317" w:hanging="173"/>
      </w:pPr>
      <w:r>
        <w:rPr>
          <w:rFonts w:ascii="DejaVu Sans" w:hAnsi="DejaVu Sans"/>
          <w:color w:val="132238"/>
          <w:sz w:val="18"/>
        </w:rPr>
        <w:t>Filter audit by actor, entity, action, company and branch.</w:t>
      </w:r>
    </w:p>
    <w:p>
      <w:pPr>
        <w:pStyle w:val="ListNumber"/>
        <w:spacing w:after="40" w:line="245" w:lineRule="auto"/>
        <w:ind w:left="317" w:hanging="173"/>
      </w:pPr>
      <w:r>
        <w:rPr>
          <w:rFonts w:ascii="DejaVu Sans" w:hAnsi="DejaVu Sans"/>
          <w:color w:val="132238"/>
          <w:sz w:val="18"/>
        </w:rPr>
        <w:t>Attach evidence with confidential visibility.</w:t>
      </w:r>
    </w:p>
    <w:p>
      <w:pPr>
        <w:pStyle w:val="ListNumber"/>
        <w:spacing w:after="40" w:line="245" w:lineRule="auto"/>
        <w:ind w:left="317" w:hanging="173"/>
      </w:pPr>
      <w:r>
        <w:rPr>
          <w:rFonts w:ascii="DejaVu Sans" w:hAnsi="DejaVu Sans"/>
          <w:color w:val="132238"/>
          <w:sz w:val="18"/>
        </w:rPr>
        <w:t>Escalate and track remediation owners.</w:t>
      </w:r>
    </w:p>
    <w:p>
      <w:pPr>
        <w:spacing w:before="120" w:after="60"/>
      </w:pPr>
      <w:r>
        <w:rPr>
          <w:rFonts w:ascii="DejaVu Sans" w:hAnsi="DejaVu Sans"/>
          <w:b/>
          <w:color w:val="062B55"/>
          <w:sz w:val="26"/>
        </w:rPr>
        <w:t>Control boundaries</w:t>
      </w:r>
    </w:p>
    <w:p>
      <w:pPr>
        <w:pStyle w:val="ListBullet"/>
        <w:spacing w:after="40" w:line="245" w:lineRule="auto"/>
        <w:ind w:left="317" w:hanging="173"/>
      </w:pPr>
      <w:r>
        <w:rPr>
          <w:rFonts w:ascii="DejaVu Sans" w:hAnsi="DejaVu Sans"/>
          <w:color w:val="132238"/>
          <w:sz w:val="18"/>
        </w:rPr>
        <w:t>Do not alter evidence under review.</w:t>
      </w:r>
    </w:p>
    <w:p>
      <w:pPr>
        <w:pStyle w:val="ListBullet"/>
        <w:spacing w:after="40" w:line="245" w:lineRule="auto"/>
        <w:ind w:left="317" w:hanging="173"/>
      </w:pPr>
      <w:r>
        <w:rPr>
          <w:rFonts w:ascii="DejaVu Sans" w:hAnsi="DejaVu Sans"/>
          <w:color w:val="132238"/>
          <w:sz w:val="18"/>
        </w:rPr>
        <w:t>Limit audit exports and personal information.</w:t>
      </w:r>
    </w:p>
    <w:p>
      <w:pPr>
        <w:pStyle w:val="ListBullet"/>
        <w:spacing w:after="40" w:line="245" w:lineRule="auto"/>
        <w:ind w:left="317" w:hanging="173"/>
      </w:pPr>
      <w:r>
        <w:rPr>
          <w:rFonts w:ascii="DejaVu Sans" w:hAnsi="DejaVu Sans"/>
          <w:color w:val="132238"/>
          <w:sz w:val="18"/>
        </w:rPr>
        <w:t>Apply legal retention and privacy advice.</w:t>
      </w:r>
    </w:p>
    <w:p>
      <w:pPr>
        <w:spacing w:before="120" w:after="60"/>
      </w:pPr>
      <w:r>
        <w:rPr>
          <w:rFonts w:ascii="DejaVu Sans" w:hAnsi="DejaVu Sans"/>
          <w:b/>
          <w:color w:val="062B55"/>
          <w:sz w:val="26"/>
        </w:rPr>
        <w:t>Main workspaces</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3240"/>
            <w:vAlign w:val="center"/>
            <w:shd w:fill="062B55"/>
          </w:tcPr>
          <w:p>
            <w:pPr>
              <w:spacing w:after="0"/>
            </w:pPr>
            <w:r/>
            <w:r>
              <w:rPr>
                <w:rFonts w:ascii="DejaVu Sans" w:hAnsi="DejaVu Sans"/>
                <w:b/>
                <w:color w:val="FFFFFF"/>
                <w:sz w:val="16"/>
              </w:rPr>
              <w:t>Workspace</w:t>
            </w:r>
          </w:p>
        </w:tc>
        <w:tc>
          <w:tcPr>
            <w:tcW w:type="dxa" w:w="6264"/>
            <w:vAlign w:val="center"/>
            <w:shd w:fill="062B55"/>
          </w:tcPr>
          <w:p>
            <w:pPr>
              <w:spacing w:after="0"/>
            </w:pPr>
            <w:r/>
            <w:r>
              <w:rPr>
                <w:rFonts w:ascii="DejaVu Sans" w:hAnsi="DejaVu Sans"/>
                <w:b/>
                <w:color w:val="FFFFFF"/>
                <w:sz w:val="16"/>
              </w:rPr>
              <w:t>Purpose</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/company/activity</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Audit transparency</w:t>
            </w:r>
          </w:p>
        </w:tc>
      </w:tr>
      <w:tr>
        <w:tc>
          <w:tcPr>
            <w:tcW w:type="dxa" w:w="324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/company/files</w:t>
            </w:r>
          </w:p>
        </w:tc>
        <w:tc>
          <w:tcPr>
            <w:tcW w:type="dxa" w:w="626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Controlled evidence</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/company/reports</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Compliance reports</w:t>
            </w:r>
          </w:p>
        </w:tc>
      </w:tr>
    </w:tbl>
    <w:p>
      <w:pPr>
        <w:spacing w:after="0"/>
      </w:pPr>
    </w:p>
    <w:p>
      <w:r>
        <w:br w:type="page"/>
      </w:r>
    </w:p>
    <w:p>
      <w:pPr>
        <w:spacing w:after="40"/>
      </w:pPr>
      <w:r>
        <w:rPr>
          <w:rFonts w:ascii="DejaVu Sans" w:hAnsi="DejaVu Sans"/>
          <w:b/>
          <w:color w:val="062B55"/>
          <w:sz w:val="44"/>
        </w:rPr>
        <w:t>18. Auditor</w:t>
      </w:r>
    </w:p>
    <w:p>
      <w:pPr>
        <w:spacing w:after="200"/>
      </w:pPr>
      <w:r>
        <w:rPr>
          <w:rFonts w:ascii="DejaVu Sans" w:hAnsi="DejaVu Sans"/>
          <w:i/>
          <w:color w:val="5B6573"/>
          <w:sz w:val="21"/>
        </w:rPr>
        <w:t>Independently review operational, financial and access evidence.</w:t>
      </w:r>
    </w:p>
    <w:p>
      <w:pPr>
        <w:spacing w:after="200"/>
      </w:pPr>
      <w:r>
        <w:rPr>
          <w:color w:val="007E8A"/>
          <w:sz w:val="10"/>
        </w:rPr>
        <w:t>━━━━━━━━━━━━━━━━━━━━━━━━━━━━━━━━━━━━━━━━━━━━━━━━━━━━━━━━━━━━━━━━━━━━━━</w:t>
      </w:r>
    </w:p>
    <w:p>
      <w:pPr>
        <w:spacing w:before="120" w:after="60"/>
      </w:pPr>
      <w:r>
        <w:rPr>
          <w:rFonts w:ascii="DejaVu Sans" w:hAnsi="DejaVu Sans"/>
          <w:b/>
          <w:color w:val="062B55"/>
          <w:sz w:val="26"/>
        </w:rPr>
        <w:t>What this role can do</w:t>
      </w:r>
    </w:p>
    <w:p>
      <w:pPr>
        <w:pStyle w:val="ListBullet"/>
        <w:spacing w:after="40" w:line="245" w:lineRule="auto"/>
        <w:ind w:left="317" w:hanging="173"/>
      </w:pPr>
      <w:r>
        <w:rPr>
          <w:rFonts w:ascii="DejaVu Sans" w:hAnsi="DejaVu Sans"/>
          <w:color w:val="132238"/>
          <w:sz w:val="18"/>
        </w:rPr>
        <w:t>Use read-oriented activity, accounting, reports and performance.</w:t>
      </w:r>
    </w:p>
    <w:p>
      <w:pPr>
        <w:pStyle w:val="ListBullet"/>
        <w:spacing w:after="40" w:line="245" w:lineRule="auto"/>
        <w:ind w:left="317" w:hanging="173"/>
      </w:pPr>
      <w:r>
        <w:rPr>
          <w:rFonts w:ascii="DejaVu Sans" w:hAnsi="DejaVu Sans"/>
          <w:color w:val="132238"/>
          <w:sz w:val="18"/>
        </w:rPr>
        <w:t>Extract evidence with friendly references.</w:t>
      </w:r>
    </w:p>
    <w:p>
      <w:pPr>
        <w:pStyle w:val="ListBullet"/>
        <w:spacing w:after="40" w:line="245" w:lineRule="auto"/>
        <w:ind w:left="317" w:hanging="173"/>
      </w:pPr>
      <w:r>
        <w:rPr>
          <w:rFonts w:ascii="DejaVu Sans" w:hAnsi="DejaVu Sans"/>
          <w:color w:val="132238"/>
          <w:sz w:val="18"/>
        </w:rPr>
        <w:t>Record findings according to approved methodology.</w:t>
      </w:r>
    </w:p>
    <w:p>
      <w:pPr>
        <w:spacing w:before="120" w:after="60"/>
      </w:pPr>
      <w:r>
        <w:rPr>
          <w:rFonts w:ascii="DejaVu Sans" w:hAnsi="DejaVu Sans"/>
          <w:b/>
          <w:color w:val="062B55"/>
          <w:sz w:val="26"/>
        </w:rPr>
        <w:t>Recommended daily routine</w:t>
      </w:r>
    </w:p>
    <w:p>
      <w:pPr>
        <w:pStyle w:val="ListNumber"/>
        <w:spacing w:after="40" w:line="245" w:lineRule="auto"/>
        <w:ind w:left="317" w:hanging="173"/>
      </w:pPr>
      <w:r>
        <w:rPr>
          <w:rFonts w:ascii="DejaVu Sans" w:hAnsi="DejaVu Sans"/>
          <w:color w:val="132238"/>
          <w:sz w:val="18"/>
        </w:rPr>
        <w:t>Define period, branch/company and process scope.</w:t>
      </w:r>
    </w:p>
    <w:p>
      <w:pPr>
        <w:pStyle w:val="ListNumber"/>
        <w:spacing w:after="40" w:line="245" w:lineRule="auto"/>
        <w:ind w:left="317" w:hanging="173"/>
      </w:pPr>
      <w:r>
        <w:rPr>
          <w:rFonts w:ascii="DejaVu Sans" w:hAnsi="DejaVu Sans"/>
          <w:color w:val="132238"/>
          <w:sz w:val="18"/>
        </w:rPr>
        <w:t>Compare approvals, source events, payments and postings.</w:t>
      </w:r>
    </w:p>
    <w:p>
      <w:pPr>
        <w:pStyle w:val="ListNumber"/>
        <w:spacing w:after="40" w:line="245" w:lineRule="auto"/>
        <w:ind w:left="317" w:hanging="173"/>
      </w:pPr>
      <w:r>
        <w:rPr>
          <w:rFonts w:ascii="DejaVu Sans" w:hAnsi="DejaVu Sans"/>
          <w:color w:val="132238"/>
          <w:sz w:val="18"/>
        </w:rPr>
        <w:t>Test samples and record findings.</w:t>
      </w:r>
    </w:p>
    <w:p>
      <w:pPr>
        <w:pStyle w:val="ListNumber"/>
        <w:spacing w:after="40" w:line="245" w:lineRule="auto"/>
        <w:ind w:left="317" w:hanging="173"/>
      </w:pPr>
      <w:r>
        <w:rPr>
          <w:rFonts w:ascii="DejaVu Sans" w:hAnsi="DejaVu Sans"/>
          <w:color w:val="132238"/>
          <w:sz w:val="18"/>
        </w:rPr>
        <w:t>Follow up management response.</w:t>
      </w:r>
    </w:p>
    <w:p>
      <w:pPr>
        <w:spacing w:before="120" w:after="60"/>
      </w:pPr>
      <w:r>
        <w:rPr>
          <w:rFonts w:ascii="DejaVu Sans" w:hAnsi="DejaVu Sans"/>
          <w:b/>
          <w:color w:val="062B55"/>
          <w:sz w:val="26"/>
        </w:rPr>
        <w:t>Control boundaries</w:t>
      </w:r>
    </w:p>
    <w:p>
      <w:pPr>
        <w:pStyle w:val="ListBullet"/>
        <w:spacing w:after="40" w:line="245" w:lineRule="auto"/>
        <w:ind w:left="317" w:hanging="173"/>
      </w:pPr>
      <w:r>
        <w:rPr>
          <w:rFonts w:ascii="DejaVu Sans" w:hAnsi="DejaVu Sans"/>
          <w:color w:val="132238"/>
          <w:sz w:val="18"/>
        </w:rPr>
        <w:t>Maintain independence and avoid operational posting.</w:t>
      </w:r>
    </w:p>
    <w:p>
      <w:pPr>
        <w:pStyle w:val="ListBullet"/>
        <w:spacing w:after="40" w:line="245" w:lineRule="auto"/>
        <w:ind w:left="317" w:hanging="173"/>
      </w:pPr>
      <w:r>
        <w:rPr>
          <w:rFonts w:ascii="DejaVu Sans" w:hAnsi="DejaVu Sans"/>
          <w:color w:val="132238"/>
          <w:sz w:val="18"/>
        </w:rPr>
        <w:t>Raw UUIDs are diagnostics, not primary evidence labels.</w:t>
      </w:r>
    </w:p>
    <w:p>
      <w:pPr>
        <w:pStyle w:val="ListBullet"/>
        <w:spacing w:after="40" w:line="245" w:lineRule="auto"/>
        <w:ind w:left="317" w:hanging="173"/>
      </w:pPr>
      <w:r>
        <w:rPr>
          <w:rFonts w:ascii="DejaVu Sans" w:hAnsi="DejaVu Sans"/>
          <w:color w:val="132238"/>
          <w:sz w:val="18"/>
        </w:rPr>
        <w:t>Protect exported evidence.</w:t>
      </w:r>
    </w:p>
    <w:p>
      <w:pPr>
        <w:spacing w:before="120" w:after="60"/>
      </w:pPr>
      <w:r>
        <w:rPr>
          <w:rFonts w:ascii="DejaVu Sans" w:hAnsi="DejaVu Sans"/>
          <w:b/>
          <w:color w:val="062B55"/>
          <w:sz w:val="26"/>
        </w:rPr>
        <w:t>Main workspaces</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3240"/>
            <w:vAlign w:val="center"/>
            <w:shd w:fill="062B55"/>
          </w:tcPr>
          <w:p>
            <w:pPr>
              <w:spacing w:after="0"/>
            </w:pPr>
            <w:r/>
            <w:r>
              <w:rPr>
                <w:rFonts w:ascii="DejaVu Sans" w:hAnsi="DejaVu Sans"/>
                <w:b/>
                <w:color w:val="FFFFFF"/>
                <w:sz w:val="16"/>
              </w:rPr>
              <w:t>Workspace</w:t>
            </w:r>
          </w:p>
        </w:tc>
        <w:tc>
          <w:tcPr>
            <w:tcW w:type="dxa" w:w="6264"/>
            <w:vAlign w:val="center"/>
            <w:shd w:fill="062B55"/>
          </w:tcPr>
          <w:p>
            <w:pPr>
              <w:spacing w:after="0"/>
            </w:pPr>
            <w:r/>
            <w:r>
              <w:rPr>
                <w:rFonts w:ascii="DejaVu Sans" w:hAnsi="DejaVu Sans"/>
                <w:b/>
                <w:color w:val="FFFFFF"/>
                <w:sz w:val="16"/>
              </w:rPr>
              <w:t>Purpose</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/company/activity</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Source events</w:t>
            </w:r>
          </w:p>
        </w:tc>
      </w:tr>
      <w:tr>
        <w:tc>
          <w:tcPr>
            <w:tcW w:type="dxa" w:w="324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/company/accounting</w:t>
            </w:r>
          </w:p>
        </w:tc>
        <w:tc>
          <w:tcPr>
            <w:tcW w:type="dxa" w:w="626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Financial evidence</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/company/reports</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Period reports</w:t>
            </w:r>
          </w:p>
        </w:tc>
      </w:tr>
    </w:tbl>
    <w:p>
      <w:pPr>
        <w:spacing w:after="0"/>
      </w:pPr>
    </w:p>
    <w:p>
      <w:r>
        <w:br w:type="page"/>
      </w:r>
    </w:p>
    <w:p>
      <w:pPr>
        <w:spacing w:after="40"/>
      </w:pPr>
      <w:r>
        <w:rPr>
          <w:rFonts w:ascii="DejaVu Sans" w:hAnsi="DejaVu Sans"/>
          <w:b/>
          <w:color w:val="062B55"/>
          <w:sz w:val="44"/>
        </w:rPr>
        <w:t>19. Customer support</w:t>
      </w:r>
    </w:p>
    <w:p>
      <w:pPr>
        <w:spacing w:after="200"/>
      </w:pPr>
      <w:r>
        <w:rPr>
          <w:rFonts w:ascii="DejaVu Sans" w:hAnsi="DejaVu Sans"/>
          <w:i/>
          <w:color w:val="5B6573"/>
          <w:sz w:val="21"/>
        </w:rPr>
        <w:t>Resolve account, navigation and workflow questions without exceeding permission.</w:t>
      </w:r>
    </w:p>
    <w:p>
      <w:pPr>
        <w:spacing w:after="200"/>
      </w:pPr>
      <w:r>
        <w:rPr>
          <w:color w:val="007E8A"/>
          <w:sz w:val="10"/>
        </w:rPr>
        <w:t>━━━━━━━━━━━━━━━━━━━━━━━━━━━━━━━━━━━━━━━━━━━━━━━━━━━━━━━━━━━━━━━━━━━━━━</w:t>
      </w:r>
    </w:p>
    <w:p>
      <w:pPr>
        <w:spacing w:before="120" w:after="60"/>
      </w:pPr>
      <w:r>
        <w:rPr>
          <w:rFonts w:ascii="DejaVu Sans" w:hAnsi="DejaVu Sans"/>
          <w:b/>
          <w:color w:val="062B55"/>
          <w:sz w:val="26"/>
        </w:rPr>
        <w:t>What this role can do</w:t>
      </w:r>
    </w:p>
    <w:p>
      <w:pPr>
        <w:pStyle w:val="ListBullet"/>
        <w:spacing w:after="40" w:line="245" w:lineRule="auto"/>
        <w:ind w:left="317" w:hanging="173"/>
      </w:pPr>
      <w:r>
        <w:rPr>
          <w:rFonts w:ascii="DejaVu Sans" w:hAnsi="DejaVu Sans"/>
          <w:color w:val="132238"/>
          <w:sz w:val="18"/>
        </w:rPr>
        <w:t>Use role-filtered chat, notifications and safe record context.</w:t>
      </w:r>
    </w:p>
    <w:p>
      <w:pPr>
        <w:pStyle w:val="ListBullet"/>
        <w:spacing w:after="40" w:line="245" w:lineRule="auto"/>
        <w:ind w:left="317" w:hanging="173"/>
      </w:pPr>
      <w:r>
        <w:rPr>
          <w:rFonts w:ascii="DejaVu Sans" w:hAnsi="DejaVu Sans"/>
          <w:color w:val="132238"/>
          <w:sz w:val="18"/>
        </w:rPr>
        <w:t>Guide users to correct pages and statuses.</w:t>
      </w:r>
    </w:p>
    <w:p>
      <w:pPr>
        <w:pStyle w:val="ListBullet"/>
        <w:spacing w:after="40" w:line="245" w:lineRule="auto"/>
        <w:ind w:left="317" w:hanging="173"/>
      </w:pPr>
      <w:r>
        <w:rPr>
          <w:rFonts w:ascii="DejaVu Sans" w:hAnsi="DejaVu Sans"/>
          <w:color w:val="132238"/>
          <w:sz w:val="18"/>
        </w:rPr>
        <w:t>Escalate finance, compliance, lending or technical cases.</w:t>
      </w:r>
    </w:p>
    <w:p>
      <w:pPr>
        <w:spacing w:before="120" w:after="60"/>
      </w:pPr>
      <w:r>
        <w:rPr>
          <w:rFonts w:ascii="DejaVu Sans" w:hAnsi="DejaVu Sans"/>
          <w:b/>
          <w:color w:val="062B55"/>
          <w:sz w:val="26"/>
        </w:rPr>
        <w:t>Recommended daily routine</w:t>
      </w:r>
    </w:p>
    <w:p>
      <w:pPr>
        <w:pStyle w:val="ListNumber"/>
        <w:spacing w:after="40" w:line="245" w:lineRule="auto"/>
        <w:ind w:left="317" w:hanging="173"/>
      </w:pPr>
      <w:r>
        <w:rPr>
          <w:rFonts w:ascii="DejaVu Sans" w:hAnsi="DejaVu Sans"/>
          <w:color w:val="132238"/>
          <w:sz w:val="18"/>
        </w:rPr>
        <w:t>Review unread conversations.</w:t>
      </w:r>
    </w:p>
    <w:p>
      <w:pPr>
        <w:pStyle w:val="ListNumber"/>
        <w:spacing w:after="40" w:line="245" w:lineRule="auto"/>
        <w:ind w:left="317" w:hanging="173"/>
      </w:pPr>
      <w:r>
        <w:rPr>
          <w:rFonts w:ascii="DejaVu Sans" w:hAnsi="DejaVu Sans"/>
          <w:color w:val="132238"/>
          <w:sz w:val="18"/>
        </w:rPr>
        <w:t>Verify the user through approved questions.</w:t>
      </w:r>
    </w:p>
    <w:p>
      <w:pPr>
        <w:pStyle w:val="ListNumber"/>
        <w:spacing w:after="40" w:line="245" w:lineRule="auto"/>
        <w:ind w:left="317" w:hanging="173"/>
      </w:pPr>
      <w:r>
        <w:rPr>
          <w:rFonts w:ascii="DejaVu Sans" w:hAnsi="DejaVu Sans"/>
          <w:color w:val="132238"/>
          <w:sz w:val="18"/>
        </w:rPr>
        <w:t>Ask for a friendly reference and request ID.</w:t>
      </w:r>
    </w:p>
    <w:p>
      <w:pPr>
        <w:pStyle w:val="ListNumber"/>
        <w:spacing w:after="40" w:line="245" w:lineRule="auto"/>
        <w:ind w:left="317" w:hanging="173"/>
      </w:pPr>
      <w:r>
        <w:rPr>
          <w:rFonts w:ascii="DejaVu Sans" w:hAnsi="DejaVu Sans"/>
          <w:color w:val="132238"/>
          <w:sz w:val="18"/>
        </w:rPr>
        <w:t>Give safe guidance or escalate.</w:t>
      </w:r>
    </w:p>
    <w:p>
      <w:pPr>
        <w:spacing w:before="120" w:after="60"/>
      </w:pPr>
      <w:r>
        <w:rPr>
          <w:rFonts w:ascii="DejaVu Sans" w:hAnsi="DejaVu Sans"/>
          <w:b/>
          <w:color w:val="062B55"/>
          <w:sz w:val="26"/>
        </w:rPr>
        <w:t>Control boundaries</w:t>
      </w:r>
    </w:p>
    <w:p>
      <w:pPr>
        <w:pStyle w:val="ListBullet"/>
        <w:spacing w:after="40" w:line="245" w:lineRule="auto"/>
        <w:ind w:left="317" w:hanging="173"/>
      </w:pPr>
      <w:r>
        <w:rPr>
          <w:rFonts w:ascii="DejaVu Sans" w:hAnsi="DejaVu Sans"/>
          <w:color w:val="132238"/>
          <w:sz w:val="18"/>
        </w:rPr>
        <w:t>Never ask for a password, PIN, private key or full token.</w:t>
      </w:r>
    </w:p>
    <w:p>
      <w:pPr>
        <w:pStyle w:val="ListBullet"/>
        <w:spacing w:after="40" w:line="245" w:lineRule="auto"/>
        <w:ind w:left="317" w:hanging="173"/>
      </w:pPr>
      <w:r>
        <w:rPr>
          <w:rFonts w:ascii="DejaVu Sans" w:hAnsi="DejaVu Sans"/>
          <w:color w:val="132238"/>
          <w:sz w:val="18"/>
        </w:rPr>
        <w:t>Do not reveal data to an unauthorised person.</w:t>
      </w:r>
    </w:p>
    <w:p>
      <w:pPr>
        <w:pStyle w:val="ListBullet"/>
        <w:spacing w:after="40" w:line="245" w:lineRule="auto"/>
        <w:ind w:left="317" w:hanging="173"/>
      </w:pPr>
      <w:r>
        <w:rPr>
          <w:rFonts w:ascii="DejaVu Sans" w:hAnsi="DejaVu Sans"/>
          <w:color w:val="132238"/>
          <w:sz w:val="18"/>
        </w:rPr>
        <w:t>Use direct chat for personal cases.</w:t>
      </w:r>
    </w:p>
    <w:p>
      <w:pPr>
        <w:spacing w:before="120" w:after="60"/>
      </w:pPr>
      <w:r>
        <w:rPr>
          <w:rFonts w:ascii="DejaVu Sans" w:hAnsi="DejaVu Sans"/>
          <w:b/>
          <w:color w:val="062B55"/>
          <w:sz w:val="26"/>
        </w:rPr>
        <w:t>Main workspaces</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3240"/>
            <w:vAlign w:val="center"/>
            <w:shd w:fill="062B55"/>
          </w:tcPr>
          <w:p>
            <w:pPr>
              <w:spacing w:after="0"/>
            </w:pPr>
            <w:r/>
            <w:r>
              <w:rPr>
                <w:rFonts w:ascii="DejaVu Sans" w:hAnsi="DejaVu Sans"/>
                <w:b/>
                <w:color w:val="FFFFFF"/>
                <w:sz w:val="16"/>
              </w:rPr>
              <w:t>Workspace</w:t>
            </w:r>
          </w:p>
        </w:tc>
        <w:tc>
          <w:tcPr>
            <w:tcW w:type="dxa" w:w="6264"/>
            <w:vAlign w:val="center"/>
            <w:shd w:fill="062B55"/>
          </w:tcPr>
          <w:p>
            <w:pPr>
              <w:spacing w:after="0"/>
            </w:pPr>
            <w:r/>
            <w:r>
              <w:rPr>
                <w:rFonts w:ascii="DejaVu Sans" w:hAnsi="DejaVu Sans"/>
                <w:b/>
                <w:color w:val="FFFFFF"/>
                <w:sz w:val="16"/>
              </w:rPr>
              <w:t>Purpose</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/company/chat</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Support conversations</w:t>
            </w:r>
          </w:p>
        </w:tc>
      </w:tr>
      <w:tr>
        <w:tc>
          <w:tcPr>
            <w:tcW w:type="dxa" w:w="324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/company/notifications</w:t>
            </w:r>
          </w:p>
        </w:tc>
        <w:tc>
          <w:tcPr>
            <w:tcW w:type="dxa" w:w="626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Action alerts</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/company/files</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Safe exchange</w:t>
            </w:r>
          </w:p>
        </w:tc>
      </w:tr>
    </w:tbl>
    <w:p>
      <w:pPr>
        <w:spacing w:after="0"/>
      </w:pPr>
    </w:p>
    <w:p>
      <w:r>
        <w:br w:type="page"/>
      </w:r>
    </w:p>
    <w:p>
      <w:pPr>
        <w:spacing w:after="40"/>
      </w:pPr>
      <w:r>
        <w:rPr>
          <w:rFonts w:ascii="DejaVu Sans" w:hAnsi="DejaVu Sans"/>
          <w:b/>
          <w:color w:val="062B55"/>
          <w:sz w:val="44"/>
        </w:rPr>
        <w:t>20. HR manager</w:t>
      </w:r>
    </w:p>
    <w:p>
      <w:pPr>
        <w:spacing w:after="200"/>
      </w:pPr>
      <w:r>
        <w:rPr>
          <w:rFonts w:ascii="DejaVu Sans" w:hAnsi="DejaVu Sans"/>
          <w:i/>
          <w:color w:val="5B6573"/>
          <w:sz w:val="21"/>
        </w:rPr>
        <w:t>Maintain protected workforce records and employment lifecycle.</w:t>
      </w:r>
    </w:p>
    <w:p>
      <w:pPr>
        <w:spacing w:after="200"/>
      </w:pPr>
      <w:r>
        <w:rPr>
          <w:color w:val="007E8A"/>
          <w:sz w:val="10"/>
        </w:rPr>
        <w:t>━━━━━━━━━━━━━━━━━━━━━━━━━━━━━━━━━━━━━━━━━━━━━━━━━━━━━━━━━━━━━━━━━━━━━━</w:t>
      </w:r>
    </w:p>
    <w:p>
      <w:pPr>
        <w:spacing w:before="120" w:after="60"/>
      </w:pPr>
      <w:r>
        <w:rPr>
          <w:rFonts w:ascii="DejaVu Sans" w:hAnsi="DejaVu Sans"/>
          <w:b/>
          <w:color w:val="062B55"/>
          <w:sz w:val="26"/>
        </w:rPr>
        <w:t>What this role can do</w:t>
      </w:r>
    </w:p>
    <w:p>
      <w:pPr>
        <w:pStyle w:val="ListBullet"/>
        <w:spacing w:after="40" w:line="245" w:lineRule="auto"/>
        <w:ind w:left="317" w:hanging="173"/>
      </w:pPr>
      <w:r>
        <w:rPr>
          <w:rFonts w:ascii="DejaVu Sans" w:hAnsi="DejaVu Sans"/>
          <w:color w:val="132238"/>
          <w:sz w:val="18"/>
        </w:rPr>
        <w:t>Create and update employee profiles, titles, departments, managers and dates.</w:t>
      </w:r>
    </w:p>
    <w:p>
      <w:pPr>
        <w:pStyle w:val="ListBullet"/>
        <w:spacing w:after="40" w:line="245" w:lineRule="auto"/>
        <w:ind w:left="317" w:hanging="173"/>
      </w:pPr>
      <w:r>
        <w:rPr>
          <w:rFonts w:ascii="DejaVu Sans" w:hAnsi="DejaVu Sans"/>
          <w:color w:val="132238"/>
          <w:sz w:val="18"/>
        </w:rPr>
        <w:t>Coordinate goals and reviews.</w:t>
      </w:r>
    </w:p>
    <w:p>
      <w:pPr>
        <w:pStyle w:val="ListBullet"/>
        <w:spacing w:after="40" w:line="245" w:lineRule="auto"/>
        <w:ind w:left="317" w:hanging="173"/>
      </w:pPr>
      <w:r>
        <w:rPr>
          <w:rFonts w:ascii="DejaVu Sans" w:hAnsi="DejaVu Sans"/>
          <w:color w:val="132238"/>
          <w:sz w:val="18"/>
        </w:rPr>
        <w:t>Manage confidential HR files and authorised salary fields.</w:t>
      </w:r>
    </w:p>
    <w:p>
      <w:pPr>
        <w:spacing w:before="120" w:after="60"/>
      </w:pPr>
      <w:r>
        <w:rPr>
          <w:rFonts w:ascii="DejaVu Sans" w:hAnsi="DejaVu Sans"/>
          <w:b/>
          <w:color w:val="062B55"/>
          <w:sz w:val="26"/>
        </w:rPr>
        <w:t>Recommended daily routine</w:t>
      </w:r>
    </w:p>
    <w:p>
      <w:pPr>
        <w:pStyle w:val="ListNumber"/>
        <w:spacing w:after="40" w:line="245" w:lineRule="auto"/>
        <w:ind w:left="317" w:hanging="173"/>
      </w:pPr>
      <w:r>
        <w:rPr>
          <w:rFonts w:ascii="DejaVu Sans" w:hAnsi="DejaVu Sans"/>
          <w:color w:val="132238"/>
          <w:sz w:val="18"/>
        </w:rPr>
        <w:t>Review hires, probation, transfers and terminations.</w:t>
      </w:r>
    </w:p>
    <w:p>
      <w:pPr>
        <w:pStyle w:val="ListNumber"/>
        <w:spacing w:after="40" w:line="245" w:lineRule="auto"/>
        <w:ind w:left="317" w:hanging="173"/>
      </w:pPr>
      <w:r>
        <w:rPr>
          <w:rFonts w:ascii="DejaVu Sans" w:hAnsi="DejaVu Sans"/>
          <w:color w:val="132238"/>
          <w:sz w:val="18"/>
        </w:rPr>
        <w:t>Keep reporting lines and employee numbers accurate.</w:t>
      </w:r>
    </w:p>
    <w:p>
      <w:pPr>
        <w:pStyle w:val="ListNumber"/>
        <w:spacing w:after="40" w:line="245" w:lineRule="auto"/>
        <w:ind w:left="317" w:hanging="173"/>
      </w:pPr>
      <w:r>
        <w:rPr>
          <w:rFonts w:ascii="DejaVu Sans" w:hAnsi="DejaVu Sans"/>
          <w:color w:val="132238"/>
          <w:sz w:val="18"/>
        </w:rPr>
        <w:t>Coordinate access deactivation with employment changes.</w:t>
      </w:r>
    </w:p>
    <w:p>
      <w:pPr>
        <w:pStyle w:val="ListNumber"/>
        <w:spacing w:after="40" w:line="245" w:lineRule="auto"/>
        <w:ind w:left="317" w:hanging="173"/>
      </w:pPr>
      <w:r>
        <w:rPr>
          <w:rFonts w:ascii="DejaVu Sans" w:hAnsi="DejaVu Sans"/>
          <w:color w:val="132238"/>
          <w:sz w:val="18"/>
        </w:rPr>
        <w:t>Review overdue goals and reviews.</w:t>
      </w:r>
    </w:p>
    <w:p>
      <w:pPr>
        <w:spacing w:before="120" w:after="60"/>
      </w:pPr>
      <w:r>
        <w:rPr>
          <w:rFonts w:ascii="DejaVu Sans" w:hAnsi="DejaVu Sans"/>
          <w:b/>
          <w:color w:val="062B55"/>
          <w:sz w:val="26"/>
        </w:rPr>
        <w:t>Control boundaries</w:t>
      </w:r>
    </w:p>
    <w:p>
      <w:pPr>
        <w:pStyle w:val="ListBullet"/>
        <w:spacing w:after="40" w:line="245" w:lineRule="auto"/>
        <w:ind w:left="317" w:hanging="173"/>
      </w:pPr>
      <w:r>
        <w:rPr>
          <w:rFonts w:ascii="DejaVu Sans" w:hAnsi="DejaVu Sans"/>
          <w:color w:val="132238"/>
          <w:sz w:val="18"/>
        </w:rPr>
        <w:t>Do not place salary, medical or disciplinary data in ordinary group chat.</w:t>
      </w:r>
    </w:p>
    <w:p>
      <w:pPr>
        <w:pStyle w:val="ListBullet"/>
        <w:spacing w:after="40" w:line="245" w:lineRule="auto"/>
        <w:ind w:left="317" w:hanging="173"/>
      </w:pPr>
      <w:r>
        <w:rPr>
          <w:rFonts w:ascii="DejaVu Sans" w:hAnsi="DejaVu Sans"/>
          <w:color w:val="132238"/>
          <w:sz w:val="18"/>
        </w:rPr>
        <w:t>Use confidential visibility for protected HR files.</w:t>
      </w:r>
    </w:p>
    <w:p>
      <w:pPr>
        <w:pStyle w:val="ListBullet"/>
        <w:spacing w:after="40" w:line="245" w:lineRule="auto"/>
        <w:ind w:left="317" w:hanging="173"/>
      </w:pPr>
      <w:r>
        <w:rPr>
          <w:rFonts w:ascii="DejaVu Sans" w:hAnsi="DejaVu Sans"/>
          <w:color w:val="132238"/>
          <w:sz w:val="18"/>
        </w:rPr>
        <w:t>Employment status and system access are related but distinct.</w:t>
      </w:r>
    </w:p>
    <w:p>
      <w:pPr>
        <w:spacing w:before="120" w:after="60"/>
      </w:pPr>
      <w:r>
        <w:rPr>
          <w:rFonts w:ascii="DejaVu Sans" w:hAnsi="DejaVu Sans"/>
          <w:b/>
          <w:color w:val="062B55"/>
          <w:sz w:val="26"/>
        </w:rPr>
        <w:t>Main workspaces</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3240"/>
            <w:vAlign w:val="center"/>
            <w:shd w:fill="062B55"/>
          </w:tcPr>
          <w:p>
            <w:pPr>
              <w:spacing w:after="0"/>
            </w:pPr>
            <w:r/>
            <w:r>
              <w:rPr>
                <w:rFonts w:ascii="DejaVu Sans" w:hAnsi="DejaVu Sans"/>
                <w:b/>
                <w:color w:val="FFFFFF"/>
                <w:sz w:val="16"/>
              </w:rPr>
              <w:t>Workspace</w:t>
            </w:r>
          </w:p>
        </w:tc>
        <w:tc>
          <w:tcPr>
            <w:tcW w:type="dxa" w:w="6264"/>
            <w:vAlign w:val="center"/>
            <w:shd w:fill="062B55"/>
          </w:tcPr>
          <w:p>
            <w:pPr>
              <w:spacing w:after="0"/>
            </w:pPr>
            <w:r/>
            <w:r>
              <w:rPr>
                <w:rFonts w:ascii="DejaVu Sans" w:hAnsi="DejaVu Sans"/>
                <w:b/>
                <w:color w:val="FFFFFF"/>
                <w:sz w:val="16"/>
              </w:rPr>
              <w:t>Purpose</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/company/employees</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Employee records</w:t>
            </w:r>
          </w:p>
        </w:tc>
      </w:tr>
      <w:tr>
        <w:tc>
          <w:tcPr>
            <w:tcW w:type="dxa" w:w="324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/company/performance</w:t>
            </w:r>
          </w:p>
        </w:tc>
        <w:tc>
          <w:tcPr>
            <w:tcW w:type="dxa" w:w="626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Goals and reviews</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/company/files</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HR documents</w:t>
            </w:r>
          </w:p>
        </w:tc>
      </w:tr>
    </w:tbl>
    <w:p>
      <w:pPr>
        <w:spacing w:after="0"/>
      </w:pPr>
    </w:p>
    <w:p>
      <w:r>
        <w:br w:type="page"/>
      </w:r>
    </w:p>
    <w:p>
      <w:pPr>
        <w:spacing w:after="40"/>
      </w:pPr>
      <w:r>
        <w:rPr>
          <w:rFonts w:ascii="DejaVu Sans" w:hAnsi="DejaVu Sans"/>
          <w:b/>
          <w:color w:val="062B55"/>
          <w:sz w:val="44"/>
        </w:rPr>
        <w:t>21. Performance manager</w:t>
      </w:r>
    </w:p>
    <w:p>
      <w:pPr>
        <w:spacing w:after="200"/>
      </w:pPr>
      <w:r>
        <w:rPr>
          <w:rFonts w:ascii="DejaVu Sans" w:hAnsi="DejaVu Sans"/>
          <w:i/>
          <w:color w:val="5B6573"/>
          <w:sz w:val="21"/>
        </w:rPr>
        <w:t>Set measurable goals and maintain fair, evidence-based reviews.</w:t>
      </w:r>
    </w:p>
    <w:p>
      <w:pPr>
        <w:spacing w:after="200"/>
      </w:pPr>
      <w:r>
        <w:rPr>
          <w:color w:val="007E8A"/>
          <w:sz w:val="10"/>
        </w:rPr>
        <w:t>━━━━━━━━━━━━━━━━━━━━━━━━━━━━━━━━━━━━━━━━━━━━━━━━━━━━━━━━━━━━━━━━━━━━━━</w:t>
      </w:r>
    </w:p>
    <w:p>
      <w:pPr>
        <w:spacing w:before="120" w:after="60"/>
      </w:pPr>
      <w:r>
        <w:rPr>
          <w:rFonts w:ascii="DejaVu Sans" w:hAnsi="DejaVu Sans"/>
          <w:b/>
          <w:color w:val="062B55"/>
          <w:sz w:val="26"/>
        </w:rPr>
        <w:t>What this role can do</w:t>
      </w:r>
    </w:p>
    <w:p>
      <w:pPr>
        <w:pStyle w:val="ListBullet"/>
        <w:spacing w:after="40" w:line="245" w:lineRule="auto"/>
        <w:ind w:left="317" w:hanging="173"/>
      </w:pPr>
      <w:r>
        <w:rPr>
          <w:rFonts w:ascii="DejaVu Sans" w:hAnsi="DejaVu Sans"/>
          <w:color w:val="132238"/>
          <w:sz w:val="18"/>
        </w:rPr>
        <w:t>Create goals, update progress and perform formal reviews.</w:t>
      </w:r>
    </w:p>
    <w:p>
      <w:pPr>
        <w:pStyle w:val="ListBullet"/>
        <w:spacing w:after="40" w:line="245" w:lineRule="auto"/>
        <w:ind w:left="317" w:hanging="173"/>
      </w:pPr>
      <w:r>
        <w:rPr>
          <w:rFonts w:ascii="DejaVu Sans" w:hAnsi="DejaVu Sans"/>
          <w:color w:val="132238"/>
          <w:sz w:val="18"/>
        </w:rPr>
        <w:t>Compare individual, branch and company trends.</w:t>
      </w:r>
    </w:p>
    <w:p>
      <w:pPr>
        <w:pStyle w:val="ListBullet"/>
        <w:spacing w:after="40" w:line="245" w:lineRule="auto"/>
        <w:ind w:left="317" w:hanging="173"/>
      </w:pPr>
      <w:r>
        <w:rPr>
          <w:rFonts w:ascii="DejaVu Sans" w:hAnsi="DejaVu Sans"/>
          <w:color w:val="132238"/>
          <w:sz w:val="18"/>
        </w:rPr>
        <w:t>Use reports and audit evidence to validate metrics.</w:t>
      </w:r>
    </w:p>
    <w:p>
      <w:pPr>
        <w:spacing w:before="120" w:after="60"/>
      </w:pPr>
      <w:r>
        <w:rPr>
          <w:rFonts w:ascii="DejaVu Sans" w:hAnsi="DejaVu Sans"/>
          <w:b/>
          <w:color w:val="062B55"/>
          <w:sz w:val="26"/>
        </w:rPr>
        <w:t>Recommended daily routine</w:t>
      </w:r>
    </w:p>
    <w:p>
      <w:pPr>
        <w:pStyle w:val="ListNumber"/>
        <w:spacing w:after="40" w:line="245" w:lineRule="auto"/>
        <w:ind w:left="317" w:hanging="173"/>
      </w:pPr>
      <w:r>
        <w:rPr>
          <w:rFonts w:ascii="DejaVu Sans" w:hAnsi="DejaVu Sans"/>
          <w:color w:val="132238"/>
          <w:sz w:val="18"/>
        </w:rPr>
        <w:t>Review goals due or overdue.</w:t>
      </w:r>
    </w:p>
    <w:p>
      <w:pPr>
        <w:pStyle w:val="ListNumber"/>
        <w:spacing w:after="40" w:line="245" w:lineRule="auto"/>
        <w:ind w:left="317" w:hanging="173"/>
      </w:pPr>
      <w:r>
        <w:rPr>
          <w:rFonts w:ascii="DejaVu Sans" w:hAnsi="DejaVu Sans"/>
          <w:color w:val="132238"/>
          <w:sz w:val="18"/>
        </w:rPr>
        <w:t>Check data quality and workload context.</w:t>
      </w:r>
    </w:p>
    <w:p>
      <w:pPr>
        <w:pStyle w:val="ListNumber"/>
        <w:spacing w:after="40" w:line="245" w:lineRule="auto"/>
        <w:ind w:left="317" w:hanging="173"/>
      </w:pPr>
      <w:r>
        <w:rPr>
          <w:rFonts w:ascii="DejaVu Sans" w:hAnsi="DejaVu Sans"/>
          <w:color w:val="132238"/>
          <w:sz w:val="18"/>
        </w:rPr>
        <w:t>Prepare and complete evidence-based reviews.</w:t>
      </w:r>
    </w:p>
    <w:p>
      <w:pPr>
        <w:pStyle w:val="ListNumber"/>
        <w:spacing w:after="40" w:line="245" w:lineRule="auto"/>
        <w:ind w:left="317" w:hanging="173"/>
      </w:pPr>
      <w:r>
        <w:rPr>
          <w:rFonts w:ascii="DejaVu Sans" w:hAnsi="DejaVu Sans"/>
          <w:color w:val="132238"/>
          <w:sz w:val="18"/>
        </w:rPr>
        <w:t>Discuss results with employee and manager.</w:t>
      </w:r>
    </w:p>
    <w:p>
      <w:pPr>
        <w:spacing w:before="120" w:after="60"/>
      </w:pPr>
      <w:r>
        <w:rPr>
          <w:rFonts w:ascii="DejaVu Sans" w:hAnsi="DejaVu Sans"/>
          <w:b/>
          <w:color w:val="062B55"/>
          <w:sz w:val="26"/>
        </w:rPr>
        <w:t>Control boundaries</w:t>
      </w:r>
    </w:p>
    <w:p>
      <w:pPr>
        <w:pStyle w:val="ListBullet"/>
        <w:spacing w:after="40" w:line="245" w:lineRule="auto"/>
        <w:ind w:left="317" w:hanging="173"/>
      </w:pPr>
      <w:r>
        <w:rPr>
          <w:rFonts w:ascii="DejaVu Sans" w:hAnsi="DejaVu Sans"/>
          <w:color w:val="132238"/>
          <w:sz w:val="18"/>
        </w:rPr>
        <w:t>Do not use raw activity volume as the only measure.</w:t>
      </w:r>
    </w:p>
    <w:p>
      <w:pPr>
        <w:pStyle w:val="ListBullet"/>
        <w:spacing w:after="40" w:line="245" w:lineRule="auto"/>
        <w:ind w:left="317" w:hanging="173"/>
      </w:pPr>
      <w:r>
        <w:rPr>
          <w:rFonts w:ascii="DejaVu Sans" w:hAnsi="DejaVu Sans"/>
          <w:color w:val="132238"/>
          <w:sz w:val="18"/>
        </w:rPr>
        <w:t>Investigate missing data before penalising an employee.</w:t>
      </w:r>
    </w:p>
    <w:p>
      <w:pPr>
        <w:pStyle w:val="ListBullet"/>
        <w:spacing w:after="40" w:line="245" w:lineRule="auto"/>
        <w:ind w:left="317" w:hanging="173"/>
      </w:pPr>
      <w:r>
        <w:rPr>
          <w:rFonts w:ascii="DejaVu Sans" w:hAnsi="DejaVu Sans"/>
          <w:color w:val="132238"/>
          <w:sz w:val="18"/>
        </w:rPr>
        <w:t>Account for portfolio and branch differences.</w:t>
      </w:r>
    </w:p>
    <w:p>
      <w:pPr>
        <w:spacing w:before="120" w:after="60"/>
      </w:pPr>
      <w:r>
        <w:rPr>
          <w:rFonts w:ascii="DejaVu Sans" w:hAnsi="DejaVu Sans"/>
          <w:b/>
          <w:color w:val="062B55"/>
          <w:sz w:val="26"/>
        </w:rPr>
        <w:t>Main workspaces</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3240"/>
            <w:vAlign w:val="center"/>
            <w:shd w:fill="062B55"/>
          </w:tcPr>
          <w:p>
            <w:pPr>
              <w:spacing w:after="0"/>
            </w:pPr>
            <w:r/>
            <w:r>
              <w:rPr>
                <w:rFonts w:ascii="DejaVu Sans" w:hAnsi="DejaVu Sans"/>
                <w:b/>
                <w:color w:val="FFFFFF"/>
                <w:sz w:val="16"/>
              </w:rPr>
              <w:t>Workspace</w:t>
            </w:r>
          </w:p>
        </w:tc>
        <w:tc>
          <w:tcPr>
            <w:tcW w:type="dxa" w:w="6264"/>
            <w:vAlign w:val="center"/>
            <w:shd w:fill="062B55"/>
          </w:tcPr>
          <w:p>
            <w:pPr>
              <w:spacing w:after="0"/>
            </w:pPr>
            <w:r/>
            <w:r>
              <w:rPr>
                <w:rFonts w:ascii="DejaVu Sans" w:hAnsi="DejaVu Sans"/>
                <w:b/>
                <w:color w:val="FFFFFF"/>
                <w:sz w:val="16"/>
              </w:rPr>
              <w:t>Purpose</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/company/performance</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Performance dashboard</w:t>
            </w:r>
          </w:p>
        </w:tc>
      </w:tr>
      <w:tr>
        <w:tc>
          <w:tcPr>
            <w:tcW w:type="dxa" w:w="324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/company/employees</w:t>
            </w:r>
          </w:p>
        </w:tc>
        <w:tc>
          <w:tcPr>
            <w:tcW w:type="dxa" w:w="626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Employee context</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/company/reports</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Period evidence</w:t>
            </w:r>
          </w:p>
        </w:tc>
      </w:tr>
    </w:tbl>
    <w:p>
      <w:pPr>
        <w:spacing w:after="0"/>
      </w:pPr>
    </w:p>
    <w:p>
      <w:r>
        <w:br w:type="page"/>
      </w:r>
    </w:p>
    <w:p>
      <w:pPr>
        <w:spacing w:after="40"/>
      </w:pPr>
      <w:r>
        <w:rPr>
          <w:rFonts w:ascii="DejaVu Sans" w:hAnsi="DejaVu Sans"/>
          <w:b/>
          <w:color w:val="062B55"/>
          <w:sz w:val="44"/>
        </w:rPr>
        <w:t>22. Risk manager</w:t>
      </w:r>
    </w:p>
    <w:p>
      <w:pPr>
        <w:spacing w:after="200"/>
      </w:pPr>
      <w:r>
        <w:rPr>
          <w:rFonts w:ascii="DejaVu Sans" w:hAnsi="DejaVu Sans"/>
          <w:i/>
          <w:color w:val="5B6573"/>
          <w:sz w:val="21"/>
        </w:rPr>
        <w:t>Identify credit, operational, payment and fraud risk.</w:t>
      </w:r>
    </w:p>
    <w:p>
      <w:pPr>
        <w:spacing w:after="200"/>
      </w:pPr>
      <w:r>
        <w:rPr>
          <w:color w:val="007E8A"/>
          <w:sz w:val="10"/>
        </w:rPr>
        <w:t>━━━━━━━━━━━━━━━━━━━━━━━━━━━━━━━━━━━━━━━━━━━━━━━━━━━━━━━━━━━━━━━━━━━━━━</w:t>
      </w:r>
    </w:p>
    <w:p>
      <w:pPr>
        <w:spacing w:before="120" w:after="60"/>
      </w:pPr>
      <w:r>
        <w:rPr>
          <w:rFonts w:ascii="DejaVu Sans" w:hAnsi="DejaVu Sans"/>
          <w:b/>
          <w:color w:val="062B55"/>
          <w:sz w:val="26"/>
        </w:rPr>
        <w:t>What this role can do</w:t>
      </w:r>
    </w:p>
    <w:p>
      <w:pPr>
        <w:pStyle w:val="ListBullet"/>
        <w:spacing w:after="40" w:line="245" w:lineRule="auto"/>
        <w:ind w:left="317" w:hanging="173"/>
      </w:pPr>
      <w:r>
        <w:rPr>
          <w:rFonts w:ascii="DejaVu Sans" w:hAnsi="DejaVu Sans"/>
          <w:color w:val="132238"/>
          <w:sz w:val="18"/>
        </w:rPr>
        <w:t>Review overdue rates, failed payments, concentrations and unusual activity.</w:t>
      </w:r>
    </w:p>
    <w:p>
      <w:pPr>
        <w:pStyle w:val="ListBullet"/>
        <w:spacing w:after="40" w:line="245" w:lineRule="auto"/>
        <w:ind w:left="317" w:hanging="173"/>
      </w:pPr>
      <w:r>
        <w:rPr>
          <w:rFonts w:ascii="DejaVu Sans" w:hAnsi="DejaVu Sans"/>
          <w:color w:val="132238"/>
          <w:sz w:val="18"/>
        </w:rPr>
        <w:t>Use audit events, reports and files to investigate.</w:t>
      </w:r>
    </w:p>
    <w:p>
      <w:pPr>
        <w:pStyle w:val="ListBullet"/>
        <w:spacing w:after="40" w:line="245" w:lineRule="auto"/>
        <w:ind w:left="317" w:hanging="173"/>
      </w:pPr>
      <w:r>
        <w:rPr>
          <w:rFonts w:ascii="DejaVu Sans" w:hAnsi="DejaVu Sans"/>
          <w:color w:val="132238"/>
          <w:sz w:val="18"/>
        </w:rPr>
        <w:t>Recommend and monitor controls.</w:t>
      </w:r>
    </w:p>
    <w:p>
      <w:pPr>
        <w:spacing w:before="120" w:after="60"/>
      </w:pPr>
      <w:r>
        <w:rPr>
          <w:rFonts w:ascii="DejaVu Sans" w:hAnsi="DejaVu Sans"/>
          <w:b/>
          <w:color w:val="062B55"/>
          <w:sz w:val="26"/>
        </w:rPr>
        <w:t>Recommended daily routine</w:t>
      </w:r>
    </w:p>
    <w:p>
      <w:pPr>
        <w:pStyle w:val="ListNumber"/>
        <w:spacing w:after="40" w:line="245" w:lineRule="auto"/>
        <w:ind w:left="317" w:hanging="173"/>
      </w:pPr>
      <w:r>
        <w:rPr>
          <w:rFonts w:ascii="DejaVu Sans" w:hAnsi="DejaVu Sans"/>
          <w:color w:val="132238"/>
          <w:sz w:val="18"/>
        </w:rPr>
        <w:t>Review high-risk notifications and trends.</w:t>
      </w:r>
    </w:p>
    <w:p>
      <w:pPr>
        <w:pStyle w:val="ListNumber"/>
        <w:spacing w:after="40" w:line="245" w:lineRule="auto"/>
        <w:ind w:left="317" w:hanging="173"/>
      </w:pPr>
      <w:r>
        <w:rPr>
          <w:rFonts w:ascii="DejaVu Sans" w:hAnsi="DejaVu Sans"/>
          <w:color w:val="132238"/>
          <w:sz w:val="18"/>
        </w:rPr>
        <w:t>Investigate unusual transactions or access changes.</w:t>
      </w:r>
    </w:p>
    <w:p>
      <w:pPr>
        <w:pStyle w:val="ListNumber"/>
        <w:spacing w:after="40" w:line="245" w:lineRule="auto"/>
        <w:ind w:left="317" w:hanging="173"/>
      </w:pPr>
      <w:r>
        <w:rPr>
          <w:rFonts w:ascii="DejaVu Sans" w:hAnsi="DejaVu Sans"/>
          <w:color w:val="132238"/>
          <w:sz w:val="18"/>
        </w:rPr>
        <w:t>Assign mitigation owner and due date.</w:t>
      </w:r>
    </w:p>
    <w:p>
      <w:pPr>
        <w:pStyle w:val="ListNumber"/>
        <w:spacing w:after="40" w:line="245" w:lineRule="auto"/>
        <w:ind w:left="317" w:hanging="173"/>
      </w:pPr>
      <w:r>
        <w:rPr>
          <w:rFonts w:ascii="DejaVu Sans" w:hAnsi="DejaVu Sans"/>
          <w:color w:val="132238"/>
          <w:sz w:val="18"/>
        </w:rPr>
        <w:t>Verify outcome in the next reporting period.</w:t>
      </w:r>
    </w:p>
    <w:p>
      <w:pPr>
        <w:spacing w:before="120" w:after="60"/>
      </w:pPr>
      <w:r>
        <w:rPr>
          <w:rFonts w:ascii="DejaVu Sans" w:hAnsi="DejaVu Sans"/>
          <w:b/>
          <w:color w:val="062B55"/>
          <w:sz w:val="26"/>
        </w:rPr>
        <w:t>Control boundaries</w:t>
      </w:r>
    </w:p>
    <w:p>
      <w:pPr>
        <w:pStyle w:val="ListBullet"/>
        <w:spacing w:after="40" w:line="245" w:lineRule="auto"/>
        <w:ind w:left="317" w:hanging="173"/>
      </w:pPr>
      <w:r>
        <w:rPr>
          <w:rFonts w:ascii="DejaVu Sans" w:hAnsi="DejaVu Sans"/>
          <w:color w:val="132238"/>
          <w:sz w:val="18"/>
        </w:rPr>
        <w:t>Separate facts from inferred risk.</w:t>
      </w:r>
    </w:p>
    <w:p>
      <w:pPr>
        <w:pStyle w:val="ListBullet"/>
        <w:spacing w:after="40" w:line="245" w:lineRule="auto"/>
        <w:ind w:left="317" w:hanging="173"/>
      </w:pPr>
      <w:r>
        <w:rPr>
          <w:rFonts w:ascii="DejaVu Sans" w:hAnsi="DejaVu Sans"/>
          <w:color w:val="132238"/>
          <w:sz w:val="18"/>
        </w:rPr>
        <w:t>Do not export unnecessary personal data.</w:t>
      </w:r>
    </w:p>
    <w:p>
      <w:pPr>
        <w:pStyle w:val="ListBullet"/>
        <w:spacing w:after="40" w:line="245" w:lineRule="auto"/>
        <w:ind w:left="317" w:hanging="173"/>
      </w:pPr>
      <w:r>
        <w:rPr>
          <w:rFonts w:ascii="DejaVu Sans" w:hAnsi="DejaVu Sans"/>
          <w:color w:val="132238"/>
          <w:sz w:val="18"/>
        </w:rPr>
        <w:t>Escalate suspected fraud immediately.</w:t>
      </w:r>
    </w:p>
    <w:p>
      <w:pPr>
        <w:spacing w:before="120" w:after="60"/>
      </w:pPr>
      <w:r>
        <w:rPr>
          <w:rFonts w:ascii="DejaVu Sans" w:hAnsi="DejaVu Sans"/>
          <w:b/>
          <w:color w:val="062B55"/>
          <w:sz w:val="26"/>
        </w:rPr>
        <w:t>Main workspaces</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3240"/>
            <w:vAlign w:val="center"/>
            <w:shd w:fill="062B55"/>
          </w:tcPr>
          <w:p>
            <w:pPr>
              <w:spacing w:after="0"/>
            </w:pPr>
            <w:r/>
            <w:r>
              <w:rPr>
                <w:rFonts w:ascii="DejaVu Sans" w:hAnsi="DejaVu Sans"/>
                <w:b/>
                <w:color w:val="FFFFFF"/>
                <w:sz w:val="16"/>
              </w:rPr>
              <w:t>Workspace</w:t>
            </w:r>
          </w:p>
        </w:tc>
        <w:tc>
          <w:tcPr>
            <w:tcW w:type="dxa" w:w="6264"/>
            <w:vAlign w:val="center"/>
            <w:shd w:fill="062B55"/>
          </w:tcPr>
          <w:p>
            <w:pPr>
              <w:spacing w:after="0"/>
            </w:pPr>
            <w:r/>
            <w:r>
              <w:rPr>
                <w:rFonts w:ascii="DejaVu Sans" w:hAnsi="DejaVu Sans"/>
                <w:b/>
                <w:color w:val="FFFFFF"/>
                <w:sz w:val="16"/>
              </w:rPr>
              <w:t>Purpose</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/company/reports</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Risk indicators</w:t>
            </w:r>
          </w:p>
        </w:tc>
      </w:tr>
      <w:tr>
        <w:tc>
          <w:tcPr>
            <w:tcW w:type="dxa" w:w="324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/company/activity</w:t>
            </w:r>
          </w:p>
        </w:tc>
        <w:tc>
          <w:tcPr>
            <w:tcW w:type="dxa" w:w="626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Event evidence</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/company/performance</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Operational trends</w:t>
            </w:r>
          </w:p>
        </w:tc>
      </w:tr>
    </w:tbl>
    <w:p>
      <w:pPr>
        <w:spacing w:after="0"/>
      </w:pPr>
    </w:p>
    <w:p>
      <w:r>
        <w:br w:type="page"/>
      </w:r>
    </w:p>
    <w:p>
      <w:pPr>
        <w:spacing w:after="40"/>
      </w:pPr>
      <w:r>
        <w:rPr>
          <w:rFonts w:ascii="DejaVu Sans" w:hAnsi="DejaVu Sans"/>
          <w:b/>
          <w:color w:val="062B55"/>
          <w:sz w:val="44"/>
        </w:rPr>
        <w:t>23. IT support</w:t>
      </w:r>
    </w:p>
    <w:p>
      <w:pPr>
        <w:spacing w:after="200"/>
      </w:pPr>
      <w:r>
        <w:rPr>
          <w:rFonts w:ascii="DejaVu Sans" w:hAnsi="DejaVu Sans"/>
          <w:i/>
          <w:color w:val="5B6573"/>
          <w:sz w:val="21"/>
        </w:rPr>
        <w:t>Diagnose incidents and assist users without bypassing business controls.</w:t>
      </w:r>
    </w:p>
    <w:p>
      <w:pPr>
        <w:spacing w:after="200"/>
      </w:pPr>
      <w:r>
        <w:rPr>
          <w:color w:val="007E8A"/>
          <w:sz w:val="10"/>
        </w:rPr>
        <w:t>━━━━━━━━━━━━━━━━━━━━━━━━━━━━━━━━━━━━━━━━━━━━━━━━━━━━━━━━━━━━━━━━━━━━━━</w:t>
      </w:r>
    </w:p>
    <w:p>
      <w:pPr>
        <w:spacing w:before="120" w:after="60"/>
      </w:pPr>
      <w:r>
        <w:rPr>
          <w:rFonts w:ascii="DejaVu Sans" w:hAnsi="DejaVu Sans"/>
          <w:b/>
          <w:color w:val="062B55"/>
          <w:sz w:val="26"/>
        </w:rPr>
        <w:t>What this role can do</w:t>
      </w:r>
    </w:p>
    <w:p>
      <w:pPr>
        <w:pStyle w:val="ListBullet"/>
        <w:spacing w:after="40" w:line="245" w:lineRule="auto"/>
        <w:ind w:left="317" w:hanging="173"/>
      </w:pPr>
      <w:r>
        <w:rPr>
          <w:rFonts w:ascii="DejaVu Sans" w:hAnsi="DejaVu Sans"/>
          <w:color w:val="132238"/>
          <w:sz w:val="18"/>
        </w:rPr>
        <w:t>Receive platform-owner-assigned technical context.</w:t>
      </w:r>
    </w:p>
    <w:p>
      <w:pPr>
        <w:pStyle w:val="ListBullet"/>
        <w:spacing w:after="40" w:line="245" w:lineRule="auto"/>
        <w:ind w:left="317" w:hanging="173"/>
      </w:pPr>
      <w:r>
        <w:rPr>
          <w:rFonts w:ascii="DejaVu Sans" w:hAnsi="DejaVu Sans"/>
          <w:color w:val="132238"/>
          <w:sz w:val="18"/>
        </w:rPr>
        <w:t>Use request IDs, fingerprints and safe logs.</w:t>
      </w:r>
    </w:p>
    <w:p>
      <w:pPr>
        <w:pStyle w:val="ListBullet"/>
        <w:spacing w:after="40" w:line="245" w:lineRule="auto"/>
        <w:ind w:left="317" w:hanging="173"/>
      </w:pPr>
      <w:r>
        <w:rPr>
          <w:rFonts w:ascii="DejaVu Sans" w:hAnsi="DejaVu Sans"/>
          <w:color w:val="132238"/>
          <w:sz w:val="18"/>
        </w:rPr>
        <w:t>Test fixes in staging and document resolution.</w:t>
      </w:r>
    </w:p>
    <w:p>
      <w:pPr>
        <w:spacing w:before="120" w:after="60"/>
      </w:pPr>
      <w:r>
        <w:rPr>
          <w:rFonts w:ascii="DejaVu Sans" w:hAnsi="DejaVu Sans"/>
          <w:b/>
          <w:color w:val="062B55"/>
          <w:sz w:val="26"/>
        </w:rPr>
        <w:t>Recommended daily routine</w:t>
      </w:r>
    </w:p>
    <w:p>
      <w:pPr>
        <w:pStyle w:val="ListNumber"/>
        <w:spacing w:after="40" w:line="245" w:lineRule="auto"/>
        <w:ind w:left="317" w:hanging="173"/>
      </w:pPr>
      <w:r>
        <w:rPr>
          <w:rFonts w:ascii="DejaVu Sans" w:hAnsi="DejaVu Sans"/>
          <w:color w:val="132238"/>
          <w:sz w:val="18"/>
        </w:rPr>
        <w:t>Review assigned incident and occurrence trend.</w:t>
      </w:r>
    </w:p>
    <w:p>
      <w:pPr>
        <w:pStyle w:val="ListNumber"/>
        <w:spacing w:after="40" w:line="245" w:lineRule="auto"/>
        <w:ind w:left="317" w:hanging="173"/>
      </w:pPr>
      <w:r>
        <w:rPr>
          <w:rFonts w:ascii="DejaVu Sans" w:hAnsi="DejaVu Sans"/>
          <w:color w:val="132238"/>
          <w:sz w:val="18"/>
        </w:rPr>
        <w:t>Reproduce with non-sensitive data.</w:t>
      </w:r>
    </w:p>
    <w:p>
      <w:pPr>
        <w:pStyle w:val="ListNumber"/>
        <w:spacing w:after="40" w:line="245" w:lineRule="auto"/>
        <w:ind w:left="317" w:hanging="173"/>
      </w:pPr>
      <w:r>
        <w:rPr>
          <w:rFonts w:ascii="DejaVu Sans" w:hAnsi="DejaVu Sans"/>
          <w:color w:val="132238"/>
          <w:sz w:val="18"/>
        </w:rPr>
        <w:t>Patch, validate and deploy through controlled workflow.</w:t>
      </w:r>
    </w:p>
    <w:p>
      <w:pPr>
        <w:pStyle w:val="ListNumber"/>
        <w:spacing w:after="40" w:line="245" w:lineRule="auto"/>
        <w:ind w:left="317" w:hanging="173"/>
      </w:pPr>
      <w:r>
        <w:rPr>
          <w:rFonts w:ascii="DejaVu Sans" w:hAnsi="DejaVu Sans"/>
          <w:color w:val="132238"/>
          <w:sz w:val="18"/>
        </w:rPr>
        <w:t>Monitor recurrence after resolution.</w:t>
      </w:r>
    </w:p>
    <w:p>
      <w:pPr>
        <w:spacing w:before="120" w:after="60"/>
      </w:pPr>
      <w:r>
        <w:rPr>
          <w:rFonts w:ascii="DejaVu Sans" w:hAnsi="DejaVu Sans"/>
          <w:b/>
          <w:color w:val="062B55"/>
          <w:sz w:val="26"/>
        </w:rPr>
        <w:t>Control boundaries</w:t>
      </w:r>
    </w:p>
    <w:p>
      <w:pPr>
        <w:pStyle w:val="ListBullet"/>
        <w:spacing w:after="40" w:line="245" w:lineRule="auto"/>
        <w:ind w:left="317" w:hanging="173"/>
      </w:pPr>
      <w:r>
        <w:rPr>
          <w:rFonts w:ascii="DejaVu Sans" w:hAnsi="DejaVu Sans"/>
          <w:color w:val="132238"/>
          <w:sz w:val="18"/>
        </w:rPr>
        <w:t>Ordinary tenant users do not receive stack traces.</w:t>
      </w:r>
    </w:p>
    <w:p>
      <w:pPr>
        <w:pStyle w:val="ListBullet"/>
        <w:spacing w:after="40" w:line="245" w:lineRule="auto"/>
        <w:ind w:left="317" w:hanging="173"/>
      </w:pPr>
      <w:r>
        <w:rPr>
          <w:rFonts w:ascii="DejaVu Sans" w:hAnsi="DejaVu Sans"/>
          <w:color w:val="132238"/>
          <w:sz w:val="18"/>
        </w:rPr>
        <w:t>Do not edit financial data to make an error disappear.</w:t>
      </w:r>
    </w:p>
    <w:p>
      <w:pPr>
        <w:pStyle w:val="ListBullet"/>
        <w:spacing w:after="40" w:line="245" w:lineRule="auto"/>
        <w:ind w:left="317" w:hanging="173"/>
      </w:pPr>
      <w:r>
        <w:rPr>
          <w:rFonts w:ascii="DejaVu Sans" w:hAnsi="DejaVu Sans"/>
          <w:color w:val="132238"/>
          <w:sz w:val="18"/>
        </w:rPr>
        <w:t>Never store secrets in Git or chat.</w:t>
      </w:r>
    </w:p>
    <w:p>
      <w:pPr>
        <w:spacing w:before="120" w:after="60"/>
      </w:pPr>
      <w:r>
        <w:rPr>
          <w:rFonts w:ascii="DejaVu Sans" w:hAnsi="DejaVu Sans"/>
          <w:b/>
          <w:color w:val="062B55"/>
          <w:sz w:val="26"/>
        </w:rPr>
        <w:t>Main workspaces</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3240"/>
            <w:vAlign w:val="center"/>
            <w:shd w:fill="062B55"/>
          </w:tcPr>
          <w:p>
            <w:pPr>
              <w:spacing w:after="0"/>
            </w:pPr>
            <w:r/>
            <w:r>
              <w:rPr>
                <w:rFonts w:ascii="DejaVu Sans" w:hAnsi="DejaVu Sans"/>
                <w:b/>
                <w:color w:val="FFFFFF"/>
                <w:sz w:val="16"/>
              </w:rPr>
              <w:t>Workspace</w:t>
            </w:r>
          </w:p>
        </w:tc>
        <w:tc>
          <w:tcPr>
            <w:tcW w:type="dxa" w:w="6264"/>
            <w:vAlign w:val="center"/>
            <w:shd w:fill="062B55"/>
          </w:tcPr>
          <w:p>
            <w:pPr>
              <w:spacing w:after="0"/>
            </w:pPr>
            <w:r/>
            <w:r>
              <w:rPr>
                <w:rFonts w:ascii="DejaVu Sans" w:hAnsi="DejaVu Sans"/>
                <w:b/>
                <w:color w:val="FFFFFF"/>
                <w:sz w:val="16"/>
              </w:rPr>
              <w:t>Purpose</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/superadmin/system-errors</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Restricted incidents</w:t>
            </w:r>
          </w:p>
        </w:tc>
      </w:tr>
      <w:tr>
        <w:tc>
          <w:tcPr>
            <w:tcW w:type="dxa" w:w="324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/superadmin/activity</w:t>
            </w:r>
          </w:p>
        </w:tc>
        <w:tc>
          <w:tcPr>
            <w:tcW w:type="dxa" w:w="626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Technical audit context</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/superadmin/chat</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Secure support coordination</w:t>
            </w:r>
          </w:p>
        </w:tc>
      </w:tr>
    </w:tbl>
    <w:p>
      <w:pPr>
        <w:spacing w:after="0"/>
      </w:pPr>
    </w:p>
    <w:p>
      <w:r>
        <w:br w:type="page"/>
      </w:r>
    </w:p>
    <w:p>
      <w:pPr>
        <w:spacing w:after="40"/>
      </w:pPr>
      <w:r>
        <w:rPr>
          <w:rFonts w:ascii="DejaVu Sans" w:hAnsi="DejaVu Sans"/>
          <w:b/>
          <w:color w:val="062B55"/>
          <w:sz w:val="44"/>
        </w:rPr>
        <w:t>24. Borrower</w:t>
      </w:r>
    </w:p>
    <w:p>
      <w:pPr>
        <w:spacing w:after="200"/>
      </w:pPr>
      <w:r>
        <w:rPr>
          <w:rFonts w:ascii="DejaVu Sans" w:hAnsi="DejaVu Sans"/>
          <w:i/>
          <w:color w:val="5B6573"/>
          <w:sz w:val="21"/>
        </w:rPr>
        <w:t>Request funding, compare offers and manage personal loans and payments.</w:t>
      </w:r>
    </w:p>
    <w:p>
      <w:pPr>
        <w:spacing w:after="200"/>
      </w:pPr>
      <w:r>
        <w:rPr>
          <w:color w:val="007E8A"/>
          <w:sz w:val="10"/>
        </w:rPr>
        <w:t>━━━━━━━━━━━━━━━━━━━━━━━━━━━━━━━━━━━━━━━━━━━━━━━━━━━━━━━━━━━━━━━━━━━━━━</w:t>
      </w:r>
    </w:p>
    <w:p>
      <w:pPr>
        <w:spacing w:before="120" w:after="60"/>
      </w:pPr>
      <w:r>
        <w:rPr>
          <w:rFonts w:ascii="DejaVu Sans" w:hAnsi="DejaVu Sans"/>
          <w:b/>
          <w:color w:val="062B55"/>
          <w:sz w:val="26"/>
        </w:rPr>
        <w:t>What this role can do</w:t>
      </w:r>
    </w:p>
    <w:p>
      <w:pPr>
        <w:pStyle w:val="ListBullet"/>
        <w:spacing w:after="40" w:line="245" w:lineRule="auto"/>
        <w:ind w:left="317" w:hanging="173"/>
      </w:pPr>
      <w:r>
        <w:rPr>
          <w:rFonts w:ascii="DejaVu Sans" w:hAnsi="DejaVu Sans"/>
          <w:color w:val="132238"/>
          <w:sz w:val="18"/>
        </w:rPr>
        <w:t>Maintain own profile, requests, offers, loans, repayments, files and chat.</w:t>
      </w:r>
    </w:p>
    <w:p>
      <w:pPr>
        <w:pStyle w:val="ListBullet"/>
        <w:spacing w:after="40" w:line="245" w:lineRule="auto"/>
        <w:ind w:left="317" w:hanging="173"/>
      </w:pPr>
      <w:r>
        <w:rPr>
          <w:rFonts w:ascii="DejaVu Sans" w:hAnsi="DejaVu Sans"/>
          <w:color w:val="132238"/>
          <w:sz w:val="18"/>
        </w:rPr>
        <w:t>Compare offers and accept one.</w:t>
      </w:r>
    </w:p>
    <w:p>
      <w:pPr>
        <w:pStyle w:val="ListBullet"/>
        <w:spacing w:after="40" w:line="245" w:lineRule="auto"/>
        <w:ind w:left="317" w:hanging="173"/>
      </w:pPr>
      <w:r>
        <w:rPr>
          <w:rFonts w:ascii="DejaVu Sans" w:hAnsi="DejaVu Sans"/>
          <w:color w:val="132238"/>
          <w:sz w:val="18"/>
        </w:rPr>
        <w:t>Track disbursement, schedule, balance and payment result.</w:t>
      </w:r>
    </w:p>
    <w:p>
      <w:pPr>
        <w:spacing w:before="120" w:after="60"/>
      </w:pPr>
      <w:r>
        <w:rPr>
          <w:rFonts w:ascii="DejaVu Sans" w:hAnsi="DejaVu Sans"/>
          <w:b/>
          <w:color w:val="062B55"/>
          <w:sz w:val="26"/>
        </w:rPr>
        <w:t>Recommended daily routine</w:t>
      </w:r>
    </w:p>
    <w:p>
      <w:pPr>
        <w:pStyle w:val="ListNumber"/>
        <w:spacing w:after="40" w:line="245" w:lineRule="auto"/>
        <w:ind w:left="317" w:hanging="173"/>
      </w:pPr>
      <w:r>
        <w:rPr>
          <w:rFonts w:ascii="DejaVu Sans" w:hAnsi="DejaVu Sans"/>
          <w:color w:val="132238"/>
          <w:sz w:val="18"/>
        </w:rPr>
        <w:t>Keep contact, identity, address and employment data current.</w:t>
      </w:r>
    </w:p>
    <w:p>
      <w:pPr>
        <w:pStyle w:val="ListNumber"/>
        <w:spacing w:after="40" w:line="245" w:lineRule="auto"/>
        <w:ind w:left="317" w:hanging="173"/>
      </w:pPr>
      <w:r>
        <w:rPr>
          <w:rFonts w:ascii="DejaVu Sans" w:hAnsi="DejaVu Sans"/>
          <w:color w:val="132238"/>
          <w:sz w:val="18"/>
        </w:rPr>
        <w:t>Review new offers and expiry times.</w:t>
      </w:r>
    </w:p>
    <w:p>
      <w:pPr>
        <w:pStyle w:val="ListNumber"/>
        <w:spacing w:after="40" w:line="245" w:lineRule="auto"/>
        <w:ind w:left="317" w:hanging="173"/>
      </w:pPr>
      <w:r>
        <w:rPr>
          <w:rFonts w:ascii="DejaVu Sans" w:hAnsi="DejaVu Sans"/>
          <w:color w:val="132238"/>
          <w:sz w:val="18"/>
        </w:rPr>
        <w:t>Check upcoming instalments and payment status.</w:t>
      </w:r>
    </w:p>
    <w:p>
      <w:pPr>
        <w:pStyle w:val="ListNumber"/>
        <w:spacing w:after="40" w:line="245" w:lineRule="auto"/>
        <w:ind w:left="317" w:hanging="173"/>
      </w:pPr>
      <w:r>
        <w:rPr>
          <w:rFonts w:ascii="DejaVu Sans" w:hAnsi="DejaVu Sans"/>
          <w:color w:val="132238"/>
          <w:sz w:val="18"/>
        </w:rPr>
        <w:t>Report incorrect balances or unrecognised transactions.</w:t>
      </w:r>
    </w:p>
    <w:p>
      <w:pPr>
        <w:spacing w:before="120" w:after="60"/>
      </w:pPr>
      <w:r>
        <w:rPr>
          <w:rFonts w:ascii="DejaVu Sans" w:hAnsi="DejaVu Sans"/>
          <w:b/>
          <w:color w:val="062B55"/>
          <w:sz w:val="26"/>
        </w:rPr>
        <w:t>Control boundaries</w:t>
      </w:r>
    </w:p>
    <w:p>
      <w:pPr>
        <w:pStyle w:val="ListBullet"/>
        <w:spacing w:after="40" w:line="245" w:lineRule="auto"/>
        <w:ind w:left="317" w:hanging="173"/>
      </w:pPr>
      <w:r>
        <w:rPr>
          <w:rFonts w:ascii="DejaVu Sans" w:hAnsi="DejaVu Sans"/>
          <w:color w:val="132238"/>
          <w:sz w:val="18"/>
        </w:rPr>
        <w:t>Never pay a person outside the approved provider/reference flow.</w:t>
      </w:r>
    </w:p>
    <w:p>
      <w:pPr>
        <w:pStyle w:val="ListBullet"/>
        <w:spacing w:after="40" w:line="245" w:lineRule="auto"/>
        <w:ind w:left="317" w:hanging="173"/>
      </w:pPr>
      <w:r>
        <w:rPr>
          <w:rFonts w:ascii="DejaVu Sans" w:hAnsi="DejaVu Sans"/>
          <w:color w:val="132238"/>
          <w:sz w:val="18"/>
        </w:rPr>
        <w:t>Never send a mobile-money PIN or password in chat.</w:t>
      </w:r>
    </w:p>
    <w:p>
      <w:pPr>
        <w:pStyle w:val="ListBullet"/>
        <w:spacing w:after="40" w:line="245" w:lineRule="auto"/>
        <w:ind w:left="317" w:hanging="173"/>
      </w:pPr>
      <w:r>
        <w:rPr>
          <w:rFonts w:ascii="DejaVu Sans" w:hAnsi="DejaVu Sans"/>
          <w:color w:val="132238"/>
          <w:sz w:val="18"/>
        </w:rPr>
        <w:t>Use private conversation/file visibility for personal documents.</w:t>
      </w:r>
    </w:p>
    <w:p>
      <w:pPr>
        <w:spacing w:before="120" w:after="60"/>
      </w:pPr>
      <w:r>
        <w:rPr>
          <w:rFonts w:ascii="DejaVu Sans" w:hAnsi="DejaVu Sans"/>
          <w:b/>
          <w:color w:val="062B55"/>
          <w:sz w:val="26"/>
        </w:rPr>
        <w:t>Main workspaces</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3240"/>
            <w:vAlign w:val="center"/>
            <w:shd w:fill="062B55"/>
          </w:tcPr>
          <w:p>
            <w:pPr>
              <w:spacing w:after="0"/>
            </w:pPr>
            <w:r/>
            <w:r>
              <w:rPr>
                <w:rFonts w:ascii="DejaVu Sans" w:hAnsi="DejaVu Sans"/>
                <w:b/>
                <w:color w:val="FFFFFF"/>
                <w:sz w:val="16"/>
              </w:rPr>
              <w:t>Workspace</w:t>
            </w:r>
          </w:p>
        </w:tc>
        <w:tc>
          <w:tcPr>
            <w:tcW w:type="dxa" w:w="6264"/>
            <w:vAlign w:val="center"/>
            <w:shd w:fill="062B55"/>
          </w:tcPr>
          <w:p>
            <w:pPr>
              <w:spacing w:after="0"/>
            </w:pPr>
            <w:r/>
            <w:r>
              <w:rPr>
                <w:rFonts w:ascii="DejaVu Sans" w:hAnsi="DejaVu Sans"/>
                <w:b/>
                <w:color w:val="FFFFFF"/>
                <w:sz w:val="16"/>
              </w:rPr>
              <w:t>Purpose</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/borrower/requests</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Requests and offers</w:t>
            </w:r>
          </w:p>
        </w:tc>
      </w:tr>
      <w:tr>
        <w:tc>
          <w:tcPr>
            <w:tcW w:type="dxa" w:w="324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/borrower/loans</w:t>
            </w:r>
          </w:p>
        </w:tc>
        <w:tc>
          <w:tcPr>
            <w:tcW w:type="dxa" w:w="626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Accepted loans</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/borrower/payments</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Repayments</w:t>
            </w:r>
          </w:p>
        </w:tc>
      </w:tr>
      <w:tr>
        <w:tc>
          <w:tcPr>
            <w:tcW w:type="dxa" w:w="324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/borrower/chat</w:t>
            </w:r>
          </w:p>
        </w:tc>
        <w:tc>
          <w:tcPr>
            <w:tcW w:type="dxa" w:w="626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Company/support communication</w:t>
            </w:r>
          </w:p>
        </w:tc>
      </w:tr>
      <w:tr>
        <w:tc>
          <w:tcPr>
            <w:tcW w:type="dxa" w:w="324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/borrower/files</w:t>
            </w:r>
          </w:p>
        </w:tc>
        <w:tc>
          <w:tcPr>
            <w:tcW w:type="dxa" w:w="626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6"/>
              </w:rPr>
              <w:t>Personal/shared files</w:t>
            </w:r>
          </w:p>
        </w:tc>
      </w:tr>
    </w:tbl>
    <w:p>
      <w:pPr>
        <w:spacing w:after="0"/>
      </w:pPr>
    </w:p>
    <w:p>
      <w:r>
        <w:br w:type="page"/>
      </w:r>
    </w:p>
    <w:p>
      <w:pPr>
        <w:spacing w:after="40"/>
      </w:pPr>
      <w:r>
        <w:rPr>
          <w:rFonts w:ascii="DejaVu Sans" w:hAnsi="DejaVu Sans"/>
          <w:b/>
          <w:color w:val="062B55"/>
          <w:sz w:val="44"/>
        </w:rPr>
        <w:t>25. Company registration and approval</w:t>
      </w:r>
    </w:p>
    <w:p>
      <w:pPr>
        <w:spacing w:after="200"/>
      </w:pPr>
      <w:r>
        <w:rPr>
          <w:rFonts w:ascii="DejaVu Sans" w:hAnsi="DejaVu Sans"/>
          <w:i/>
          <w:color w:val="5B6573"/>
          <w:sz w:val="21"/>
        </w:rPr>
        <w:t>Create a tenant and first owner account</w:t>
      </w:r>
    </w:p>
    <w:p>
      <w:pPr>
        <w:spacing w:after="200"/>
      </w:pPr>
      <w:r>
        <w:rPr>
          <w:color w:val="007E8A"/>
          <w:sz w:val="10"/>
        </w:rPr>
        <w:t>━━━━━━━━━━━━━━━━━━━━━━━━━━━━━━━━━━━━━━━━━━━━━━━━━━━━━━━━━━━━━━━━━━━━━━</w:t>
      </w:r>
    </w:p>
    <w:p>
      <w:pPr>
        <w:spacing w:after="100" w:line="252" w:lineRule="auto"/>
      </w:pPr>
      <w:r>
        <w:rPr>
          <w:rFonts w:ascii="DejaVu Sans" w:hAnsi="DejaVu Sans"/>
          <w:color w:val="132238"/>
          <w:sz w:val="19"/>
        </w:rPr>
        <w:t>The registration page separates company identity, operations, owner details and final review. The left panel explains the owner role while the right panel shows step progress.</w:t>
      </w:r>
    </w:p>
    <w:p>
      <w:pPr>
        <w:spacing w:before="120" w:after="60"/>
      </w:pPr>
      <w:r>
        <w:rPr>
          <w:rFonts w:ascii="DejaVu Sans" w:hAnsi="DejaVu Sans"/>
          <w:b/>
          <w:color w:val="062B55"/>
          <w:sz w:val="26"/>
        </w:rPr>
        <w:t>Workflow</w:t>
      </w:r>
    </w:p>
    <w:p>
      <w:pPr>
        <w:pStyle w:val="ListNumber"/>
        <w:spacing w:after="40" w:line="245" w:lineRule="auto"/>
        <w:ind w:left="317" w:hanging="173"/>
      </w:pPr>
      <w:r>
        <w:rPr>
          <w:rFonts w:ascii="DejaVu Sans" w:hAnsi="DejaVu Sans"/>
          <w:color w:val="132238"/>
          <w:sz w:val="18"/>
        </w:rPr>
        <w:t>Choose Loan company registration.</w:t>
      </w:r>
    </w:p>
    <w:p>
      <w:pPr>
        <w:pStyle w:val="ListNumber"/>
        <w:spacing w:after="40" w:line="245" w:lineRule="auto"/>
        <w:ind w:left="317" w:hanging="173"/>
      </w:pPr>
      <w:r>
        <w:rPr>
          <w:rFonts w:ascii="DejaVu Sans" w:hAnsi="DejaVu Sans"/>
          <w:color w:val="132238"/>
          <w:sz w:val="18"/>
        </w:rPr>
        <w:t>Enter legal company name, registration/licence references and company phone.</w:t>
      </w:r>
    </w:p>
    <w:p>
      <w:pPr>
        <w:pStyle w:val="ListNumber"/>
        <w:spacing w:after="40" w:line="245" w:lineRule="auto"/>
        <w:ind w:left="317" w:hanging="173"/>
      </w:pPr>
      <w:r>
        <w:rPr>
          <w:rFonts w:ascii="DejaVu Sans" w:hAnsi="DejaVu Sans"/>
          <w:color w:val="132238"/>
          <w:sz w:val="18"/>
        </w:rPr>
        <w:t>Enter email, website, district and business address.</w:t>
      </w:r>
    </w:p>
    <w:p>
      <w:pPr>
        <w:pStyle w:val="ListNumber"/>
        <w:spacing w:after="40" w:line="245" w:lineRule="auto"/>
        <w:ind w:left="317" w:hanging="173"/>
      </w:pPr>
      <w:r>
        <w:rPr>
          <w:rFonts w:ascii="DejaVu Sans" w:hAnsi="DejaVu Sans"/>
          <w:color w:val="132238"/>
          <w:sz w:val="18"/>
        </w:rPr>
        <w:t>Create the first owner identity and password.</w:t>
      </w:r>
    </w:p>
    <w:p>
      <w:pPr>
        <w:pStyle w:val="ListNumber"/>
        <w:spacing w:after="40" w:line="245" w:lineRule="auto"/>
        <w:ind w:left="317" w:hanging="173"/>
      </w:pPr>
      <w:r>
        <w:rPr>
          <w:rFonts w:ascii="DejaVu Sans" w:hAnsi="DejaVu Sans"/>
          <w:color w:val="132238"/>
          <w:sz w:val="18"/>
        </w:rPr>
        <w:t>Review the declaration and submit.</w:t>
      </w:r>
    </w:p>
    <w:p>
      <w:pPr>
        <w:pStyle w:val="ListNumber"/>
        <w:spacing w:after="40" w:line="245" w:lineRule="auto"/>
        <w:ind w:left="317" w:hanging="173"/>
      </w:pPr>
      <w:r>
        <w:rPr>
          <w:rFonts w:ascii="DejaVu Sans" w:hAnsi="DejaVu Sans"/>
          <w:color w:val="132238"/>
          <w:sz w:val="18"/>
        </w:rPr>
        <w:t>Platform owner verifies evidence and approves, rejects or returns the application.</w:t>
      </w:r>
    </w:p>
    <w:p>
      <w:pPr>
        <w:spacing w:before="120" w:after="60"/>
      </w:pPr>
      <w:r>
        <w:rPr>
          <w:rFonts w:ascii="DejaVu Sans" w:hAnsi="DejaVu Sans"/>
          <w:b/>
          <w:color w:val="062B55"/>
          <w:sz w:val="26"/>
        </w:rPr>
        <w:t>Important controls</w:t>
      </w:r>
    </w:p>
    <w:p>
      <w:pPr>
        <w:pStyle w:val="ListBullet"/>
        <w:spacing w:after="40" w:line="245" w:lineRule="auto"/>
        <w:ind w:left="317" w:hanging="173"/>
      </w:pPr>
      <w:r>
        <w:rPr>
          <w:rFonts w:ascii="DejaVu Sans" w:hAnsi="DejaVu Sans"/>
          <w:color w:val="132238"/>
          <w:sz w:val="18"/>
        </w:rPr>
        <w:t>The company starts pending. Lending remains restricted until approval and applicable billing conditions are satisfied.</w:t>
      </w:r>
    </w:p>
    <w:p>
      <w:pPr>
        <w:pStyle w:val="ListBullet"/>
        <w:spacing w:after="40" w:line="245" w:lineRule="auto"/>
        <w:ind w:left="317" w:hanging="173"/>
      </w:pPr>
      <w:r>
        <w:rPr>
          <w:rFonts w:ascii="DejaVu Sans" w:hAnsi="DejaVu Sans"/>
          <w:color w:val="132238"/>
          <w:sz w:val="18"/>
        </w:rPr>
        <w:t>Passwords are never saved in the registration draft.</w:t>
      </w:r>
    </w:p>
    <w:p>
      <w:r>
        <w:br w:type="page"/>
      </w:r>
    </w:p>
    <w:p>
      <w:pPr>
        <w:spacing w:after="40"/>
      </w:pPr>
      <w:r>
        <w:rPr>
          <w:rFonts w:ascii="DejaVu Sans" w:hAnsi="DejaVu Sans"/>
          <w:b/>
          <w:color w:val="062B55"/>
          <w:sz w:val="44"/>
        </w:rPr>
        <w:t>26. Company settings, branches and staff</w:t>
      </w:r>
    </w:p>
    <w:p>
      <w:pPr>
        <w:spacing w:after="200"/>
      </w:pPr>
      <w:r>
        <w:rPr>
          <w:rFonts w:ascii="DejaVu Sans" w:hAnsi="DejaVu Sans"/>
          <w:i/>
          <w:color w:val="5B6573"/>
          <w:sz w:val="21"/>
        </w:rPr>
        <w:t>Build a controlled operating structure</w:t>
      </w:r>
    </w:p>
    <w:p>
      <w:pPr>
        <w:spacing w:after="200"/>
      </w:pPr>
      <w:r>
        <w:rPr>
          <w:color w:val="007E8A"/>
          <w:sz w:val="10"/>
        </w:rPr>
        <w:t>━━━━━━━━━━━━━━━━━━━━━━━━━━━━━━━━━━━━━━━━━━━━━━━━━━━━━━━━━━━━━━━━━━━━━━</w:t>
      </w:r>
    </w:p>
    <w:p>
      <w:pPr>
        <w:spacing w:after="100" w:line="252" w:lineRule="auto"/>
      </w:pPr>
      <w:r>
        <w:rPr>
          <w:rFonts w:ascii="DejaVu Sans" w:hAnsi="DejaVu Sans"/>
          <w:color w:val="132238"/>
          <w:sz w:val="19"/>
        </w:rPr>
        <w:t>Company settings contain legal, contact and location sections with validation, profile-completeness tracking and read-only behaviour for unauthorised staff.</w:t>
      </w:r>
    </w:p>
    <w:p>
      <w:pPr>
        <w:spacing w:before="120" w:after="60"/>
      </w:pPr>
      <w:r>
        <w:rPr>
          <w:rFonts w:ascii="DejaVu Sans" w:hAnsi="DejaVu Sans"/>
          <w:b/>
          <w:color w:val="062B55"/>
          <w:sz w:val="26"/>
        </w:rPr>
        <w:t>Workflow</w:t>
      </w:r>
    </w:p>
    <w:p>
      <w:pPr>
        <w:pStyle w:val="ListNumber"/>
        <w:spacing w:after="40" w:line="245" w:lineRule="auto"/>
        <w:ind w:left="317" w:hanging="173"/>
      </w:pPr>
      <w:r>
        <w:rPr>
          <w:rFonts w:ascii="DejaVu Sans" w:hAnsi="DejaVu Sans"/>
          <w:color w:val="132238"/>
          <w:sz w:val="18"/>
        </w:rPr>
        <w:t>Company owner/admin opens Company settings and updates official data.</w:t>
      </w:r>
    </w:p>
    <w:p>
      <w:pPr>
        <w:pStyle w:val="ListNumber"/>
        <w:spacing w:after="40" w:line="245" w:lineRule="auto"/>
        <w:ind w:left="317" w:hanging="173"/>
      </w:pPr>
      <w:r>
        <w:rPr>
          <w:rFonts w:ascii="DejaVu Sans" w:hAnsi="DejaVu Sans"/>
          <w:color w:val="132238"/>
          <w:sz w:val="18"/>
        </w:rPr>
        <w:t>Create branches with name, district, town, address, phone and email.</w:t>
      </w:r>
    </w:p>
    <w:p>
      <w:pPr>
        <w:pStyle w:val="ListNumber"/>
        <w:spacing w:after="40" w:line="245" w:lineRule="auto"/>
        <w:ind w:left="317" w:hanging="173"/>
      </w:pPr>
      <w:r>
        <w:rPr>
          <w:rFonts w:ascii="DejaVu Sans" w:hAnsi="DejaVu Sans"/>
          <w:color w:val="132238"/>
          <w:sz w:val="18"/>
        </w:rPr>
        <w:t>Create or select a user membership.</w:t>
      </w:r>
    </w:p>
    <w:p>
      <w:pPr>
        <w:pStyle w:val="ListNumber"/>
        <w:spacing w:after="40" w:line="245" w:lineRule="auto"/>
        <w:ind w:left="317" w:hanging="173"/>
      </w:pPr>
      <w:r>
        <w:rPr>
          <w:rFonts w:ascii="DejaVu Sans" w:hAnsi="DejaVu Sans"/>
          <w:color w:val="132238"/>
          <w:sz w:val="18"/>
        </w:rPr>
        <w:t>Assign one approved company role and optional branch.</w:t>
      </w:r>
    </w:p>
    <w:p>
      <w:pPr>
        <w:pStyle w:val="ListNumber"/>
        <w:spacing w:after="40" w:line="245" w:lineRule="auto"/>
        <w:ind w:left="317" w:hanging="173"/>
      </w:pPr>
      <w:r>
        <w:rPr>
          <w:rFonts w:ascii="DejaVu Sans" w:hAnsi="DejaVu Sans"/>
          <w:color w:val="132238"/>
          <w:sz w:val="18"/>
        </w:rPr>
        <w:t>Activate the membership and ask the user to confirm scope.</w:t>
      </w:r>
    </w:p>
    <w:p>
      <w:pPr>
        <w:pStyle w:val="ListNumber"/>
        <w:spacing w:after="40" w:line="245" w:lineRule="auto"/>
        <w:ind w:left="317" w:hanging="173"/>
      </w:pPr>
      <w:r>
        <w:rPr>
          <w:rFonts w:ascii="DejaVu Sans" w:hAnsi="DejaVu Sans"/>
          <w:color w:val="132238"/>
          <w:sz w:val="18"/>
        </w:rPr>
        <w:t>Reassign dependencies before deactivating a branch.</w:t>
      </w:r>
    </w:p>
    <w:p>
      <w:pPr>
        <w:spacing w:before="120" w:after="60"/>
      </w:pPr>
      <w:r>
        <w:rPr>
          <w:rFonts w:ascii="DejaVu Sans" w:hAnsi="DejaVu Sans"/>
          <w:b/>
          <w:color w:val="062B55"/>
          <w:sz w:val="26"/>
        </w:rPr>
        <w:t>Important controls</w:t>
      </w:r>
    </w:p>
    <w:p>
      <w:pPr>
        <w:pStyle w:val="ListBullet"/>
        <w:spacing w:after="40" w:line="245" w:lineRule="auto"/>
        <w:ind w:left="317" w:hanging="173"/>
      </w:pPr>
      <w:r>
        <w:rPr>
          <w:rFonts w:ascii="DejaVu Sans" w:hAnsi="DejaVu Sans"/>
          <w:color w:val="132238"/>
          <w:sz w:val="18"/>
        </w:rPr>
        <w:t>Do not delete branches or companies that have financial history.</w:t>
      </w:r>
    </w:p>
    <w:p>
      <w:pPr>
        <w:pStyle w:val="ListBullet"/>
        <w:spacing w:after="40" w:line="245" w:lineRule="auto"/>
        <w:ind w:left="317" w:hanging="173"/>
      </w:pPr>
      <w:r>
        <w:rPr>
          <w:rFonts w:ascii="DejaVu Sans" w:hAnsi="DejaVu Sans"/>
          <w:color w:val="132238"/>
          <w:sz w:val="18"/>
        </w:rPr>
        <w:t>Use company/branch access checks on every backend endpoint.</w:t>
      </w:r>
    </w:p>
    <w:p>
      <w:pPr>
        <w:pStyle w:val="ListBullet"/>
        <w:spacing w:after="40" w:line="245" w:lineRule="auto"/>
        <w:ind w:left="317" w:hanging="173"/>
      </w:pPr>
      <w:r>
        <w:rPr>
          <w:rFonts w:ascii="DejaVu Sans" w:hAnsi="DejaVu Sans"/>
          <w:color w:val="132238"/>
          <w:sz w:val="18"/>
        </w:rPr>
        <w:t>Review access when an employee transfers or leaves.</w:t>
      </w:r>
    </w:p>
    <w:p>
      <w:r>
        <w:br w:type="page"/>
      </w:r>
    </w:p>
    <w:p>
      <w:pPr>
        <w:spacing w:after="40"/>
      </w:pPr>
      <w:r>
        <w:rPr>
          <w:rFonts w:ascii="DejaVu Sans" w:hAnsi="DejaVu Sans"/>
          <w:b/>
          <w:color w:val="062B55"/>
          <w:sz w:val="44"/>
        </w:rPr>
        <w:t>27. Employee and performance management</w:t>
      </w:r>
    </w:p>
    <w:p>
      <w:pPr>
        <w:spacing w:after="200"/>
      </w:pPr>
      <w:r>
        <w:rPr>
          <w:rFonts w:ascii="DejaVu Sans" w:hAnsi="DejaVu Sans"/>
          <w:i/>
          <w:color w:val="5B6573"/>
          <w:sz w:val="21"/>
        </w:rPr>
        <w:t>Connect people records to measurable work</w:t>
      </w:r>
    </w:p>
    <w:p>
      <w:pPr>
        <w:spacing w:after="200"/>
      </w:pPr>
      <w:r>
        <w:rPr>
          <w:color w:val="007E8A"/>
          <w:sz w:val="10"/>
        </w:rPr>
        <w:t>━━━━━━━━━━━━━━━━━━━━━━━━━━━━━━━━━━━━━━━━━━━━━━━━━━━━━━━━━━━━━━━━━━━━━━</w:t>
      </w:r>
    </w:p>
    <w:p>
      <w:pPr>
        <w:spacing w:after="100" w:line="252" w:lineRule="auto"/>
      </w:pPr>
      <w:r>
        <w:rPr>
          <w:rFonts w:ascii="DejaVu Sans" w:hAnsi="DejaVu Sans"/>
          <w:color w:val="132238"/>
          <w:sz w:val="19"/>
        </w:rPr>
        <w:t>Employee profiles extend staff membership with job, department, manager, employment dates, skills, targets, protected salary data and HR notes.</w:t>
      </w:r>
    </w:p>
    <w:p>
      <w:pPr>
        <w:spacing w:before="120" w:after="60"/>
      </w:pPr>
      <w:r>
        <w:rPr>
          <w:rFonts w:ascii="DejaVu Sans" w:hAnsi="DejaVu Sans"/>
          <w:b/>
          <w:color w:val="062B55"/>
          <w:sz w:val="26"/>
        </w:rPr>
        <w:t>Workflow</w:t>
      </w:r>
    </w:p>
    <w:p>
      <w:pPr>
        <w:pStyle w:val="ListNumber"/>
        <w:spacing w:after="40" w:line="245" w:lineRule="auto"/>
        <w:ind w:left="317" w:hanging="173"/>
      </w:pPr>
      <w:r>
        <w:rPr>
          <w:rFonts w:ascii="DejaVu Sans" w:hAnsi="DejaVu Sans"/>
          <w:color w:val="132238"/>
          <w:sz w:val="18"/>
        </w:rPr>
        <w:t>Create the employee profile from an active staff membership.</w:t>
      </w:r>
    </w:p>
    <w:p>
      <w:pPr>
        <w:pStyle w:val="ListNumber"/>
        <w:spacing w:after="40" w:line="245" w:lineRule="auto"/>
        <w:ind w:left="317" w:hanging="173"/>
      </w:pPr>
      <w:r>
        <w:rPr>
          <w:rFonts w:ascii="DejaVu Sans" w:hAnsi="DejaVu Sans"/>
          <w:color w:val="132238"/>
          <w:sz w:val="18"/>
        </w:rPr>
        <w:t>Assign employee number, branch, job title, department and manager.</w:t>
      </w:r>
    </w:p>
    <w:p>
      <w:pPr>
        <w:pStyle w:val="ListNumber"/>
        <w:spacing w:after="40" w:line="245" w:lineRule="auto"/>
        <w:ind w:left="317" w:hanging="173"/>
      </w:pPr>
      <w:r>
        <w:rPr>
          <w:rFonts w:ascii="DejaVu Sans" w:hAnsi="DejaVu Sans"/>
          <w:color w:val="132238"/>
          <w:sz w:val="18"/>
        </w:rPr>
        <w:t>Record employment type, status and dates.</w:t>
      </w:r>
    </w:p>
    <w:p>
      <w:pPr>
        <w:pStyle w:val="ListNumber"/>
        <w:spacing w:after="40" w:line="245" w:lineRule="auto"/>
        <w:ind w:left="317" w:hanging="173"/>
      </w:pPr>
      <w:r>
        <w:rPr>
          <w:rFonts w:ascii="DejaVu Sans" w:hAnsi="DejaVu Sans"/>
          <w:color w:val="132238"/>
          <w:sz w:val="18"/>
        </w:rPr>
        <w:t>Create measurable goals with period, target and owner.</w:t>
      </w:r>
    </w:p>
    <w:p>
      <w:pPr>
        <w:pStyle w:val="ListNumber"/>
        <w:spacing w:after="40" w:line="245" w:lineRule="auto"/>
        <w:ind w:left="317" w:hanging="173"/>
      </w:pPr>
      <w:r>
        <w:rPr>
          <w:rFonts w:ascii="DejaVu Sans" w:hAnsi="DejaVu Sans"/>
          <w:color w:val="132238"/>
          <w:sz w:val="18"/>
        </w:rPr>
        <w:t>Update progress and attach evidence.</w:t>
      </w:r>
    </w:p>
    <w:p>
      <w:pPr>
        <w:pStyle w:val="ListNumber"/>
        <w:spacing w:after="40" w:line="245" w:lineRule="auto"/>
        <w:ind w:left="317" w:hanging="173"/>
      </w:pPr>
      <w:r>
        <w:rPr>
          <w:rFonts w:ascii="DejaVu Sans" w:hAnsi="DejaVu Sans"/>
          <w:color w:val="132238"/>
          <w:sz w:val="18"/>
        </w:rPr>
        <w:t>Complete formal review and notify the employee/manager.</w:t>
      </w:r>
    </w:p>
    <w:p>
      <w:pPr>
        <w:spacing w:before="120" w:after="60"/>
      </w:pPr>
      <w:r>
        <w:rPr>
          <w:rFonts w:ascii="DejaVu Sans" w:hAnsi="DejaVu Sans"/>
          <w:b/>
          <w:color w:val="062B55"/>
          <w:sz w:val="26"/>
        </w:rPr>
        <w:t>Important controls</w:t>
      </w:r>
    </w:p>
    <w:p>
      <w:pPr>
        <w:pStyle w:val="ListBullet"/>
        <w:spacing w:after="40" w:line="245" w:lineRule="auto"/>
        <w:ind w:left="317" w:hanging="173"/>
      </w:pPr>
      <w:r>
        <w:rPr>
          <w:rFonts w:ascii="DejaVu Sans" w:hAnsi="DejaVu Sans"/>
          <w:color w:val="132238"/>
          <w:sz w:val="18"/>
        </w:rPr>
        <w:t>Salary and confidential HR notes are visible only to authorised management/HR roles.</w:t>
      </w:r>
    </w:p>
    <w:p>
      <w:pPr>
        <w:pStyle w:val="ListBullet"/>
        <w:spacing w:after="40" w:line="245" w:lineRule="auto"/>
        <w:ind w:left="317" w:hanging="173"/>
      </w:pPr>
      <w:r>
        <w:rPr>
          <w:rFonts w:ascii="DejaVu Sans" w:hAnsi="DejaVu Sans"/>
          <w:color w:val="132238"/>
          <w:sz w:val="18"/>
        </w:rPr>
        <w:t>Use evidence and operating context; do not rank staff only by activity count.</w:t>
      </w:r>
    </w:p>
    <w:p>
      <w:r>
        <w:br w:type="page"/>
      </w:r>
    </w:p>
    <w:p>
      <w:pPr>
        <w:spacing w:after="40"/>
      </w:pPr>
      <w:r>
        <w:rPr>
          <w:rFonts w:ascii="DejaVu Sans" w:hAnsi="DejaVu Sans"/>
          <w:b/>
          <w:color w:val="062B55"/>
          <w:sz w:val="44"/>
        </w:rPr>
        <w:t>28. Loan products and marketplace requests</w:t>
      </w:r>
    </w:p>
    <w:p>
      <w:pPr>
        <w:spacing w:after="200"/>
      </w:pPr>
      <w:r>
        <w:rPr>
          <w:rFonts w:ascii="DejaVu Sans" w:hAnsi="DejaVu Sans"/>
          <w:i/>
          <w:color w:val="5B6573"/>
          <w:sz w:val="21"/>
        </w:rPr>
        <w:t>Use controlled rules before competing for a borrower</w:t>
      </w:r>
    </w:p>
    <w:p>
      <w:pPr>
        <w:spacing w:after="200"/>
      </w:pPr>
      <w:r>
        <w:rPr>
          <w:color w:val="007E8A"/>
          <w:sz w:val="10"/>
        </w:rPr>
        <w:t>━━━━━━━━━━━━━━━━━━━━━━━━━━━━━━━━━━━━━━━━━━━━━━━━━━━━━━━━━━━━━━━━━━━━━━</w:t>
      </w:r>
    </w:p>
    <w:p>
      <w:pPr>
        <w:spacing w:after="100" w:line="252" w:lineRule="auto"/>
      </w:pPr>
      <w:r>
        <w:rPr>
          <w:rFonts w:ascii="DejaVu Sans" w:hAnsi="DejaVu Sans"/>
          <w:color w:val="132238"/>
          <w:sz w:val="19"/>
        </w:rPr>
        <w:t>Loan products define amount, term, interest, fee and availability boundaries. Marketplace request cards remain redacted until the company has authorised access.</w:t>
      </w:r>
    </w:p>
    <w:p>
      <w:pPr>
        <w:spacing w:before="120" w:after="60"/>
      </w:pPr>
      <w:r>
        <w:rPr>
          <w:rFonts w:ascii="DejaVu Sans" w:hAnsi="DejaVu Sans"/>
          <w:b/>
          <w:color w:val="062B55"/>
          <w:sz w:val="26"/>
        </w:rPr>
        <w:t>Workflow</w:t>
      </w:r>
    </w:p>
    <w:p>
      <w:pPr>
        <w:pStyle w:val="ListNumber"/>
        <w:spacing w:after="40" w:line="245" w:lineRule="auto"/>
        <w:ind w:left="317" w:hanging="173"/>
      </w:pPr>
      <w:r>
        <w:rPr>
          <w:rFonts w:ascii="DejaVu Sans" w:hAnsi="DejaVu Sans"/>
          <w:color w:val="132238"/>
          <w:sz w:val="18"/>
        </w:rPr>
        <w:t>Company management creates and activates approved products.</w:t>
      </w:r>
    </w:p>
    <w:p>
      <w:pPr>
        <w:pStyle w:val="ListNumber"/>
        <w:spacing w:after="40" w:line="245" w:lineRule="auto"/>
        <w:ind w:left="317" w:hanging="173"/>
      </w:pPr>
      <w:r>
        <w:rPr>
          <w:rFonts w:ascii="DejaVu Sans" w:hAnsi="DejaVu Sans"/>
          <w:color w:val="132238"/>
          <w:sz w:val="18"/>
        </w:rPr>
        <w:t>Borrower creates a request with amount, term, purpose and consent.</w:t>
      </w:r>
    </w:p>
    <w:p>
      <w:pPr>
        <w:pStyle w:val="ListNumber"/>
        <w:spacing w:after="40" w:line="245" w:lineRule="auto"/>
        <w:ind w:left="317" w:hanging="173"/>
      </w:pPr>
      <w:r>
        <w:rPr>
          <w:rFonts w:ascii="DejaVu Sans" w:hAnsi="DejaVu Sans"/>
          <w:color w:val="132238"/>
          <w:sz w:val="18"/>
        </w:rPr>
        <w:t>LoanHub broadcasts the request to eligible active companies.</w:t>
      </w:r>
    </w:p>
    <w:p>
      <w:pPr>
        <w:pStyle w:val="ListNumber"/>
        <w:spacing w:after="40" w:line="245" w:lineRule="auto"/>
        <w:ind w:left="317" w:hanging="173"/>
      </w:pPr>
      <w:r>
        <w:rPr>
          <w:rFonts w:ascii="DejaVu Sans" w:hAnsi="DejaVu Sans"/>
          <w:color w:val="132238"/>
          <w:sz w:val="18"/>
        </w:rPr>
        <w:t>Loan staff review the redacted request and product fit.</w:t>
      </w:r>
    </w:p>
    <w:p>
      <w:pPr>
        <w:pStyle w:val="ListNumber"/>
        <w:spacing w:after="40" w:line="245" w:lineRule="auto"/>
        <w:ind w:left="317" w:hanging="173"/>
      </w:pPr>
      <w:r>
        <w:rPr>
          <w:rFonts w:ascii="DejaVu Sans" w:hAnsi="DejaVu Sans"/>
          <w:color w:val="132238"/>
          <w:sz w:val="18"/>
        </w:rPr>
        <w:t>The company unlocks full details through subscription or pay-per-request access.</w:t>
      </w:r>
    </w:p>
    <w:p>
      <w:pPr>
        <w:pStyle w:val="ListNumber"/>
        <w:spacing w:after="40" w:line="245" w:lineRule="auto"/>
        <w:ind w:left="317" w:hanging="173"/>
      </w:pPr>
      <w:r>
        <w:rPr>
          <w:rFonts w:ascii="DejaVu Sans" w:hAnsi="DejaVu Sans"/>
          <w:color w:val="132238"/>
          <w:sz w:val="18"/>
        </w:rPr>
        <w:t>Authorised staff prepare one compliant company offer.</w:t>
      </w:r>
    </w:p>
    <w:p>
      <w:pPr>
        <w:spacing w:before="120" w:after="60"/>
      </w:pPr>
      <w:r>
        <w:rPr>
          <w:rFonts w:ascii="DejaVu Sans" w:hAnsi="DejaVu Sans"/>
          <w:b/>
          <w:color w:val="062B55"/>
          <w:sz w:val="26"/>
        </w:rPr>
        <w:t>Important controls</w:t>
      </w:r>
    </w:p>
    <w:p>
      <w:pPr>
        <w:pStyle w:val="ListBullet"/>
        <w:spacing w:after="40" w:line="245" w:lineRule="auto"/>
        <w:ind w:left="317" w:hanging="173"/>
      </w:pPr>
      <w:r>
        <w:rPr>
          <w:rFonts w:ascii="DejaVu Sans" w:hAnsi="DejaVu Sans"/>
          <w:color w:val="132238"/>
          <w:sz w:val="18"/>
        </w:rPr>
        <w:t>Do not expose borrower identity before a valid unlock.</w:t>
      </w:r>
    </w:p>
    <w:p>
      <w:pPr>
        <w:pStyle w:val="ListBullet"/>
        <w:spacing w:after="40" w:line="245" w:lineRule="auto"/>
        <w:ind w:left="317" w:hanging="173"/>
      </w:pPr>
      <w:r>
        <w:rPr>
          <w:rFonts w:ascii="DejaVu Sans" w:hAnsi="DejaVu Sans"/>
          <w:color w:val="132238"/>
          <w:sz w:val="18"/>
        </w:rPr>
        <w:t>Do not pay an unlock fee unless authorised.</w:t>
      </w:r>
    </w:p>
    <w:p>
      <w:pPr>
        <w:pStyle w:val="ListBullet"/>
        <w:spacing w:after="40" w:line="245" w:lineRule="auto"/>
        <w:ind w:left="317" w:hanging="173"/>
      </w:pPr>
      <w:r>
        <w:rPr>
          <w:rFonts w:ascii="DejaVu Sans" w:hAnsi="DejaVu Sans"/>
          <w:color w:val="132238"/>
          <w:sz w:val="18"/>
        </w:rPr>
        <w:t>Use product rules and documented risk policy.</w:t>
      </w:r>
    </w:p>
    <w:p>
      <w:r>
        <w:br w:type="page"/>
      </w:r>
    </w:p>
    <w:p>
      <w:pPr>
        <w:spacing w:after="40"/>
      </w:pPr>
      <w:r>
        <w:rPr>
          <w:rFonts w:ascii="DejaVu Sans" w:hAnsi="DejaVu Sans"/>
          <w:b/>
          <w:color w:val="062B55"/>
          <w:sz w:val="44"/>
        </w:rPr>
        <w:t>29. Offers, selection and loan creation</w:t>
      </w:r>
    </w:p>
    <w:p>
      <w:pPr>
        <w:spacing w:after="200"/>
      </w:pPr>
      <w:r>
        <w:rPr>
          <w:rFonts w:ascii="DejaVu Sans" w:hAnsi="DejaVu Sans"/>
          <w:i/>
          <w:color w:val="5B6573"/>
          <w:sz w:val="21"/>
        </w:rPr>
        <w:t>Move from competition to one selected agreement</w:t>
      </w:r>
    </w:p>
    <w:p>
      <w:pPr>
        <w:spacing w:after="200"/>
      </w:pPr>
      <w:r>
        <w:rPr>
          <w:color w:val="007E8A"/>
          <w:sz w:val="10"/>
        </w:rPr>
        <w:t>━━━━━━━━━━━━━━━━━━━━━━━━━━━━━━━━━━━━━━━━━━━━━━━━━━━━━━━━━━━━━━━━━━━━━━</w:t>
      </w:r>
    </w:p>
    <w:p>
      <w:pPr>
        <w:spacing w:after="100" w:line="252" w:lineRule="auto"/>
      </w:pPr>
      <w:r>
        <w:rPr>
          <w:rFonts w:ascii="DejaVu Sans" w:hAnsi="DejaVu Sans"/>
          <w:color w:val="132238"/>
          <w:sz w:val="19"/>
        </w:rPr>
        <w:t>An offer records amount, interest, term, fees, estimated instalment, total repayment, expiry and conditions.</w:t>
      </w:r>
    </w:p>
    <w:p>
      <w:pPr>
        <w:spacing w:before="120" w:after="60"/>
      </w:pPr>
      <w:r>
        <w:rPr>
          <w:rFonts w:ascii="DejaVu Sans" w:hAnsi="DejaVu Sans"/>
          <w:b/>
          <w:color w:val="062B55"/>
          <w:sz w:val="26"/>
        </w:rPr>
        <w:t>Workflow</w:t>
      </w:r>
    </w:p>
    <w:p>
      <w:pPr>
        <w:pStyle w:val="ListNumber"/>
        <w:spacing w:after="40" w:line="245" w:lineRule="auto"/>
        <w:ind w:left="317" w:hanging="173"/>
      </w:pPr>
      <w:r>
        <w:rPr>
          <w:rFonts w:ascii="DejaVu Sans" w:hAnsi="DejaVu Sans"/>
          <w:color w:val="132238"/>
          <w:sz w:val="18"/>
        </w:rPr>
        <w:t>Borrower opens the request and compares all active offers.</w:t>
      </w:r>
    </w:p>
    <w:p>
      <w:pPr>
        <w:pStyle w:val="ListNumber"/>
        <w:spacing w:after="40" w:line="245" w:lineRule="auto"/>
        <w:ind w:left="317" w:hanging="173"/>
      </w:pPr>
      <w:r>
        <w:rPr>
          <w:rFonts w:ascii="DejaVu Sans" w:hAnsi="DejaVu Sans"/>
          <w:color w:val="132238"/>
          <w:sz w:val="18"/>
        </w:rPr>
        <w:t>Review total repayment and conditions, not only the instalment.</w:t>
      </w:r>
    </w:p>
    <w:p>
      <w:pPr>
        <w:pStyle w:val="ListNumber"/>
        <w:spacing w:after="40" w:line="245" w:lineRule="auto"/>
        <w:ind w:left="317" w:hanging="173"/>
      </w:pPr>
      <w:r>
        <w:rPr>
          <w:rFonts w:ascii="DejaVu Sans" w:hAnsi="DejaVu Sans"/>
          <w:color w:val="132238"/>
          <w:sz w:val="18"/>
        </w:rPr>
        <w:t>Borrower accepts one preferred offer.</w:t>
      </w:r>
    </w:p>
    <w:p>
      <w:pPr>
        <w:pStyle w:val="ListNumber"/>
        <w:spacing w:after="40" w:line="245" w:lineRule="auto"/>
        <w:ind w:left="317" w:hanging="173"/>
      </w:pPr>
      <w:r>
        <w:rPr>
          <w:rFonts w:ascii="DejaVu Sans" w:hAnsi="DejaVu Sans"/>
          <w:color w:val="132238"/>
          <w:sz w:val="18"/>
        </w:rPr>
        <w:t>LoanHub locks the selection within a transaction.</w:t>
      </w:r>
    </w:p>
    <w:p>
      <w:pPr>
        <w:pStyle w:val="ListNumber"/>
        <w:spacing w:after="40" w:line="245" w:lineRule="auto"/>
        <w:ind w:left="317" w:hanging="173"/>
      </w:pPr>
      <w:r>
        <w:rPr>
          <w:rFonts w:ascii="DejaVu Sans" w:hAnsi="DejaVu Sans"/>
          <w:color w:val="132238"/>
          <w:sz w:val="18"/>
        </w:rPr>
        <w:t>Competing active offers are rejected.</w:t>
      </w:r>
    </w:p>
    <w:p>
      <w:pPr>
        <w:pStyle w:val="ListNumber"/>
        <w:spacing w:after="40" w:line="245" w:lineRule="auto"/>
        <w:ind w:left="317" w:hanging="173"/>
      </w:pPr>
      <w:r>
        <w:rPr>
          <w:rFonts w:ascii="DejaVu Sans" w:hAnsi="DejaVu Sans"/>
          <w:color w:val="132238"/>
          <w:sz w:val="18"/>
        </w:rPr>
        <w:t>The chosen company completes approval and servicing.</w:t>
      </w:r>
    </w:p>
    <w:p>
      <w:pPr>
        <w:spacing w:before="120" w:after="60"/>
      </w:pPr>
      <w:r>
        <w:rPr>
          <w:rFonts w:ascii="DejaVu Sans" w:hAnsi="DejaVu Sans"/>
          <w:b/>
          <w:color w:val="062B55"/>
          <w:sz w:val="26"/>
        </w:rPr>
        <w:t>Important controls</w:t>
      </w:r>
    </w:p>
    <w:p>
      <w:pPr>
        <w:pStyle w:val="ListBullet"/>
        <w:spacing w:after="40" w:line="245" w:lineRule="auto"/>
        <w:ind w:left="317" w:hanging="173"/>
      </w:pPr>
      <w:r>
        <w:rPr>
          <w:rFonts w:ascii="DejaVu Sans" w:hAnsi="DejaVu Sans"/>
          <w:color w:val="132238"/>
          <w:sz w:val="18"/>
        </w:rPr>
        <w:t>One company should have only one active offer per request.</w:t>
      </w:r>
    </w:p>
    <w:p>
      <w:pPr>
        <w:pStyle w:val="ListBullet"/>
        <w:spacing w:after="40" w:line="245" w:lineRule="auto"/>
        <w:ind w:left="317" w:hanging="173"/>
      </w:pPr>
      <w:r>
        <w:rPr>
          <w:rFonts w:ascii="DejaVu Sans" w:hAnsi="DejaVu Sans"/>
          <w:color w:val="132238"/>
          <w:sz w:val="18"/>
        </w:rPr>
        <w:t>Acceptance must be atomic to prevent double selection.</w:t>
      </w:r>
    </w:p>
    <w:p>
      <w:pPr>
        <w:pStyle w:val="ListBullet"/>
        <w:spacing w:after="40" w:line="245" w:lineRule="auto"/>
        <w:ind w:left="317" w:hanging="173"/>
      </w:pPr>
      <w:r>
        <w:rPr>
          <w:rFonts w:ascii="DejaVu Sans" w:hAnsi="DejaVu Sans"/>
          <w:color w:val="132238"/>
          <w:sz w:val="18"/>
        </w:rPr>
        <w:t>The accepted offer and resulting loan remain fully auditable.</w:t>
      </w:r>
    </w:p>
    <w:p>
      <w:r>
        <w:br w:type="page"/>
      </w:r>
    </w:p>
    <w:p>
      <w:pPr>
        <w:spacing w:after="40"/>
      </w:pPr>
      <w:r>
        <w:rPr>
          <w:rFonts w:ascii="DejaVu Sans" w:hAnsi="DejaVu Sans"/>
          <w:b/>
          <w:color w:val="062B55"/>
          <w:sz w:val="44"/>
        </w:rPr>
        <w:t>30. Disbursement and repayment schedules</w:t>
      </w:r>
    </w:p>
    <w:p>
      <w:pPr>
        <w:spacing w:after="200"/>
      </w:pPr>
      <w:r>
        <w:rPr>
          <w:rFonts w:ascii="DejaVu Sans" w:hAnsi="DejaVu Sans"/>
          <w:i/>
          <w:color w:val="5B6573"/>
          <w:sz w:val="21"/>
        </w:rPr>
        <w:t>Move approved value safely and create due dates</w:t>
      </w:r>
    </w:p>
    <w:p>
      <w:pPr>
        <w:spacing w:after="200"/>
      </w:pPr>
      <w:r>
        <w:rPr>
          <w:color w:val="007E8A"/>
          <w:sz w:val="10"/>
        </w:rPr>
        <w:t>━━━━━━━━━━━━━━━━━━━━━━━━━━━━━━━━━━━━━━━━━━━━━━━━━━━━━━━━━━━━━━━━━━━━━━</w:t>
      </w:r>
    </w:p>
    <w:p>
      <w:pPr>
        <w:spacing w:after="100" w:line="252" w:lineRule="auto"/>
      </w:pPr>
      <w:r>
        <w:rPr>
          <w:rFonts w:ascii="DejaVu Sans" w:hAnsi="DejaVu Sans"/>
          <w:color w:val="132238"/>
          <w:sz w:val="19"/>
        </w:rPr>
        <w:t>The selected company verifies the agreement and payment details before creating an outbound disbursement. A successful provider result activates servicing and the repayment schedule.</w:t>
      </w:r>
    </w:p>
    <w:p>
      <w:pPr>
        <w:spacing w:before="120" w:after="60"/>
      </w:pPr>
      <w:r>
        <w:rPr>
          <w:rFonts w:ascii="DejaVu Sans" w:hAnsi="DejaVu Sans"/>
          <w:b/>
          <w:color w:val="062B55"/>
          <w:sz w:val="26"/>
        </w:rPr>
        <w:t>Workflow</w:t>
      </w:r>
    </w:p>
    <w:p>
      <w:pPr>
        <w:pStyle w:val="ListNumber"/>
        <w:spacing w:after="40" w:line="245" w:lineRule="auto"/>
        <w:ind w:left="317" w:hanging="173"/>
      </w:pPr>
      <w:r>
        <w:rPr>
          <w:rFonts w:ascii="DejaVu Sans" w:hAnsi="DejaVu Sans"/>
          <w:color w:val="132238"/>
          <w:sz w:val="18"/>
        </w:rPr>
        <w:t>Verify borrower payee details and authorised amount.</w:t>
      </w:r>
    </w:p>
    <w:p>
      <w:pPr>
        <w:pStyle w:val="ListNumber"/>
        <w:spacing w:after="40" w:line="245" w:lineRule="auto"/>
        <w:ind w:left="317" w:hanging="173"/>
      </w:pPr>
      <w:r>
        <w:rPr>
          <w:rFonts w:ascii="DejaVu Sans" w:hAnsi="DejaVu Sans"/>
          <w:color w:val="132238"/>
          <w:sz w:val="18"/>
        </w:rPr>
        <w:t>Initiate the approved provider transaction.</w:t>
      </w:r>
    </w:p>
    <w:p>
      <w:pPr>
        <w:pStyle w:val="ListNumber"/>
        <w:spacing w:after="40" w:line="245" w:lineRule="auto"/>
        <w:ind w:left="317" w:hanging="173"/>
      </w:pPr>
      <w:r>
        <w:rPr>
          <w:rFonts w:ascii="DejaVu Sans" w:hAnsi="DejaVu Sans"/>
          <w:color w:val="132238"/>
          <w:sz w:val="18"/>
        </w:rPr>
        <w:t>Wait for verified success or approved mock completion in development.</w:t>
      </w:r>
    </w:p>
    <w:p>
      <w:pPr>
        <w:pStyle w:val="ListNumber"/>
        <w:spacing w:after="40" w:line="245" w:lineRule="auto"/>
        <w:ind w:left="317" w:hanging="173"/>
      </w:pPr>
      <w:r>
        <w:rPr>
          <w:rFonts w:ascii="DejaVu Sans" w:hAnsi="DejaVu Sans"/>
          <w:color w:val="132238"/>
          <w:sz w:val="18"/>
        </w:rPr>
        <w:t>Create the schedule according to product/offer terms.</w:t>
      </w:r>
    </w:p>
    <w:p>
      <w:pPr>
        <w:pStyle w:val="ListNumber"/>
        <w:spacing w:after="40" w:line="245" w:lineRule="auto"/>
        <w:ind w:left="317" w:hanging="173"/>
      </w:pPr>
      <w:r>
        <w:rPr>
          <w:rFonts w:ascii="DejaVu Sans" w:hAnsi="DejaVu Sans"/>
          <w:color w:val="132238"/>
          <w:sz w:val="18"/>
        </w:rPr>
        <w:t>Review first due date, instalments and maturity.</w:t>
      </w:r>
    </w:p>
    <w:p>
      <w:pPr>
        <w:pStyle w:val="ListNumber"/>
        <w:spacing w:after="40" w:line="245" w:lineRule="auto"/>
        <w:ind w:left="317" w:hanging="173"/>
      </w:pPr>
      <w:r>
        <w:rPr>
          <w:rFonts w:ascii="DejaVu Sans" w:hAnsi="DejaVu Sans"/>
          <w:color w:val="132238"/>
          <w:sz w:val="18"/>
        </w:rPr>
        <w:t>Notify borrower and relevant company roles.</w:t>
      </w:r>
    </w:p>
    <w:p>
      <w:pPr>
        <w:spacing w:before="120" w:after="60"/>
      </w:pPr>
      <w:r>
        <w:rPr>
          <w:rFonts w:ascii="DejaVu Sans" w:hAnsi="DejaVu Sans"/>
          <w:b/>
          <w:color w:val="062B55"/>
          <w:sz w:val="26"/>
        </w:rPr>
        <w:t>Important controls</w:t>
      </w:r>
    </w:p>
    <w:p>
      <w:pPr>
        <w:pStyle w:val="ListBullet"/>
        <w:spacing w:after="40" w:line="245" w:lineRule="auto"/>
        <w:ind w:left="317" w:hanging="173"/>
      </w:pPr>
      <w:r>
        <w:rPr>
          <w:rFonts w:ascii="DejaVu Sans" w:hAnsi="DejaVu Sans"/>
          <w:color w:val="132238"/>
          <w:sz w:val="18"/>
        </w:rPr>
        <w:t>A pending transaction is not settlement.</w:t>
      </w:r>
    </w:p>
    <w:p>
      <w:pPr>
        <w:pStyle w:val="ListBullet"/>
        <w:spacing w:after="40" w:line="245" w:lineRule="auto"/>
        <w:ind w:left="317" w:hanging="173"/>
      </w:pPr>
      <w:r>
        <w:rPr>
          <w:rFonts w:ascii="DejaVu Sans" w:hAnsi="DejaVu Sans"/>
          <w:color w:val="132238"/>
          <w:sz w:val="18"/>
        </w:rPr>
        <w:t>Live M-Pesa/EcoCash requires official callback authentication, status enquiry and reconciliation.</w:t>
      </w:r>
    </w:p>
    <w:p>
      <w:pPr>
        <w:pStyle w:val="ListBullet"/>
        <w:spacing w:after="40" w:line="245" w:lineRule="auto"/>
        <w:ind w:left="317" w:hanging="173"/>
      </w:pPr>
      <w:r>
        <w:rPr>
          <w:rFonts w:ascii="DejaVu Sans" w:hAnsi="DejaVu Sans"/>
          <w:color w:val="132238"/>
          <w:sz w:val="18"/>
        </w:rPr>
        <w:t>Schedule generation is grouped in the inbox but detailed in the audit trail.</w:t>
      </w:r>
    </w:p>
    <w:p>
      <w:r>
        <w:br w:type="page"/>
      </w:r>
    </w:p>
    <w:p>
      <w:pPr>
        <w:spacing w:after="40"/>
      </w:pPr>
      <w:r>
        <w:rPr>
          <w:rFonts w:ascii="DejaVu Sans" w:hAnsi="DejaVu Sans"/>
          <w:b/>
          <w:color w:val="062B55"/>
          <w:sz w:val="44"/>
        </w:rPr>
        <w:t>31. Repayments, allocations and collections</w:t>
      </w:r>
    </w:p>
    <w:p>
      <w:pPr>
        <w:spacing w:after="200"/>
      </w:pPr>
      <w:r>
        <w:rPr>
          <w:rFonts w:ascii="DejaVu Sans" w:hAnsi="DejaVu Sans"/>
          <w:i/>
          <w:color w:val="5B6573"/>
          <w:sz w:val="21"/>
        </w:rPr>
        <w:t>Apply money to the correct loan and instalment</w:t>
      </w:r>
    </w:p>
    <w:p>
      <w:pPr>
        <w:spacing w:after="200"/>
      </w:pPr>
      <w:r>
        <w:rPr>
          <w:color w:val="007E8A"/>
          <w:sz w:val="10"/>
        </w:rPr>
        <w:t>━━━━━━━━━━━━━━━━━━━━━━━━━━━━━━━━━━━━━━━━━━━━━━━━━━━━━━━━━━━━━━━━━━━━━━</w:t>
      </w:r>
    </w:p>
    <w:p>
      <w:pPr>
        <w:spacing w:after="100" w:line="252" w:lineRule="auto"/>
      </w:pPr>
      <w:r>
        <w:rPr>
          <w:rFonts w:ascii="DejaVu Sans" w:hAnsi="DejaVu Sans"/>
          <w:color w:val="132238"/>
          <w:sz w:val="19"/>
        </w:rPr>
        <w:t>Repayment creates an inbound transaction. After verified success, the amount is allocated to instalments, paid values and balance are updated, and accounting hooks can create the related journal evidence.</w:t>
      </w:r>
    </w:p>
    <w:p>
      <w:pPr>
        <w:spacing w:before="120" w:after="60"/>
      </w:pPr>
      <w:r>
        <w:rPr>
          <w:rFonts w:ascii="DejaVu Sans" w:hAnsi="DejaVu Sans"/>
          <w:b/>
          <w:color w:val="062B55"/>
          <w:sz w:val="26"/>
        </w:rPr>
        <w:t>Workflow</w:t>
      </w:r>
    </w:p>
    <w:p>
      <w:pPr>
        <w:pStyle w:val="ListNumber"/>
        <w:spacing w:after="40" w:line="245" w:lineRule="auto"/>
        <w:ind w:left="317" w:hanging="173"/>
      </w:pPr>
      <w:r>
        <w:rPr>
          <w:rFonts w:ascii="DejaVu Sans" w:hAnsi="DejaVu Sans"/>
          <w:color w:val="132238"/>
          <w:sz w:val="18"/>
        </w:rPr>
        <w:t>Borrower or authorised staff initiates repayment.</w:t>
      </w:r>
    </w:p>
    <w:p>
      <w:pPr>
        <w:pStyle w:val="ListNumber"/>
        <w:spacing w:after="40" w:line="245" w:lineRule="auto"/>
        <w:ind w:left="317" w:hanging="173"/>
      </w:pPr>
      <w:r>
        <w:rPr>
          <w:rFonts w:ascii="DejaVu Sans" w:hAnsi="DejaVu Sans"/>
          <w:color w:val="132238"/>
          <w:sz w:val="18"/>
        </w:rPr>
        <w:t>Provider confirms success or approved mock mode completes.</w:t>
      </w:r>
    </w:p>
    <w:p>
      <w:pPr>
        <w:pStyle w:val="ListNumber"/>
        <w:spacing w:after="40" w:line="245" w:lineRule="auto"/>
        <w:ind w:left="317" w:hanging="173"/>
      </w:pPr>
      <w:r>
        <w:rPr>
          <w:rFonts w:ascii="DejaVu Sans" w:hAnsi="DejaVu Sans"/>
          <w:color w:val="132238"/>
          <w:sz w:val="18"/>
        </w:rPr>
        <w:t>Allocate payment to due instalments according to the servicing rule.</w:t>
      </w:r>
    </w:p>
    <w:p>
      <w:pPr>
        <w:pStyle w:val="ListNumber"/>
        <w:spacing w:after="40" w:line="245" w:lineRule="auto"/>
        <w:ind w:left="317" w:hanging="173"/>
      </w:pPr>
      <w:r>
        <w:rPr>
          <w:rFonts w:ascii="DejaVu Sans" w:hAnsi="DejaVu Sans"/>
          <w:color w:val="132238"/>
          <w:sz w:val="18"/>
        </w:rPr>
        <w:t>Update amount paid, balance and loan status.</w:t>
      </w:r>
    </w:p>
    <w:p>
      <w:pPr>
        <w:pStyle w:val="ListNumber"/>
        <w:spacing w:after="40" w:line="245" w:lineRule="auto"/>
        <w:ind w:left="317" w:hanging="173"/>
      </w:pPr>
      <w:r>
        <w:rPr>
          <w:rFonts w:ascii="DejaVu Sans" w:hAnsi="DejaVu Sans"/>
          <w:color w:val="132238"/>
          <w:sz w:val="18"/>
        </w:rPr>
        <w:t>Reconcile payment, allocation and accounting entry.</w:t>
      </w:r>
    </w:p>
    <w:p>
      <w:pPr>
        <w:pStyle w:val="ListNumber"/>
        <w:spacing w:after="40" w:line="245" w:lineRule="auto"/>
        <w:ind w:left="317" w:hanging="173"/>
      </w:pPr>
      <w:r>
        <w:rPr>
          <w:rFonts w:ascii="DejaVu Sans" w:hAnsi="DejaVu Sans"/>
          <w:color w:val="132238"/>
          <w:sz w:val="18"/>
        </w:rPr>
        <w:t>Collections verifies history before follow-up on overdue items.</w:t>
      </w:r>
    </w:p>
    <w:p>
      <w:pPr>
        <w:spacing w:before="120" w:after="60"/>
      </w:pPr>
      <w:r>
        <w:rPr>
          <w:rFonts w:ascii="DejaVu Sans" w:hAnsi="DejaVu Sans"/>
          <w:b/>
          <w:color w:val="062B55"/>
          <w:sz w:val="26"/>
        </w:rPr>
        <w:t>Important controls</w:t>
      </w:r>
    </w:p>
    <w:p>
      <w:pPr>
        <w:pStyle w:val="ListBullet"/>
        <w:spacing w:after="40" w:line="245" w:lineRule="auto"/>
        <w:ind w:left="317" w:hanging="173"/>
      </w:pPr>
      <w:r>
        <w:rPr>
          <w:rFonts w:ascii="DejaVu Sans" w:hAnsi="DejaVu Sans"/>
          <w:color w:val="132238"/>
          <w:sz w:val="18"/>
        </w:rPr>
        <w:t>Use idempotency keys to prevent duplicate payment creation.</w:t>
      </w:r>
    </w:p>
    <w:p>
      <w:pPr>
        <w:pStyle w:val="ListBullet"/>
        <w:spacing w:after="40" w:line="245" w:lineRule="auto"/>
        <w:ind w:left="317" w:hanging="173"/>
      </w:pPr>
      <w:r>
        <w:rPr>
          <w:rFonts w:ascii="DejaVu Sans" w:hAnsi="DejaVu Sans"/>
          <w:color w:val="132238"/>
          <w:sz w:val="18"/>
        </w:rPr>
        <w:t>Never delete reversals or failed-payment evidence.</w:t>
      </w:r>
    </w:p>
    <w:p>
      <w:pPr>
        <w:pStyle w:val="ListBullet"/>
        <w:spacing w:after="40" w:line="245" w:lineRule="auto"/>
        <w:ind w:left="317" w:hanging="173"/>
      </w:pPr>
      <w:r>
        <w:rPr>
          <w:rFonts w:ascii="DejaVu Sans" w:hAnsi="DejaVu Sans"/>
          <w:color w:val="132238"/>
          <w:sz w:val="18"/>
        </w:rPr>
        <w:t>Record borrower disputes and promises transparently.</w:t>
      </w:r>
    </w:p>
    <w:p>
      <w:r>
        <w:br w:type="page"/>
      </w:r>
    </w:p>
    <w:p>
      <w:pPr>
        <w:spacing w:after="40"/>
      </w:pPr>
      <w:r>
        <w:rPr>
          <w:rFonts w:ascii="DejaVu Sans" w:hAnsi="DejaVu Sans"/>
          <w:b/>
          <w:color w:val="062B55"/>
          <w:sz w:val="44"/>
        </w:rPr>
        <w:t>32. Billing, subscriptions and plan controls</w:t>
      </w:r>
    </w:p>
    <w:p>
      <w:pPr>
        <w:spacing w:after="200"/>
      </w:pPr>
      <w:r>
        <w:rPr>
          <w:rFonts w:ascii="DejaVu Sans" w:hAnsi="DejaVu Sans"/>
          <w:i/>
          <w:color w:val="5B6573"/>
          <w:sz w:val="21"/>
        </w:rPr>
        <w:t>Configure how companies pay for LoanHub</w:t>
      </w:r>
    </w:p>
    <w:p>
      <w:pPr>
        <w:spacing w:after="200"/>
      </w:pPr>
      <w:r>
        <w:rPr>
          <w:color w:val="007E8A"/>
          <w:sz w:val="10"/>
        </w:rPr>
        <w:t>━━━━━━━━━━━━━━━━━━━━━━━━━━━━━━━━━━━━━━━━━━━━━━━━━━━━━━━━━━━━━━━━━━━━━━</w:t>
      </w:r>
    </w:p>
    <w:p>
      <w:pPr>
        <w:spacing w:after="100" w:line="252" w:lineRule="auto"/>
      </w:pPr>
      <w:r>
        <w:rPr>
          <w:rFonts w:ascii="DejaVu Sans" w:hAnsi="DejaVu Sans"/>
          <w:color w:val="132238"/>
          <w:sz w:val="19"/>
        </w:rPr>
        <w:t>The platform owner manually controls plan price, annual price, unlock fee, transaction percentage, limits, feature flags, visibility and active status.</w:t>
      </w:r>
    </w:p>
    <w:p>
      <w:pPr>
        <w:spacing w:before="120" w:after="60"/>
      </w:pPr>
      <w:r>
        <w:rPr>
          <w:rFonts w:ascii="DejaVu Sans" w:hAnsi="DejaVu Sans"/>
          <w:b/>
          <w:color w:val="062B55"/>
          <w:sz w:val="26"/>
        </w:rPr>
        <w:t>Workflow</w:t>
      </w:r>
    </w:p>
    <w:p>
      <w:pPr>
        <w:pStyle w:val="ListNumber"/>
        <w:spacing w:after="40" w:line="245" w:lineRule="auto"/>
        <w:ind w:left="317" w:hanging="173"/>
      </w:pPr>
      <w:r>
        <w:rPr>
          <w:rFonts w:ascii="DejaVu Sans" w:hAnsi="DejaVu Sans"/>
          <w:color w:val="132238"/>
          <w:sz w:val="18"/>
        </w:rPr>
        <w:t>Platform owner creates or edits a plan.</w:t>
      </w:r>
    </w:p>
    <w:p>
      <w:pPr>
        <w:pStyle w:val="ListNumber"/>
        <w:spacing w:after="40" w:line="245" w:lineRule="auto"/>
        <w:ind w:left="317" w:hanging="173"/>
      </w:pPr>
      <w:r>
        <w:rPr>
          <w:rFonts w:ascii="DejaVu Sans" w:hAnsi="DejaVu Sans"/>
          <w:color w:val="132238"/>
          <w:sz w:val="18"/>
        </w:rPr>
        <w:t>Company owner selects monthly, annual or pay-per-transaction cycle.</w:t>
      </w:r>
    </w:p>
    <w:p>
      <w:pPr>
        <w:pStyle w:val="ListNumber"/>
        <w:spacing w:after="40" w:line="245" w:lineRule="auto"/>
        <w:ind w:left="317" w:hanging="173"/>
      </w:pPr>
      <w:r>
        <w:rPr>
          <w:rFonts w:ascii="DejaVu Sans" w:hAnsi="DejaVu Sans"/>
          <w:color w:val="132238"/>
          <w:sz w:val="18"/>
        </w:rPr>
        <w:t>A zero-price plan activates without a useless payment record.</w:t>
      </w:r>
    </w:p>
    <w:p>
      <w:pPr>
        <w:pStyle w:val="ListNumber"/>
        <w:spacing w:after="40" w:line="245" w:lineRule="auto"/>
        <w:ind w:left="317" w:hanging="173"/>
      </w:pPr>
      <w:r>
        <w:rPr>
          <w:rFonts w:ascii="DejaVu Sans" w:hAnsi="DejaVu Sans"/>
          <w:color w:val="132238"/>
          <w:sz w:val="18"/>
        </w:rPr>
        <w:t>A paid plan creates a payment and remains pending until confirmed.</w:t>
      </w:r>
    </w:p>
    <w:p>
      <w:pPr>
        <w:pStyle w:val="ListNumber"/>
        <w:spacing w:after="40" w:line="245" w:lineRule="auto"/>
        <w:ind w:left="317" w:hanging="173"/>
      </w:pPr>
      <w:r>
        <w:rPr>
          <w:rFonts w:ascii="DejaVu Sans" w:hAnsi="DejaVu Sans"/>
          <w:color w:val="132238"/>
          <w:sz w:val="18"/>
        </w:rPr>
        <w:t>After activation, other active subscriptions are cancelled.</w:t>
      </w:r>
    </w:p>
    <w:p>
      <w:pPr>
        <w:pStyle w:val="ListNumber"/>
        <w:spacing w:after="40" w:line="245" w:lineRule="auto"/>
        <w:ind w:left="317" w:hanging="173"/>
      </w:pPr>
      <w:r>
        <w:rPr>
          <w:rFonts w:ascii="DejaVu Sans" w:hAnsi="DejaVu Sans"/>
          <w:color w:val="132238"/>
          <w:sz w:val="18"/>
        </w:rPr>
        <w:t>Maintenance expires subscriptions at the correct local date.</w:t>
      </w:r>
    </w:p>
    <w:p>
      <w:pPr>
        <w:spacing w:before="120" w:after="60"/>
      </w:pPr>
      <w:r>
        <w:rPr>
          <w:rFonts w:ascii="DejaVu Sans" w:hAnsi="DejaVu Sans"/>
          <w:b/>
          <w:color w:val="062B55"/>
          <w:sz w:val="26"/>
        </w:rPr>
        <w:t>Important controls</w:t>
      </w:r>
    </w:p>
    <w:p>
      <w:pPr>
        <w:pStyle w:val="ListBullet"/>
        <w:spacing w:after="40" w:line="245" w:lineRule="auto"/>
        <w:ind w:left="317" w:hanging="173"/>
      </w:pPr>
      <w:r>
        <w:rPr>
          <w:rFonts w:ascii="DejaVu Sans" w:hAnsi="DejaVu Sans"/>
          <w:color w:val="132238"/>
          <w:sz w:val="18"/>
        </w:rPr>
        <w:t>STARTER remains the fallback code but its commercial values are editable.</w:t>
      </w:r>
    </w:p>
    <w:p>
      <w:pPr>
        <w:pStyle w:val="ListBullet"/>
        <w:spacing w:after="40" w:line="245" w:lineRule="auto"/>
        <w:ind w:left="317" w:hanging="173"/>
      </w:pPr>
      <w:r>
        <w:rPr>
          <w:rFonts w:ascii="DejaVu Sans" w:hAnsi="DejaVu Sans"/>
          <w:color w:val="132238"/>
          <w:sz w:val="18"/>
        </w:rPr>
        <w:t>LoanHub transaction fees are separate from provider charges.</w:t>
      </w:r>
    </w:p>
    <w:p>
      <w:pPr>
        <w:pStyle w:val="ListBullet"/>
        <w:spacing w:after="40" w:line="245" w:lineRule="auto"/>
        <w:ind w:left="317" w:hanging="173"/>
      </w:pPr>
      <w:r>
        <w:rPr>
          <w:rFonts w:ascii="DejaVu Sans" w:hAnsi="DejaVu Sans"/>
          <w:color w:val="132238"/>
          <w:sz w:val="18"/>
        </w:rPr>
        <w:t>Used plans should be made private/inactive rather than deleted.</w:t>
      </w:r>
    </w:p>
    <w:p>
      <w:pPr>
        <w:spacing w:before="120" w:after="60"/>
      </w:pPr>
      <w:r>
        <w:rPr>
          <w:rFonts w:ascii="DejaVu Sans" w:hAnsi="DejaVu Sans"/>
          <w:b/>
          <w:color w:val="062B55"/>
          <w:sz w:val="26"/>
        </w:rPr>
        <w:t>Billing options</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2880"/>
            <w:vAlign w:val="center"/>
            <w:shd w:fill="062B55"/>
          </w:tcPr>
          <w:p>
            <w:pPr>
              <w:spacing w:after="0"/>
            </w:pPr>
            <w:r/>
            <w:r>
              <w:rPr>
                <w:rFonts w:ascii="DejaVu Sans" w:hAnsi="DejaVu Sans"/>
                <w:b/>
                <w:color w:val="FFFFFF"/>
                <w:sz w:val="17"/>
              </w:rPr>
              <w:t>Option</w:t>
            </w:r>
          </w:p>
        </w:tc>
        <w:tc>
          <w:tcPr>
            <w:tcW w:type="dxa" w:w="6480"/>
            <w:vAlign w:val="center"/>
            <w:shd w:fill="062B55"/>
          </w:tcPr>
          <w:p>
            <w:pPr>
              <w:spacing w:after="0"/>
            </w:pPr>
            <w:r/>
            <w:r>
              <w:rPr>
                <w:rFonts w:ascii="DejaVu Sans" w:hAnsi="DejaVu Sans"/>
                <w:b/>
                <w:color w:val="FFFFFF"/>
                <w:sz w:val="17"/>
              </w:rPr>
              <w:t>Behaviour</w:t>
            </w:r>
          </w:p>
        </w:tc>
      </w:tr>
      <w:tr>
        <w:tc>
          <w:tcPr>
            <w:tcW w:type="dxa" w:w="288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7"/>
              </w:rPr>
              <w:t>Monthly</w:t>
            </w:r>
          </w:p>
        </w:tc>
        <w:tc>
          <w:tcPr>
            <w:tcW w:type="dxa" w:w="648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7"/>
              </w:rPr>
              <w:t>Configured monthly price and term</w:t>
            </w:r>
          </w:p>
        </w:tc>
      </w:tr>
      <w:tr>
        <w:tc>
          <w:tcPr>
            <w:tcW w:type="dxa" w:w="288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7"/>
              </w:rPr>
              <w:t>Annual</w:t>
            </w:r>
          </w:p>
        </w:tc>
        <w:tc>
          <w:tcPr>
            <w:tcW w:type="dxa" w:w="648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7"/>
              </w:rPr>
              <w:t>Configured annual price and annual term</w:t>
            </w:r>
          </w:p>
        </w:tc>
      </w:tr>
      <w:tr>
        <w:tc>
          <w:tcPr>
            <w:tcW w:type="dxa" w:w="288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7"/>
              </w:rPr>
              <w:t>Pay per request</w:t>
            </w:r>
          </w:p>
        </w:tc>
        <w:tc>
          <w:tcPr>
            <w:tcW w:type="dxa" w:w="648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7"/>
              </w:rPr>
              <w:t>Configured marketplace unlock fee</w:t>
            </w:r>
          </w:p>
        </w:tc>
      </w:tr>
      <w:tr>
        <w:tc>
          <w:tcPr>
            <w:tcW w:type="dxa" w:w="288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7"/>
              </w:rPr>
              <w:t>Transaction fee</w:t>
            </w:r>
          </w:p>
        </w:tc>
        <w:tc>
          <w:tcPr>
            <w:tcW w:type="dxa" w:w="648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7"/>
              </w:rPr>
              <w:t>Platform percentage under the commercial model</w:t>
            </w:r>
          </w:p>
        </w:tc>
      </w:tr>
    </w:tbl>
    <w:p>
      <w:pPr>
        <w:spacing w:after="0"/>
      </w:pPr>
    </w:p>
    <w:p>
      <w:r>
        <w:br w:type="page"/>
      </w:r>
    </w:p>
    <w:p>
      <w:pPr>
        <w:spacing w:after="40"/>
      </w:pPr>
      <w:r>
        <w:rPr>
          <w:rFonts w:ascii="DejaVu Sans" w:hAnsi="DejaVu Sans"/>
          <w:b/>
          <w:color w:val="062B55"/>
          <w:sz w:val="44"/>
        </w:rPr>
        <w:t>33. WhatsApp-style platform chat</w:t>
      </w:r>
    </w:p>
    <w:p>
      <w:pPr>
        <w:spacing w:after="200"/>
      </w:pPr>
      <w:r>
        <w:rPr>
          <w:rFonts w:ascii="DejaVu Sans" w:hAnsi="DejaVu Sans"/>
          <w:i/>
          <w:color w:val="5B6573"/>
          <w:sz w:val="21"/>
        </w:rPr>
        <w:t>Communicate across authorised platform relationships</w:t>
      </w:r>
    </w:p>
    <w:p>
      <w:pPr>
        <w:spacing w:after="200"/>
      </w:pPr>
      <w:r>
        <w:rPr>
          <w:color w:val="007E8A"/>
          <w:sz w:val="10"/>
        </w:rPr>
        <w:t>━━━━━━━━━━━━━━━━━━━━━━━━━━━━━━━━━━━━━━━━━━━━━━━━━━━━━━━━━━━━━━━━━━━━━━</w:t>
      </w:r>
    </w:p>
    <w:p>
      <w:pPr>
        <w:spacing w:after="100" w:line="252" w:lineRule="auto"/>
      </w:pPr>
      <w:r>
        <w:rPr>
          <w:rFonts w:ascii="DejaVu Sans" w:hAnsi="DejaVu Sans"/>
          <w:color w:val="132238"/>
          <w:sz w:val="19"/>
        </w:rPr>
        <w:t>LoanHub chat provides direct and group conversations inside the platform. It is not Meta WhatsApp. Directory results are filtered by role, tenant relationship and active membership.</w:t>
      </w:r>
    </w:p>
    <w:p>
      <w:pPr>
        <w:spacing w:before="120" w:after="60"/>
      </w:pPr>
      <w:r>
        <w:rPr>
          <w:rFonts w:ascii="DejaVu Sans" w:hAnsi="DejaVu Sans"/>
          <w:b/>
          <w:color w:val="062B55"/>
          <w:sz w:val="26"/>
        </w:rPr>
        <w:t>Workflow</w:t>
      </w:r>
    </w:p>
    <w:p>
      <w:pPr>
        <w:pStyle w:val="ListNumber"/>
        <w:spacing w:after="40" w:line="245" w:lineRule="auto"/>
        <w:ind w:left="317" w:hanging="173"/>
      </w:pPr>
      <w:r>
        <w:rPr>
          <w:rFonts w:ascii="DejaVu Sans" w:hAnsi="DejaVu Sans"/>
          <w:color w:val="132238"/>
          <w:sz w:val="18"/>
        </w:rPr>
        <w:t>Open Chat or the floating chat button.</w:t>
      </w:r>
    </w:p>
    <w:p>
      <w:pPr>
        <w:pStyle w:val="ListNumber"/>
        <w:spacing w:after="40" w:line="245" w:lineRule="auto"/>
        <w:ind w:left="317" w:hanging="173"/>
      </w:pPr>
      <w:r>
        <w:rPr>
          <w:rFonts w:ascii="DejaVu Sans" w:hAnsi="DejaVu Sans"/>
          <w:color w:val="132238"/>
          <w:sz w:val="18"/>
        </w:rPr>
        <w:t>Create a direct chat with one authorised user or a group with several users.</w:t>
      </w:r>
    </w:p>
    <w:p>
      <w:pPr>
        <w:pStyle w:val="ListNumber"/>
        <w:spacing w:after="40" w:line="245" w:lineRule="auto"/>
        <w:ind w:left="317" w:hanging="173"/>
      </w:pPr>
      <w:r>
        <w:rPr>
          <w:rFonts w:ascii="DejaVu Sans" w:hAnsi="DejaVu Sans"/>
          <w:color w:val="132238"/>
          <w:sz w:val="18"/>
        </w:rPr>
        <w:t>Send text, PDFs, images, office files or voice notes.</w:t>
      </w:r>
    </w:p>
    <w:p>
      <w:pPr>
        <w:pStyle w:val="ListNumber"/>
        <w:spacing w:after="40" w:line="245" w:lineRule="auto"/>
        <w:ind w:left="317" w:hanging="173"/>
      </w:pPr>
      <w:r>
        <w:rPr>
          <w:rFonts w:ascii="DejaVu Sans" w:hAnsi="DejaVu Sans"/>
          <w:color w:val="132238"/>
          <w:sz w:val="18"/>
        </w:rPr>
        <w:t>Watch online/offline and last-seen status.</w:t>
      </w:r>
    </w:p>
    <w:p>
      <w:pPr>
        <w:pStyle w:val="ListNumber"/>
        <w:spacing w:after="40" w:line="245" w:lineRule="auto"/>
        <w:ind w:left="317" w:hanging="173"/>
      </w:pPr>
      <w:r>
        <w:rPr>
          <w:rFonts w:ascii="DejaVu Sans" w:hAnsi="DejaVu Sans"/>
          <w:color w:val="132238"/>
          <w:sz w:val="18"/>
        </w:rPr>
        <w:t>Use typing and read indicators to coordinate.</w:t>
      </w:r>
    </w:p>
    <w:p>
      <w:pPr>
        <w:pStyle w:val="ListNumber"/>
        <w:spacing w:after="40" w:line="245" w:lineRule="auto"/>
        <w:ind w:left="317" w:hanging="173"/>
      </w:pPr>
      <w:r>
        <w:rPr>
          <w:rFonts w:ascii="DejaVu Sans" w:hAnsi="DejaVu Sans"/>
          <w:color w:val="132238"/>
          <w:sz w:val="18"/>
        </w:rPr>
        <w:t>Open shared attachments through authenticated file downloads.</w:t>
      </w:r>
    </w:p>
    <w:p>
      <w:pPr>
        <w:spacing w:before="120" w:after="60"/>
      </w:pPr>
      <w:r>
        <w:rPr>
          <w:rFonts w:ascii="DejaVu Sans" w:hAnsi="DejaVu Sans"/>
          <w:b/>
          <w:color w:val="062B55"/>
          <w:sz w:val="26"/>
        </w:rPr>
        <w:t>Important controls</w:t>
      </w:r>
    </w:p>
    <w:p>
      <w:pPr>
        <w:pStyle w:val="ListBullet"/>
        <w:spacing w:after="40" w:line="245" w:lineRule="auto"/>
        <w:ind w:left="317" w:hanging="173"/>
      </w:pPr>
      <w:r>
        <w:rPr>
          <w:rFonts w:ascii="DejaVu Sans" w:hAnsi="DejaVu Sans"/>
          <w:color w:val="132238"/>
          <w:sz w:val="18"/>
        </w:rPr>
        <w:t>Borrowers can contact relevant lenders and platform support, not unrelated companies.</w:t>
      </w:r>
    </w:p>
    <w:p>
      <w:pPr>
        <w:pStyle w:val="ListBullet"/>
        <w:spacing w:after="40" w:line="245" w:lineRule="auto"/>
        <w:ind w:left="317" w:hanging="173"/>
      </w:pPr>
      <w:r>
        <w:rPr>
          <w:rFonts w:ascii="DejaVu Sans" w:hAnsi="DejaVu Sans"/>
          <w:color w:val="132238"/>
          <w:sz w:val="18"/>
        </w:rPr>
        <w:t>Do not share passwords, PINs or private keys.</w:t>
      </w:r>
    </w:p>
    <w:p>
      <w:pPr>
        <w:pStyle w:val="ListBullet"/>
        <w:spacing w:after="40" w:line="245" w:lineRule="auto"/>
        <w:ind w:left="317" w:hanging="173"/>
      </w:pPr>
      <w:r>
        <w:rPr>
          <w:rFonts w:ascii="DejaVu Sans" w:hAnsi="DejaVu Sans"/>
          <w:color w:val="132238"/>
          <w:sz w:val="18"/>
        </w:rPr>
        <w:t>Sensitive borrower or HR information belongs in a direct conversation.</w:t>
      </w:r>
    </w:p>
    <w:p>
      <w:r>
        <w:br w:type="page"/>
      </w:r>
    </w:p>
    <w:p>
      <w:pPr>
        <w:spacing w:after="40"/>
      </w:pPr>
      <w:r>
        <w:rPr>
          <w:rFonts w:ascii="DejaVu Sans" w:hAnsi="DejaVu Sans"/>
          <w:b/>
          <w:color w:val="062B55"/>
          <w:sz w:val="44"/>
        </w:rPr>
        <w:t>34. Chat presence, voice notes and encryption</w:t>
      </w:r>
    </w:p>
    <w:p>
      <w:pPr>
        <w:spacing w:after="200"/>
      </w:pPr>
      <w:r>
        <w:rPr>
          <w:rFonts w:ascii="DejaVu Sans" w:hAnsi="DejaVu Sans"/>
          <w:i/>
          <w:color w:val="5B6573"/>
          <w:sz w:val="21"/>
        </w:rPr>
        <w:t>Understand what is protected and how presence works</w:t>
      </w:r>
    </w:p>
    <w:p>
      <w:pPr>
        <w:spacing w:after="200"/>
      </w:pPr>
      <w:r>
        <w:rPr>
          <w:color w:val="007E8A"/>
          <w:sz w:val="10"/>
        </w:rPr>
        <w:t>━━━━━━━━━━━━━━━━━━━━━━━━━━━━━━━━━━━━━━━━━━━━━━━━━━━━━━━━━━━━━━━━━━━━━━</w:t>
      </w:r>
    </w:p>
    <w:p>
      <w:pPr>
        <w:spacing w:after="100" w:line="252" w:lineRule="auto"/>
      </w:pPr>
      <w:r>
        <w:rPr>
          <w:rFonts w:ascii="DejaVu Sans" w:hAnsi="DejaVu Sans"/>
          <w:color w:val="132238"/>
          <w:sz w:val="19"/>
        </w:rPr>
        <w:t>Authenticated WebSocket connections drive realtime message, typing, notification and presence events. Redis distributes events across API workers, while PostgreSQL remains the durable source of truth.</w:t>
      </w:r>
    </w:p>
    <w:p>
      <w:pPr>
        <w:spacing w:before="120" w:after="60"/>
      </w:pPr>
      <w:r>
        <w:rPr>
          <w:rFonts w:ascii="DejaVu Sans" w:hAnsi="DejaVu Sans"/>
          <w:b/>
          <w:color w:val="062B55"/>
          <w:sz w:val="26"/>
        </w:rPr>
        <w:t>Workflow</w:t>
      </w:r>
    </w:p>
    <w:p>
      <w:pPr>
        <w:pStyle w:val="ListNumber"/>
        <w:spacing w:after="40" w:line="245" w:lineRule="auto"/>
        <w:ind w:left="317" w:hanging="173"/>
      </w:pPr>
      <w:r>
        <w:rPr>
          <w:rFonts w:ascii="DejaVu Sans" w:hAnsi="DejaVu Sans"/>
          <w:color w:val="132238"/>
          <w:sz w:val="18"/>
        </w:rPr>
        <w:t>Grant microphone permission only on the official HTTPS domain.</w:t>
      </w:r>
    </w:p>
    <w:p>
      <w:pPr>
        <w:pStyle w:val="ListNumber"/>
        <w:spacing w:after="40" w:line="245" w:lineRule="auto"/>
        <w:ind w:left="317" w:hanging="173"/>
      </w:pPr>
      <w:r>
        <w:rPr>
          <w:rFonts w:ascii="DejaVu Sans" w:hAnsi="DejaVu Sans"/>
          <w:color w:val="132238"/>
          <w:sz w:val="18"/>
        </w:rPr>
        <w:t>Record a voice note, review it and send it as a managed audio file.</w:t>
      </w:r>
    </w:p>
    <w:p>
      <w:pPr>
        <w:pStyle w:val="ListNumber"/>
        <w:spacing w:after="40" w:line="245" w:lineRule="auto"/>
        <w:ind w:left="317" w:hanging="173"/>
      </w:pPr>
      <w:r>
        <w:rPr>
          <w:rFonts w:ascii="DejaVu Sans" w:hAnsi="DejaVu Sans"/>
          <w:color w:val="132238"/>
          <w:sz w:val="18"/>
        </w:rPr>
        <w:t>Online means at least one authenticated socket is connected.</w:t>
      </w:r>
    </w:p>
    <w:p>
      <w:pPr>
        <w:pStyle w:val="ListNumber"/>
        <w:spacing w:after="40" w:line="245" w:lineRule="auto"/>
        <w:ind w:left="317" w:hanging="173"/>
      </w:pPr>
      <w:r>
        <w:rPr>
          <w:rFonts w:ascii="DejaVu Sans" w:hAnsi="DejaVu Sans"/>
          <w:color w:val="132238"/>
          <w:sz w:val="18"/>
        </w:rPr>
        <w:t>Offline users show the last saved activity time when available.</w:t>
      </w:r>
    </w:p>
    <w:p>
      <w:pPr>
        <w:pStyle w:val="ListNumber"/>
        <w:spacing w:after="40" w:line="245" w:lineRule="auto"/>
        <w:ind w:left="317" w:hanging="173"/>
      </w:pPr>
      <w:r>
        <w:rPr>
          <w:rFonts w:ascii="DejaVu Sans" w:hAnsi="DejaVu Sans"/>
          <w:color w:val="132238"/>
          <w:sz w:val="18"/>
        </w:rPr>
        <w:t>If the socket disconnects, the provider reconnects and polling preserves durable data.</w:t>
      </w:r>
    </w:p>
    <w:p>
      <w:pPr>
        <w:spacing w:before="120" w:after="60"/>
      </w:pPr>
      <w:r>
        <w:rPr>
          <w:rFonts w:ascii="DejaVu Sans" w:hAnsi="DejaVu Sans"/>
          <w:b/>
          <w:color w:val="062B55"/>
          <w:sz w:val="26"/>
        </w:rPr>
        <w:t>Important controls</w:t>
      </w:r>
    </w:p>
    <w:p>
      <w:pPr>
        <w:pStyle w:val="ListBullet"/>
        <w:spacing w:after="40" w:line="245" w:lineRule="auto"/>
        <w:ind w:left="317" w:hanging="173"/>
      </w:pPr>
      <w:r>
        <w:rPr>
          <w:rFonts w:ascii="DejaVu Sans" w:hAnsi="DejaVu Sans"/>
          <w:color w:val="132238"/>
          <w:sz w:val="18"/>
        </w:rPr>
        <w:t>Text and file bytes use authenticated AES-GCM encryption at rest.</w:t>
      </w:r>
    </w:p>
    <w:p>
      <w:pPr>
        <w:pStyle w:val="ListBullet"/>
        <w:spacing w:after="40" w:line="245" w:lineRule="auto"/>
        <w:ind w:left="317" w:hanging="173"/>
      </w:pPr>
      <w:r>
        <w:rPr>
          <w:rFonts w:ascii="DejaVu Sans" w:hAnsi="DejaVu Sans"/>
          <w:color w:val="132238"/>
          <w:sz w:val="18"/>
        </w:rPr>
        <w:t>HTTPS/WSS protects traffic in transit.</w:t>
      </w:r>
    </w:p>
    <w:p>
      <w:pPr>
        <w:pStyle w:val="ListBullet"/>
        <w:spacing w:after="40" w:line="245" w:lineRule="auto"/>
        <w:ind w:left="317" w:hanging="173"/>
      </w:pPr>
      <w:r>
        <w:rPr>
          <w:rFonts w:ascii="DejaVu Sans" w:hAnsi="DejaVu Sans"/>
          <w:color w:val="132238"/>
          <w:sz w:val="18"/>
        </w:rPr>
        <w:t>This is not end-to-end encryption: the authorised LoanHub server can decrypt content for access-controlled delivery.</w:t>
      </w:r>
    </w:p>
    <w:p>
      <w:pPr>
        <w:pStyle w:val="ListBullet"/>
        <w:spacing w:after="40" w:line="245" w:lineRule="auto"/>
        <w:ind w:left="317" w:hanging="173"/>
      </w:pPr>
      <w:r>
        <w:rPr>
          <w:rFonts w:ascii="DejaVu Sans" w:hAnsi="DejaVu Sans"/>
          <w:color w:val="132238"/>
          <w:sz w:val="18"/>
        </w:rPr>
        <w:t>Encryption keys must be backed up securely; losing them can make encrypted content unreadable.</w:t>
      </w:r>
    </w:p>
    <w:tbl>
      <w:tblPr>
        <w:tblW w:type="auto" w:w="0"/>
        <w:tblLayout w:type="fixed"/>
        <w:tblLook w:firstColumn="1" w:firstRow="1" w:lastColumn="0" w:lastRow="0" w:noHBand="0" w:noVBand="1" w:val="04A0"/>
      </w:tblPr>
      <w:tblGrid>
        <w:gridCol w:w="173"/>
        <w:gridCol w:w="9648"/>
      </w:tblGrid>
      <w:tr>
        <w:tc>
          <w:tcPr>
            <w:tcW w:type="dxa" w:w="4946"/>
            <w:shd w:fill="B66B00"/>
          </w:tcPr>
          <w:p/>
        </w:tc>
        <w:tc>
          <w:tcPr>
            <w:tcW w:type="dxa" w:w="4946"/>
            <w:shd w:fill="FFF4E5"/>
          </w:tcPr>
          <w:p>
            <w:pPr>
              <w:spacing w:after="40"/>
            </w:pPr>
            <w:r/>
            <w:r>
              <w:rPr>
                <w:rFonts w:ascii="DejaVu Sans" w:hAnsi="DejaVu Sans"/>
                <w:b/>
                <w:color w:val="B66B00"/>
                <w:sz w:val="19"/>
              </w:rPr>
              <w:t>Security language</w:t>
            </w:r>
          </w:p>
          <w:p>
            <w:pPr>
              <w:spacing w:after="0"/>
            </w:pPr>
            <w:r>
              <w:rPr>
                <w:rFonts w:ascii="DejaVu Sans" w:hAnsi="DejaVu Sans"/>
                <w:color w:val="132238"/>
                <w:sz w:val="17"/>
              </w:rPr>
              <w:t>Market the feature as “encrypted in transit and encrypted at rest,” not as client-to-client end-to-end encryption.</w:t>
            </w:r>
          </w:p>
        </w:tc>
      </w:tr>
    </w:tbl>
    <w:p>
      <w:pPr>
        <w:spacing w:after="0"/>
      </w:pPr>
    </w:p>
    <w:p>
      <w:r>
        <w:br w:type="page"/>
      </w:r>
    </w:p>
    <w:p>
      <w:pPr>
        <w:spacing w:after="40"/>
      </w:pPr>
      <w:r>
        <w:rPr>
          <w:rFonts w:ascii="DejaVu Sans" w:hAnsi="DejaVu Sans"/>
          <w:b/>
          <w:color w:val="062B55"/>
          <w:sz w:val="44"/>
        </w:rPr>
        <w:t>35. File centre and PDF handling</w:t>
      </w:r>
    </w:p>
    <w:p>
      <w:pPr>
        <w:spacing w:after="200"/>
      </w:pPr>
      <w:r>
        <w:rPr>
          <w:rFonts w:ascii="DejaVu Sans" w:hAnsi="DejaVu Sans"/>
          <w:i/>
          <w:color w:val="5B6573"/>
          <w:sz w:val="21"/>
        </w:rPr>
        <w:t>Store, share, download and print documents safely</w:t>
      </w:r>
    </w:p>
    <w:p>
      <w:pPr>
        <w:spacing w:after="200"/>
      </w:pPr>
      <w:r>
        <w:rPr>
          <w:color w:val="007E8A"/>
          <w:sz w:val="10"/>
        </w:rPr>
        <w:t>━━━━━━━━━━━━━━━━━━━━━━━━━━━━━━━━━━━━━━━━━━━━━━━━━━━━━━━━━━━━━━━━━━━━━━</w:t>
      </w:r>
    </w:p>
    <w:p>
      <w:pPr>
        <w:spacing w:after="100" w:line="252" w:lineRule="auto"/>
      </w:pPr>
      <w:r>
        <w:rPr>
          <w:rFonts w:ascii="DejaVu Sans" w:hAnsi="DejaVu Sans"/>
          <w:color w:val="132238"/>
          <w:sz w:val="19"/>
        </w:rPr>
        <w:t>One managed-file layer supports chat attachments, generated reports, company documents, borrower files, HR/compliance evidence and accounting support.</w:t>
      </w:r>
    </w:p>
    <w:p>
      <w:pPr>
        <w:spacing w:before="120" w:after="60"/>
      </w:pPr>
      <w:r>
        <w:rPr>
          <w:rFonts w:ascii="DejaVu Sans" w:hAnsi="DejaVu Sans"/>
          <w:b/>
          <w:color w:val="062B55"/>
          <w:sz w:val="26"/>
        </w:rPr>
        <w:t>Workflow</w:t>
      </w:r>
    </w:p>
    <w:p>
      <w:pPr>
        <w:pStyle w:val="ListNumber"/>
        <w:spacing w:after="40" w:line="245" w:lineRule="auto"/>
        <w:ind w:left="317" w:hanging="173"/>
      </w:pPr>
      <w:r>
        <w:rPr>
          <w:rFonts w:ascii="DejaVu Sans" w:hAnsi="DejaVu Sans"/>
          <w:color w:val="132238"/>
          <w:sz w:val="18"/>
        </w:rPr>
        <w:t>Select Upload or attach a file in chat.</w:t>
      </w:r>
    </w:p>
    <w:p>
      <w:pPr>
        <w:pStyle w:val="ListNumber"/>
        <w:spacing w:after="40" w:line="245" w:lineRule="auto"/>
        <w:ind w:left="317" w:hanging="173"/>
      </w:pPr>
      <w:r>
        <w:rPr>
          <w:rFonts w:ascii="DejaVu Sans" w:hAnsi="DejaVu Sans"/>
          <w:color w:val="132238"/>
          <w:sz w:val="18"/>
        </w:rPr>
        <w:t>Choose the narrowest visibility: private, conversation, branch, company, confidential or platform.</w:t>
      </w:r>
    </w:p>
    <w:p>
      <w:pPr>
        <w:pStyle w:val="ListNumber"/>
        <w:spacing w:after="40" w:line="245" w:lineRule="auto"/>
        <w:ind w:left="317" w:hanging="173"/>
      </w:pPr>
      <w:r>
        <w:rPr>
          <w:rFonts w:ascii="DejaVu Sans" w:hAnsi="DejaVu Sans"/>
          <w:color w:val="132238"/>
          <w:sz w:val="18"/>
        </w:rPr>
        <w:t>The server validates size, filename, declared type, detected signature and allowed extension.</w:t>
      </w:r>
    </w:p>
    <w:p>
      <w:pPr>
        <w:pStyle w:val="ListNumber"/>
        <w:spacing w:after="40" w:line="245" w:lineRule="auto"/>
        <w:ind w:left="317" w:hanging="173"/>
      </w:pPr>
      <w:r>
        <w:rPr>
          <w:rFonts w:ascii="DejaVu Sans" w:hAnsi="DejaVu Sans"/>
          <w:color w:val="132238"/>
          <w:sz w:val="18"/>
        </w:rPr>
        <w:t>File bytes are encrypted, checksummed and written atomically.</w:t>
      </w:r>
    </w:p>
    <w:p>
      <w:pPr>
        <w:pStyle w:val="ListNumber"/>
        <w:spacing w:after="40" w:line="245" w:lineRule="auto"/>
        <w:ind w:left="317" w:hanging="173"/>
      </w:pPr>
      <w:r>
        <w:rPr>
          <w:rFonts w:ascii="DejaVu Sans" w:hAnsi="DejaVu Sans"/>
          <w:color w:val="132238"/>
          <w:sz w:val="18"/>
        </w:rPr>
        <w:t>Authorised users download through a streamed endpoint with a safe filename.</w:t>
      </w:r>
    </w:p>
    <w:p>
      <w:pPr>
        <w:pStyle w:val="ListNumber"/>
        <w:spacing w:after="40" w:line="245" w:lineRule="auto"/>
        <w:ind w:left="317" w:hanging="173"/>
      </w:pPr>
      <w:r>
        <w:rPr>
          <w:rFonts w:ascii="DejaVu Sans" w:hAnsi="DejaVu Sans"/>
          <w:color w:val="132238"/>
          <w:sz w:val="18"/>
        </w:rPr>
        <w:t>Generated reports appear in both Reports and Files and can be downloaded for printing.</w:t>
      </w:r>
    </w:p>
    <w:p>
      <w:pPr>
        <w:spacing w:before="120" w:after="60"/>
      </w:pPr>
      <w:r>
        <w:rPr>
          <w:rFonts w:ascii="DejaVu Sans" w:hAnsi="DejaVu Sans"/>
          <w:b/>
          <w:color w:val="062B55"/>
          <w:sz w:val="26"/>
        </w:rPr>
        <w:t>Important controls</w:t>
      </w:r>
    </w:p>
    <w:p>
      <w:pPr>
        <w:pStyle w:val="ListBullet"/>
        <w:spacing w:after="40" w:line="245" w:lineRule="auto"/>
        <w:ind w:left="317" w:hanging="173"/>
      </w:pPr>
      <w:r>
        <w:rPr>
          <w:rFonts w:ascii="DejaVu Sans" w:hAnsi="DejaVu Sans"/>
          <w:color w:val="132238"/>
          <w:sz w:val="18"/>
        </w:rPr>
        <w:t>Executable and suspicious mismatched content is blocked or quarantined.</w:t>
      </w:r>
    </w:p>
    <w:p>
      <w:pPr>
        <w:pStyle w:val="ListBullet"/>
        <w:spacing w:after="40" w:line="245" w:lineRule="auto"/>
        <w:ind w:left="317" w:hanging="173"/>
      </w:pPr>
      <w:r>
        <w:rPr>
          <w:rFonts w:ascii="DejaVu Sans" w:hAnsi="DejaVu Sans"/>
          <w:color w:val="132238"/>
          <w:sz w:val="18"/>
        </w:rPr>
        <w:t>Back up database metadata and encrypted file storage together.</w:t>
      </w:r>
    </w:p>
    <w:p>
      <w:pPr>
        <w:pStyle w:val="ListBullet"/>
        <w:spacing w:after="40" w:line="245" w:lineRule="auto"/>
        <w:ind w:left="317" w:hanging="173"/>
      </w:pPr>
      <w:r>
        <w:rPr>
          <w:rFonts w:ascii="DejaVu Sans" w:hAnsi="DejaVu Sans"/>
          <w:color w:val="132238"/>
          <w:sz w:val="18"/>
        </w:rPr>
        <w:t>For multiple servers, use S3/MinIO-compatible object storage and malware scanning.</w:t>
      </w:r>
    </w:p>
    <w:p>
      <w:pPr>
        <w:spacing w:before="120" w:after="60"/>
      </w:pPr>
      <w:r>
        <w:rPr>
          <w:rFonts w:ascii="DejaVu Sans" w:hAnsi="DejaVu Sans"/>
          <w:b/>
          <w:color w:val="062B55"/>
          <w:sz w:val="26"/>
        </w:rPr>
        <w:t>Visibility</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2448"/>
            <w:vAlign w:val="center"/>
            <w:shd w:fill="062B55"/>
          </w:tcPr>
          <w:p>
            <w:pPr>
              <w:spacing w:after="0"/>
            </w:pPr>
            <w:r/>
            <w:r>
              <w:rPr>
                <w:rFonts w:ascii="DejaVu Sans" w:hAnsi="DejaVu Sans"/>
                <w:b/>
                <w:color w:val="FFFFFF"/>
                <w:sz w:val="17"/>
              </w:rPr>
              <w:t>Level</w:t>
            </w:r>
          </w:p>
        </w:tc>
        <w:tc>
          <w:tcPr>
            <w:tcW w:type="dxa" w:w="6912"/>
            <w:vAlign w:val="center"/>
            <w:shd w:fill="062B55"/>
          </w:tcPr>
          <w:p>
            <w:pPr>
              <w:spacing w:after="0"/>
            </w:pPr>
            <w:r/>
            <w:r>
              <w:rPr>
                <w:rFonts w:ascii="DejaVu Sans" w:hAnsi="DejaVu Sans"/>
                <w:b/>
                <w:color w:val="FFFFFF"/>
                <w:sz w:val="17"/>
              </w:rPr>
              <w:t>Who can access</w:t>
            </w:r>
          </w:p>
        </w:tc>
      </w:tr>
      <w:tr>
        <w:tc>
          <w:tcPr>
            <w:tcW w:type="dxa" w:w="2448"/>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7"/>
              </w:rPr>
              <w:t>Private</w:t>
            </w:r>
          </w:p>
        </w:tc>
        <w:tc>
          <w:tcPr>
            <w:tcW w:type="dxa" w:w="6912"/>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7"/>
              </w:rPr>
              <w:t>Owner/uploader</w:t>
            </w:r>
          </w:p>
        </w:tc>
      </w:tr>
      <w:tr>
        <w:tc>
          <w:tcPr>
            <w:tcW w:type="dxa" w:w="2448"/>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7"/>
              </w:rPr>
              <w:t>Conversation</w:t>
            </w:r>
          </w:p>
        </w:tc>
        <w:tc>
          <w:tcPr>
            <w:tcW w:type="dxa" w:w="6912"/>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7"/>
              </w:rPr>
              <w:t>Active conversation participants</w:t>
            </w:r>
          </w:p>
        </w:tc>
      </w:tr>
      <w:tr>
        <w:tc>
          <w:tcPr>
            <w:tcW w:type="dxa" w:w="2448"/>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7"/>
              </w:rPr>
              <w:t>Branch</w:t>
            </w:r>
          </w:p>
        </w:tc>
        <w:tc>
          <w:tcPr>
            <w:tcW w:type="dxa" w:w="6912"/>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7"/>
              </w:rPr>
              <w:t>Branch users and authorised management</w:t>
            </w:r>
          </w:p>
        </w:tc>
      </w:tr>
      <w:tr>
        <w:tc>
          <w:tcPr>
            <w:tcW w:type="dxa" w:w="2448"/>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7"/>
              </w:rPr>
              <w:t>Company</w:t>
            </w:r>
          </w:p>
        </w:tc>
        <w:tc>
          <w:tcPr>
            <w:tcW w:type="dxa" w:w="6912"/>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7"/>
              </w:rPr>
              <w:t>Active members of the tenant</w:t>
            </w:r>
          </w:p>
        </w:tc>
      </w:tr>
      <w:tr>
        <w:tc>
          <w:tcPr>
            <w:tcW w:type="dxa" w:w="2448"/>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7"/>
              </w:rPr>
              <w:t>Confidential</w:t>
            </w:r>
          </w:p>
        </w:tc>
        <w:tc>
          <w:tcPr>
            <w:tcW w:type="dxa" w:w="6912"/>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7"/>
              </w:rPr>
              <w:t>Authorised management/platform owner</w:t>
            </w:r>
          </w:p>
        </w:tc>
      </w:tr>
      <w:tr>
        <w:tc>
          <w:tcPr>
            <w:tcW w:type="dxa" w:w="2448"/>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7"/>
              </w:rPr>
              <w:t>Platform</w:t>
            </w:r>
          </w:p>
        </w:tc>
        <w:tc>
          <w:tcPr>
            <w:tcW w:type="dxa" w:w="6912"/>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7"/>
              </w:rPr>
              <w:t>Platform owner</w:t>
            </w:r>
          </w:p>
        </w:tc>
      </w:tr>
    </w:tbl>
    <w:p>
      <w:pPr>
        <w:spacing w:after="0"/>
      </w:pPr>
    </w:p>
    <w:p>
      <w:r>
        <w:br w:type="page"/>
      </w:r>
    </w:p>
    <w:p>
      <w:pPr>
        <w:spacing w:after="40"/>
      </w:pPr>
      <w:r>
        <w:rPr>
          <w:rFonts w:ascii="DejaVu Sans" w:hAnsi="DejaVu Sans"/>
          <w:b/>
          <w:color w:val="062B55"/>
          <w:sz w:val="44"/>
        </w:rPr>
        <w:t>36. Accounting</w:t>
      </w:r>
    </w:p>
    <w:p>
      <w:pPr>
        <w:spacing w:after="200"/>
      </w:pPr>
      <w:r>
        <w:rPr>
          <w:rFonts w:ascii="DejaVu Sans" w:hAnsi="DejaVu Sans"/>
          <w:i/>
          <w:color w:val="5B6573"/>
          <w:sz w:val="21"/>
        </w:rPr>
        <w:t>Use the double-entry foundation responsibly</w:t>
      </w:r>
    </w:p>
    <w:p>
      <w:pPr>
        <w:spacing w:after="200"/>
      </w:pPr>
      <w:r>
        <w:rPr>
          <w:color w:val="007E8A"/>
          <w:sz w:val="10"/>
        </w:rPr>
        <w:t>━━━━━━━━━━━━━━━━━━━━━━━━━━━━━━━━━━━━━━━━━━━━━━━━━━━━━━━━━━━━━━━━━━━━━━</w:t>
      </w:r>
    </w:p>
    <w:p>
      <w:pPr>
        <w:spacing w:after="100" w:line="252" w:lineRule="auto"/>
      </w:pPr>
      <w:r>
        <w:rPr>
          <w:rFonts w:ascii="DejaVu Sans" w:hAnsi="DejaVu Sans"/>
          <w:color w:val="132238"/>
          <w:sz w:val="19"/>
        </w:rPr>
        <w:t>Accounting supports platform and company ledgers, chart of accounts, balanced journals, branch allocation, evidence references and core statements.</w:t>
      </w:r>
    </w:p>
    <w:p>
      <w:pPr>
        <w:spacing w:before="120" w:after="60"/>
      </w:pPr>
      <w:r>
        <w:rPr>
          <w:rFonts w:ascii="DejaVu Sans" w:hAnsi="DejaVu Sans"/>
          <w:b/>
          <w:color w:val="062B55"/>
          <w:sz w:val="26"/>
        </w:rPr>
        <w:t>Workflow</w:t>
      </w:r>
    </w:p>
    <w:p>
      <w:pPr>
        <w:pStyle w:val="ListNumber"/>
        <w:spacing w:after="40" w:line="245" w:lineRule="auto"/>
        <w:ind w:left="317" w:hanging="173"/>
      </w:pPr>
      <w:r>
        <w:rPr>
          <w:rFonts w:ascii="DejaVu Sans" w:hAnsi="DejaVu Sans"/>
          <w:color w:val="132238"/>
          <w:sz w:val="18"/>
        </w:rPr>
        <w:t>Initialise the default chart when required.</w:t>
      </w:r>
    </w:p>
    <w:p>
      <w:pPr>
        <w:pStyle w:val="ListNumber"/>
        <w:spacing w:after="40" w:line="245" w:lineRule="auto"/>
        <w:ind w:left="317" w:hanging="173"/>
      </w:pPr>
      <w:r>
        <w:rPr>
          <w:rFonts w:ascii="DejaVu Sans" w:hAnsi="DejaVu Sans"/>
          <w:color w:val="132238"/>
          <w:sz w:val="18"/>
        </w:rPr>
        <w:t>Review or add approved custom accounts with unique codes.</w:t>
      </w:r>
    </w:p>
    <w:p>
      <w:pPr>
        <w:pStyle w:val="ListNumber"/>
        <w:spacing w:after="40" w:line="245" w:lineRule="auto"/>
        <w:ind w:left="317" w:hanging="173"/>
      </w:pPr>
      <w:r>
        <w:rPr>
          <w:rFonts w:ascii="DejaVu Sans" w:hAnsi="DejaVu Sans"/>
          <w:color w:val="132238"/>
          <w:sz w:val="18"/>
        </w:rPr>
        <w:t>Create a journal date, description and business reference.</w:t>
      </w:r>
    </w:p>
    <w:p>
      <w:pPr>
        <w:pStyle w:val="ListNumber"/>
        <w:spacing w:after="40" w:line="245" w:lineRule="auto"/>
        <w:ind w:left="317" w:hanging="173"/>
      </w:pPr>
      <w:r>
        <w:rPr>
          <w:rFonts w:ascii="DejaVu Sans" w:hAnsi="DejaVu Sans"/>
          <w:color w:val="132238"/>
          <w:sz w:val="18"/>
        </w:rPr>
        <w:t>Add at least two lines and ensure debit equals credit.</w:t>
      </w:r>
    </w:p>
    <w:p>
      <w:pPr>
        <w:pStyle w:val="ListNumber"/>
        <w:spacing w:after="40" w:line="245" w:lineRule="auto"/>
        <w:ind w:left="317" w:hanging="173"/>
      </w:pPr>
      <w:r>
        <w:rPr>
          <w:rFonts w:ascii="DejaVu Sans" w:hAnsi="DejaVu Sans"/>
          <w:color w:val="132238"/>
          <w:sz w:val="18"/>
        </w:rPr>
        <w:t>Save as draft, review evidence and post.</w:t>
      </w:r>
    </w:p>
    <w:p>
      <w:pPr>
        <w:pStyle w:val="ListNumber"/>
        <w:spacing w:after="40" w:line="245" w:lineRule="auto"/>
        <w:ind w:left="317" w:hanging="173"/>
      </w:pPr>
      <w:r>
        <w:rPr>
          <w:rFonts w:ascii="DejaVu Sans" w:hAnsi="DejaVu Sans"/>
          <w:color w:val="132238"/>
          <w:sz w:val="18"/>
        </w:rPr>
        <w:t>Run trial balance, profit and loss and balance sheet.</w:t>
      </w:r>
    </w:p>
    <w:p>
      <w:pPr>
        <w:spacing w:before="120" w:after="60"/>
      </w:pPr>
      <w:r>
        <w:rPr>
          <w:rFonts w:ascii="DejaVu Sans" w:hAnsi="DejaVu Sans"/>
          <w:b/>
          <w:color w:val="062B55"/>
          <w:sz w:val="26"/>
        </w:rPr>
        <w:t>Important controls</w:t>
      </w:r>
    </w:p>
    <w:p>
      <w:pPr>
        <w:pStyle w:val="ListBullet"/>
        <w:spacing w:after="40" w:line="245" w:lineRule="auto"/>
        <w:ind w:left="317" w:hanging="173"/>
      </w:pPr>
      <w:r>
        <w:rPr>
          <w:rFonts w:ascii="DejaVu Sans" w:hAnsi="DejaVu Sans"/>
          <w:color w:val="132238"/>
          <w:sz w:val="18"/>
        </w:rPr>
        <w:t>Posted entries should be corrected through controlled entries rather than hidden deletion.</w:t>
      </w:r>
    </w:p>
    <w:p>
      <w:pPr>
        <w:pStyle w:val="ListBullet"/>
        <w:spacing w:after="40" w:line="245" w:lineRule="auto"/>
        <w:ind w:left="317" w:hanging="173"/>
      </w:pPr>
      <w:r>
        <w:rPr>
          <w:rFonts w:ascii="DejaVu Sans" w:hAnsi="DejaVu Sans"/>
          <w:color w:val="132238"/>
          <w:sz w:val="18"/>
        </w:rPr>
        <w:t>A qualified accountant must approve the chart, mappings, provider fees, tax, bad debt and statutory treatment.</w:t>
      </w:r>
    </w:p>
    <w:p>
      <w:r>
        <w:br w:type="page"/>
      </w:r>
    </w:p>
    <w:p>
      <w:pPr>
        <w:spacing w:after="40"/>
      </w:pPr>
      <w:r>
        <w:rPr>
          <w:rFonts w:ascii="DejaVu Sans" w:hAnsi="DejaVu Sans"/>
          <w:b/>
          <w:color w:val="062B55"/>
          <w:sz w:val="44"/>
        </w:rPr>
        <w:t>37. Manual and scheduled reports</w:t>
      </w:r>
    </w:p>
    <w:p>
      <w:pPr>
        <w:spacing w:after="200"/>
      </w:pPr>
      <w:r>
        <w:rPr>
          <w:rFonts w:ascii="DejaVu Sans" w:hAnsi="DejaVu Sans"/>
          <w:i/>
          <w:color w:val="5B6573"/>
          <w:sz w:val="21"/>
        </w:rPr>
        <w:t>Generate operational and financial evidence</w:t>
      </w:r>
    </w:p>
    <w:p>
      <w:pPr>
        <w:spacing w:after="200"/>
      </w:pPr>
      <w:r>
        <w:rPr>
          <w:color w:val="007E8A"/>
          <w:sz w:val="10"/>
        </w:rPr>
        <w:t>━━━━━━━━━━━━━━━━━━━━━━━━━━━━━━━━━━━━━━━━━━━━━━━━━━━━━━━━━━━━━━━━━━━━━━</w:t>
      </w:r>
    </w:p>
    <w:p>
      <w:pPr>
        <w:spacing w:after="100" w:line="252" w:lineRule="auto"/>
      </w:pPr>
      <w:r>
        <w:rPr>
          <w:rFonts w:ascii="DejaVu Sans" w:hAnsi="DejaVu Sans"/>
          <w:color w:val="132238"/>
          <w:sz w:val="19"/>
        </w:rPr>
        <w:t>Authorised users can generate PDF or CSV reports for branch, company or platform scope and select a period. The report uses LoanHub branding with a smaller Ithute Solutions developer credit.</w:t>
      </w:r>
    </w:p>
    <w:p>
      <w:pPr>
        <w:spacing w:before="120" w:after="60"/>
      </w:pPr>
      <w:r>
        <w:rPr>
          <w:rFonts w:ascii="DejaVu Sans" w:hAnsi="DejaVu Sans"/>
          <w:b/>
          <w:color w:val="062B55"/>
          <w:sz w:val="26"/>
        </w:rPr>
        <w:t>Workflow</w:t>
      </w:r>
    </w:p>
    <w:p>
      <w:pPr>
        <w:pStyle w:val="ListNumber"/>
        <w:spacing w:after="40" w:line="245" w:lineRule="auto"/>
        <w:ind w:left="317" w:hanging="173"/>
      </w:pPr>
      <w:r>
        <w:rPr>
          <w:rFonts w:ascii="DejaVu Sans" w:hAnsi="DejaVu Sans"/>
          <w:color w:val="132238"/>
          <w:sz w:val="18"/>
        </w:rPr>
        <w:t>Open Reports.</w:t>
      </w:r>
    </w:p>
    <w:p>
      <w:pPr>
        <w:pStyle w:val="ListNumber"/>
        <w:spacing w:after="40" w:line="245" w:lineRule="auto"/>
        <w:ind w:left="317" w:hanging="173"/>
      </w:pPr>
      <w:r>
        <w:rPr>
          <w:rFonts w:ascii="DejaVu Sans" w:hAnsi="DejaVu Sans"/>
          <w:color w:val="132238"/>
          <w:sz w:val="18"/>
        </w:rPr>
        <w:t>Choose report type, scope, output format and period.</w:t>
      </w:r>
    </w:p>
    <w:p>
      <w:pPr>
        <w:pStyle w:val="ListNumber"/>
        <w:spacing w:after="40" w:line="245" w:lineRule="auto"/>
        <w:ind w:left="317" w:hanging="173"/>
      </w:pPr>
      <w:r>
        <w:rPr>
          <w:rFonts w:ascii="DejaVu Sans" w:hAnsi="DejaVu Sans"/>
          <w:color w:val="132238"/>
          <w:sz w:val="18"/>
        </w:rPr>
        <w:t>Select authorised company/branch context.</w:t>
      </w:r>
    </w:p>
    <w:p>
      <w:pPr>
        <w:pStyle w:val="ListNumber"/>
        <w:spacing w:after="40" w:line="245" w:lineRule="auto"/>
        <w:ind w:left="317" w:hanging="173"/>
      </w:pPr>
      <w:r>
        <w:rPr>
          <w:rFonts w:ascii="DejaVu Sans" w:hAnsi="DejaVu Sans"/>
          <w:color w:val="132238"/>
          <w:sz w:val="18"/>
        </w:rPr>
        <w:t>Generate and wait for completed status.</w:t>
      </w:r>
    </w:p>
    <w:p>
      <w:pPr>
        <w:pStyle w:val="ListNumber"/>
        <w:spacing w:after="40" w:line="245" w:lineRule="auto"/>
        <w:ind w:left="317" w:hanging="173"/>
      </w:pPr>
      <w:r>
        <w:rPr>
          <w:rFonts w:ascii="DejaVu Sans" w:hAnsi="DejaVu Sans"/>
          <w:color w:val="132238"/>
          <w:sz w:val="18"/>
        </w:rPr>
        <w:t>Download from Reports or Files.</w:t>
      </w:r>
    </w:p>
    <w:p>
      <w:pPr>
        <w:pStyle w:val="ListNumber"/>
        <w:spacing w:after="40" w:line="245" w:lineRule="auto"/>
        <w:ind w:left="317" w:hanging="173"/>
      </w:pPr>
      <w:r>
        <w:rPr>
          <w:rFonts w:ascii="DejaVu Sans" w:hAnsi="DejaVu Sans"/>
          <w:color w:val="132238"/>
          <w:sz w:val="18"/>
        </w:rPr>
        <w:t>Create a recurring schedule when ongoing generation is required.</w:t>
      </w:r>
    </w:p>
    <w:p>
      <w:pPr>
        <w:spacing w:before="120" w:after="60"/>
      </w:pPr>
      <w:r>
        <w:rPr>
          <w:rFonts w:ascii="DejaVu Sans" w:hAnsi="DejaVu Sans"/>
          <w:b/>
          <w:color w:val="062B55"/>
          <w:sz w:val="26"/>
        </w:rPr>
        <w:t>Important controls</w:t>
      </w:r>
    </w:p>
    <w:p>
      <w:pPr>
        <w:pStyle w:val="ListBullet"/>
        <w:spacing w:after="40" w:line="245" w:lineRule="auto"/>
        <w:ind w:left="317" w:hanging="173"/>
      </w:pPr>
      <w:r>
        <w:rPr>
          <w:rFonts w:ascii="DejaVu Sans" w:hAnsi="DejaVu Sans"/>
          <w:color w:val="132238"/>
          <w:sz w:val="18"/>
        </w:rPr>
        <w:t>Report access follows tenant and branch scope.</w:t>
      </w:r>
    </w:p>
    <w:p>
      <w:pPr>
        <w:pStyle w:val="ListBullet"/>
        <w:spacing w:after="40" w:line="245" w:lineRule="auto"/>
        <w:ind w:left="317" w:hanging="173"/>
      </w:pPr>
      <w:r>
        <w:rPr>
          <w:rFonts w:ascii="DejaVu Sans" w:hAnsi="DejaVu Sans"/>
          <w:color w:val="132238"/>
          <w:sz w:val="18"/>
        </w:rPr>
        <w:t>Use friendly report references in support and audit communication.</w:t>
      </w:r>
    </w:p>
    <w:p>
      <w:pPr>
        <w:pStyle w:val="ListBullet"/>
        <w:spacing w:after="40" w:line="245" w:lineRule="auto"/>
        <w:ind w:left="317" w:hanging="173"/>
      </w:pPr>
      <w:r>
        <w:rPr>
          <w:rFonts w:ascii="DejaVu Sans" w:hAnsi="DejaVu Sans"/>
          <w:color w:val="132238"/>
          <w:sz w:val="18"/>
        </w:rPr>
        <w:t>Recipient email storage does not mean automatic email delivery unless a mail adapter is configured.</w:t>
      </w:r>
    </w:p>
    <w:p>
      <w:r>
        <w:br w:type="page"/>
      </w:r>
    </w:p>
    <w:p>
      <w:pPr>
        <w:spacing w:after="40"/>
      </w:pPr>
      <w:r>
        <w:rPr>
          <w:rFonts w:ascii="DejaVu Sans" w:hAnsi="DejaVu Sans"/>
          <w:b/>
          <w:color w:val="062B55"/>
          <w:sz w:val="44"/>
        </w:rPr>
        <w:t>38. Midnight reconciliation and automatic reports</w:t>
      </w:r>
    </w:p>
    <w:p>
      <w:pPr>
        <w:spacing w:after="200"/>
      </w:pPr>
      <w:r>
        <w:rPr>
          <w:rFonts w:ascii="DejaVu Sans" w:hAnsi="DejaVu Sans"/>
          <w:i/>
          <w:color w:val="5B6573"/>
          <w:sz w:val="21"/>
        </w:rPr>
        <w:t>What happens at 00:00 Africa/Maseru</w:t>
      </w:r>
    </w:p>
    <w:p>
      <w:pPr>
        <w:spacing w:after="200"/>
      </w:pPr>
      <w:r>
        <w:rPr>
          <w:color w:val="007E8A"/>
          <w:sz w:val="10"/>
        </w:rPr>
        <w:t>━━━━━━━━━━━━━━━━━━━━━━━━━━━━━━━━━━━━━━━━━━━━━━━━━━━━━━━━━━━━━━━━━━━━━━</w:t>
      </w:r>
    </w:p>
    <w:p>
      <w:pPr>
        <w:spacing w:after="100" w:line="252" w:lineRule="auto"/>
      </w:pPr>
      <w:r>
        <w:rPr>
          <w:rFonts w:ascii="DejaVu Sans" w:hAnsi="DejaVu Sans"/>
          <w:color w:val="132238"/>
          <w:sz w:val="19"/>
        </w:rPr>
        <w:t>The maintenance service calculates local Lesotho midnight independently from the container timezone. A PostgreSQL advisory lock ensures only one worker performs the nightly cycle.</w:t>
      </w:r>
    </w:p>
    <w:p>
      <w:pPr>
        <w:spacing w:before="120" w:after="60"/>
      </w:pPr>
      <w:r>
        <w:rPr>
          <w:rFonts w:ascii="DejaVu Sans" w:hAnsi="DejaVu Sans"/>
          <w:b/>
          <w:color w:val="062B55"/>
          <w:sz w:val="26"/>
        </w:rPr>
        <w:t>Workflow</w:t>
      </w:r>
    </w:p>
    <w:p>
      <w:pPr>
        <w:pStyle w:val="ListNumber"/>
        <w:spacing w:after="40" w:line="245" w:lineRule="auto"/>
        <w:ind w:left="317" w:hanging="173"/>
      </w:pPr>
      <w:r>
        <w:rPr>
          <w:rFonts w:ascii="DejaVu Sans" w:hAnsi="DejaVu Sans"/>
          <w:color w:val="132238"/>
          <w:sz w:val="18"/>
        </w:rPr>
        <w:t>At local 00:00, run lifecycle maintenance for requests, offers, subscriptions, instalments and loans.</w:t>
      </w:r>
    </w:p>
    <w:p>
      <w:pPr>
        <w:pStyle w:val="ListNumber"/>
        <w:spacing w:after="40" w:line="245" w:lineRule="auto"/>
        <w:ind w:left="317" w:hanging="173"/>
      </w:pPr>
      <w:r>
        <w:rPr>
          <w:rFonts w:ascii="DejaVu Sans" w:hAnsi="DejaVu Sans"/>
          <w:color w:val="132238"/>
          <w:sz w:val="18"/>
        </w:rPr>
        <w:t>Generate platform daily PDF and CSV for the previous day.</w:t>
      </w:r>
    </w:p>
    <w:p>
      <w:pPr>
        <w:pStyle w:val="ListNumber"/>
        <w:spacing w:after="40" w:line="245" w:lineRule="auto"/>
        <w:ind w:left="317" w:hanging="173"/>
      </w:pPr>
      <w:r>
        <w:rPr>
          <w:rFonts w:ascii="DejaVu Sans" w:hAnsi="DejaVu Sans"/>
          <w:color w:val="132238"/>
          <w:sz w:val="18"/>
        </w:rPr>
        <w:t>Generate one report for every active company.</w:t>
      </w:r>
    </w:p>
    <w:p>
      <w:pPr>
        <w:pStyle w:val="ListNumber"/>
        <w:spacing w:after="40" w:line="245" w:lineRule="auto"/>
        <w:ind w:left="317" w:hanging="173"/>
      </w:pPr>
      <w:r>
        <w:rPr>
          <w:rFonts w:ascii="DejaVu Sans" w:hAnsi="DejaVu Sans"/>
          <w:color w:val="132238"/>
          <w:sz w:val="18"/>
        </w:rPr>
        <w:t>Generate one report for every active branch.</w:t>
      </w:r>
    </w:p>
    <w:p>
      <w:pPr>
        <w:pStyle w:val="ListNumber"/>
        <w:spacing w:after="40" w:line="245" w:lineRule="auto"/>
        <w:ind w:left="317" w:hanging="173"/>
      </w:pPr>
      <w:r>
        <w:rPr>
          <w:rFonts w:ascii="DejaVu Sans" w:hAnsi="DejaVu Sans"/>
          <w:color w:val="132238"/>
          <w:sz w:val="18"/>
        </w:rPr>
        <w:t>On Monday, add the previous completed week.</w:t>
      </w:r>
    </w:p>
    <w:p>
      <w:pPr>
        <w:pStyle w:val="ListNumber"/>
        <w:spacing w:after="40" w:line="245" w:lineRule="auto"/>
        <w:ind w:left="317" w:hanging="173"/>
      </w:pPr>
      <w:r>
        <w:rPr>
          <w:rFonts w:ascii="DejaVu Sans" w:hAnsi="DejaVu Sans"/>
          <w:color w:val="132238"/>
          <w:sz w:val="18"/>
        </w:rPr>
        <w:t>On the first day of a month, add the previous completed month.</w:t>
      </w:r>
    </w:p>
    <w:p>
      <w:pPr>
        <w:pStyle w:val="ListNumber"/>
        <w:spacing w:after="40" w:line="245" w:lineRule="auto"/>
        <w:ind w:left="317" w:hanging="173"/>
      </w:pPr>
      <w:r>
        <w:rPr>
          <w:rFonts w:ascii="DejaVu Sans" w:hAnsi="DejaVu Sans"/>
          <w:color w:val="132238"/>
          <w:sz w:val="18"/>
        </w:rPr>
        <w:t>On January 1, add the previous calendar year.</w:t>
      </w:r>
    </w:p>
    <w:p>
      <w:pPr>
        <w:spacing w:before="120" w:after="60"/>
      </w:pPr>
      <w:r>
        <w:rPr>
          <w:rFonts w:ascii="DejaVu Sans" w:hAnsi="DejaVu Sans"/>
          <w:b/>
          <w:color w:val="062B55"/>
          <w:sz w:val="26"/>
        </w:rPr>
        <w:t>Important controls</w:t>
      </w:r>
    </w:p>
    <w:p>
      <w:pPr>
        <w:pStyle w:val="ListBullet"/>
        <w:spacing w:after="40" w:line="245" w:lineRule="auto"/>
        <w:ind w:left="317" w:hanging="173"/>
      </w:pPr>
      <w:r>
        <w:rPr>
          <w:rFonts w:ascii="DejaVu Sans" w:hAnsi="DejaVu Sans"/>
          <w:color w:val="132238"/>
          <w:sz w:val="18"/>
        </w:rPr>
        <w:t>Generation is idempotent: the same scope, period, type and format is not duplicated.</w:t>
      </w:r>
    </w:p>
    <w:p>
      <w:pPr>
        <w:pStyle w:val="ListBullet"/>
        <w:spacing w:after="40" w:line="245" w:lineRule="auto"/>
        <w:ind w:left="317" w:hanging="173"/>
      </w:pPr>
      <w:r>
        <w:rPr>
          <w:rFonts w:ascii="DejaVu Sans" w:hAnsi="DejaVu Sans"/>
          <w:color w:val="132238"/>
          <w:sz w:val="18"/>
        </w:rPr>
        <w:t>Reports are saved in managed media and are ready for authorised download or printing.</w:t>
      </w:r>
    </w:p>
    <w:p>
      <w:pPr>
        <w:pStyle w:val="ListBullet"/>
        <w:spacing w:after="40" w:line="245" w:lineRule="auto"/>
        <w:ind w:left="317" w:hanging="173"/>
      </w:pPr>
      <w:r>
        <w:rPr>
          <w:rFonts w:ascii="DejaVu Sans" w:hAnsi="DejaVu Sans"/>
          <w:color w:val="132238"/>
          <w:sz w:val="18"/>
        </w:rPr>
        <w:t>The maintenance container must remain healthy.</w:t>
      </w:r>
    </w:p>
    <w:p>
      <w:r>
        <w:br w:type="page"/>
      </w:r>
    </w:p>
    <w:p>
      <w:pPr>
        <w:spacing w:after="40"/>
      </w:pPr>
      <w:r>
        <w:rPr>
          <w:rFonts w:ascii="DejaVu Sans" w:hAnsi="DejaVu Sans"/>
          <w:b/>
          <w:color w:val="062B55"/>
          <w:sz w:val="44"/>
        </w:rPr>
        <w:t>39. Audit history and transparency</w:t>
      </w:r>
    </w:p>
    <w:p>
      <w:pPr>
        <w:spacing w:after="200"/>
      </w:pPr>
      <w:r>
        <w:rPr>
          <w:rFonts w:ascii="DejaVu Sans" w:hAnsi="DejaVu Sans"/>
          <w:i/>
          <w:color w:val="5B6573"/>
          <w:sz w:val="21"/>
        </w:rPr>
        <w:t>Trace who changed what, where and when</w:t>
      </w:r>
    </w:p>
    <w:p>
      <w:pPr>
        <w:spacing w:after="200"/>
      </w:pPr>
      <w:r>
        <w:rPr>
          <w:color w:val="007E8A"/>
          <w:sz w:val="10"/>
        </w:rPr>
        <w:t>━━━━━━━━━━━━━━━━━━━━━━━━━━━━━━━━━━━━━━━━━━━━━━━━━━━━━━━━━━━━━━━━━━━━━━</w:t>
      </w:r>
    </w:p>
    <w:p>
      <w:pPr>
        <w:spacing w:after="100" w:line="252" w:lineRule="auto"/>
      </w:pPr>
      <w:r>
        <w:rPr>
          <w:rFonts w:ascii="DejaVu Sans" w:hAnsi="DejaVu Sans"/>
          <w:color w:val="132238"/>
          <w:sz w:val="19"/>
        </w:rPr>
        <w:t>Normal mapped create, update and delete events create durable audit records with actor, role, tenant, branch, entity, before/after values, changed fields, request ID, client context and time. Secrets are redacted.</w:t>
      </w:r>
    </w:p>
    <w:p>
      <w:pPr>
        <w:spacing w:before="120" w:after="60"/>
      </w:pPr>
      <w:r>
        <w:rPr>
          <w:rFonts w:ascii="DejaVu Sans" w:hAnsi="DejaVu Sans"/>
          <w:b/>
          <w:color w:val="062B55"/>
          <w:sz w:val="26"/>
        </w:rPr>
        <w:t>Workflow</w:t>
      </w:r>
    </w:p>
    <w:p>
      <w:pPr>
        <w:pStyle w:val="ListNumber"/>
        <w:spacing w:after="40" w:line="245" w:lineRule="auto"/>
        <w:ind w:left="317" w:hanging="173"/>
      </w:pPr>
      <w:r>
        <w:rPr>
          <w:rFonts w:ascii="DejaVu Sans" w:hAnsi="DejaVu Sans"/>
          <w:color w:val="132238"/>
          <w:sz w:val="18"/>
        </w:rPr>
        <w:t>Open Activity.</w:t>
      </w:r>
    </w:p>
    <w:p>
      <w:pPr>
        <w:pStyle w:val="ListNumber"/>
        <w:spacing w:after="40" w:line="245" w:lineRule="auto"/>
        <w:ind w:left="317" w:hanging="173"/>
      </w:pPr>
      <w:r>
        <w:rPr>
          <w:rFonts w:ascii="DejaVu Sans" w:hAnsi="DejaVu Sans"/>
          <w:color w:val="132238"/>
          <w:sz w:val="18"/>
        </w:rPr>
        <w:t>Filter by period, actor, action, entity, company or branch.</w:t>
      </w:r>
    </w:p>
    <w:p>
      <w:pPr>
        <w:pStyle w:val="ListNumber"/>
        <w:spacing w:after="40" w:line="245" w:lineRule="auto"/>
        <w:ind w:left="317" w:hanging="173"/>
      </w:pPr>
      <w:r>
        <w:rPr>
          <w:rFonts w:ascii="DejaVu Sans" w:hAnsi="DejaVu Sans"/>
          <w:color w:val="132238"/>
          <w:sz w:val="18"/>
        </w:rPr>
        <w:t>Open an event and compare before/after values.</w:t>
      </w:r>
    </w:p>
    <w:p>
      <w:pPr>
        <w:pStyle w:val="ListNumber"/>
        <w:spacing w:after="40" w:line="245" w:lineRule="auto"/>
        <w:ind w:left="317" w:hanging="173"/>
      </w:pPr>
      <w:r>
        <w:rPr>
          <w:rFonts w:ascii="DejaVu Sans" w:hAnsi="DejaVu Sans"/>
          <w:color w:val="132238"/>
          <w:sz w:val="18"/>
        </w:rPr>
        <w:t>Use the request ID to correlate an incident.</w:t>
      </w:r>
    </w:p>
    <w:p>
      <w:pPr>
        <w:pStyle w:val="ListNumber"/>
        <w:spacing w:after="40" w:line="245" w:lineRule="auto"/>
        <w:ind w:left="317" w:hanging="173"/>
      </w:pPr>
      <w:r>
        <w:rPr>
          <w:rFonts w:ascii="DejaVu Sans" w:hAnsi="DejaVu Sans"/>
          <w:color w:val="132238"/>
          <w:sz w:val="18"/>
        </w:rPr>
        <w:t>Export or attach evidence under authorised visibility.</w:t>
      </w:r>
    </w:p>
    <w:p>
      <w:pPr>
        <w:spacing w:before="120" w:after="60"/>
      </w:pPr>
      <w:r>
        <w:rPr>
          <w:rFonts w:ascii="DejaVu Sans" w:hAnsi="DejaVu Sans"/>
          <w:b/>
          <w:color w:val="062B55"/>
          <w:sz w:val="26"/>
        </w:rPr>
        <w:t>Important controls</w:t>
      </w:r>
    </w:p>
    <w:p>
      <w:pPr>
        <w:pStyle w:val="ListBullet"/>
        <w:spacing w:after="40" w:line="245" w:lineRule="auto"/>
        <w:ind w:left="317" w:hanging="173"/>
      </w:pPr>
      <w:r>
        <w:rPr>
          <w:rFonts w:ascii="DejaVu Sans" w:hAnsi="DejaVu Sans"/>
          <w:color w:val="132238"/>
          <w:sz w:val="18"/>
        </w:rPr>
        <w:t>Bulk business workflows use mapped changes so audit listeners are not bypassed.</w:t>
      </w:r>
    </w:p>
    <w:p>
      <w:pPr>
        <w:pStyle w:val="ListBullet"/>
        <w:spacing w:after="40" w:line="245" w:lineRule="auto"/>
        <w:ind w:left="317" w:hanging="173"/>
      </w:pPr>
      <w:r>
        <w:rPr>
          <w:rFonts w:ascii="DejaVu Sans" w:hAnsi="DejaVu Sans"/>
          <w:color w:val="132238"/>
          <w:sz w:val="18"/>
        </w:rPr>
        <w:t>Role-switch actions retain the original platform owner in event context.</w:t>
      </w:r>
    </w:p>
    <w:p>
      <w:pPr>
        <w:pStyle w:val="ListBullet"/>
        <w:spacing w:after="40" w:line="245" w:lineRule="auto"/>
        <w:ind w:left="317" w:hanging="173"/>
      </w:pPr>
      <w:r>
        <w:rPr>
          <w:rFonts w:ascii="DejaVu Sans" w:hAnsi="DejaVu Sans"/>
          <w:color w:val="132238"/>
          <w:sz w:val="18"/>
        </w:rPr>
        <w:t>Audit records are not a substitute for approved legal retention policy.</w:t>
      </w:r>
    </w:p>
    <w:p>
      <w:r>
        <w:br w:type="page"/>
      </w:r>
    </w:p>
    <w:p>
      <w:pPr>
        <w:spacing w:after="40"/>
      </w:pPr>
      <w:r>
        <w:rPr>
          <w:rFonts w:ascii="DejaVu Sans" w:hAnsi="DejaVu Sans"/>
          <w:b/>
          <w:color w:val="062B55"/>
          <w:sz w:val="44"/>
        </w:rPr>
        <w:t>40. Dashboard quality and readable records</w:t>
      </w:r>
    </w:p>
    <w:p>
      <w:pPr>
        <w:spacing w:after="200"/>
      </w:pPr>
      <w:r>
        <w:rPr>
          <w:rFonts w:ascii="DejaVu Sans" w:hAnsi="DejaVu Sans"/>
          <w:i/>
          <w:color w:val="5B6573"/>
          <w:sz w:val="21"/>
        </w:rPr>
        <w:t>Avoid demo data and raw database identifiers</w:t>
      </w:r>
    </w:p>
    <w:p>
      <w:pPr>
        <w:spacing w:after="200"/>
      </w:pPr>
      <w:r>
        <w:rPr>
          <w:color w:val="007E8A"/>
          <w:sz w:val="10"/>
        </w:rPr>
        <w:t>━━━━━━━━━━━━━━━━━━━━━━━━━━━━━━━━━━━━━━━━━━━━━━━━━━━━━━━━━━━━━━━━━━━━━━</w:t>
      </w:r>
    </w:p>
    <w:p>
      <w:pPr>
        <w:spacing w:after="100" w:line="252" w:lineRule="auto"/>
      </w:pPr>
      <w:r>
        <w:rPr>
          <w:rFonts w:ascii="DejaVu Sans" w:hAnsi="DejaVu Sans"/>
          <w:color w:val="132238"/>
          <w:sz w:val="19"/>
        </w:rPr>
        <w:t>Dashboards use live provider data, meaningful names and compact references. The old static company-admin dashboard is retained only as a redirect to the live company portal.</w:t>
      </w:r>
    </w:p>
    <w:p>
      <w:pPr>
        <w:spacing w:before="120" w:after="60"/>
      </w:pPr>
      <w:r>
        <w:rPr>
          <w:rFonts w:ascii="DejaVu Sans" w:hAnsi="DejaVu Sans"/>
          <w:b/>
          <w:color w:val="062B55"/>
          <w:sz w:val="26"/>
        </w:rPr>
        <w:t>Workflow</w:t>
      </w:r>
    </w:p>
    <w:p>
      <w:pPr>
        <w:pStyle w:val="ListNumber"/>
        <w:spacing w:after="40" w:line="245" w:lineRule="auto"/>
        <w:ind w:left="317" w:hanging="173"/>
      </w:pPr>
      <w:r>
        <w:rPr>
          <w:rFonts w:ascii="DejaVu Sans" w:hAnsi="DejaVu Sans"/>
          <w:color w:val="132238"/>
          <w:sz w:val="18"/>
        </w:rPr>
        <w:t>Confirm a card is calculated from AppDataProvider or an authorised API response.</w:t>
      </w:r>
    </w:p>
    <w:p>
      <w:pPr>
        <w:pStyle w:val="ListNumber"/>
        <w:spacing w:after="40" w:line="245" w:lineRule="auto"/>
        <w:ind w:left="317" w:hanging="173"/>
      </w:pPr>
      <w:r>
        <w:rPr>
          <w:rFonts w:ascii="DejaVu Sans" w:hAnsi="DejaVu Sans"/>
          <w:color w:val="132238"/>
          <w:sz w:val="18"/>
        </w:rPr>
        <w:t>Display company, branch, borrower, employee and loan names where permitted.</w:t>
      </w:r>
    </w:p>
    <w:p>
      <w:pPr>
        <w:pStyle w:val="ListNumber"/>
        <w:spacing w:after="40" w:line="245" w:lineRule="auto"/>
        <w:ind w:left="317" w:hanging="173"/>
      </w:pPr>
      <w:r>
        <w:rPr>
          <w:rFonts w:ascii="DejaVu Sans" w:hAnsi="DejaVu Sans"/>
          <w:color w:val="132238"/>
          <w:sz w:val="18"/>
        </w:rPr>
        <w:t>Use friendly record references for payments, reports and support requests.</w:t>
      </w:r>
    </w:p>
    <w:p>
      <w:pPr>
        <w:pStyle w:val="ListNumber"/>
        <w:spacing w:after="40" w:line="245" w:lineRule="auto"/>
        <w:ind w:left="317" w:hanging="173"/>
      </w:pPr>
      <w:r>
        <w:rPr>
          <w:rFonts w:ascii="DejaVu Sans" w:hAnsi="DejaVu Sans"/>
          <w:color w:val="132238"/>
          <w:sz w:val="18"/>
        </w:rPr>
        <w:t>Keep raw UUIDs in technical details only.</w:t>
      </w:r>
    </w:p>
    <w:p>
      <w:pPr>
        <w:pStyle w:val="ListNumber"/>
        <w:spacing w:after="40" w:line="245" w:lineRule="auto"/>
        <w:ind w:left="317" w:hanging="173"/>
      </w:pPr>
      <w:r>
        <w:rPr>
          <w:rFonts w:ascii="DejaVu Sans" w:hAnsi="DejaVu Sans"/>
          <w:color w:val="132238"/>
          <w:sz w:val="18"/>
        </w:rPr>
        <w:t>Make empty, loading and error states explicit.</w:t>
      </w:r>
    </w:p>
    <w:p>
      <w:pPr>
        <w:spacing w:before="120" w:after="60"/>
      </w:pPr>
      <w:r>
        <w:rPr>
          <w:rFonts w:ascii="DejaVu Sans" w:hAnsi="DejaVu Sans"/>
          <w:b/>
          <w:color w:val="062B55"/>
          <w:sz w:val="26"/>
        </w:rPr>
        <w:t>Important controls</w:t>
      </w:r>
    </w:p>
    <w:p>
      <w:pPr>
        <w:pStyle w:val="ListBullet"/>
        <w:spacing w:after="40" w:line="245" w:lineRule="auto"/>
        <w:ind w:left="317" w:hanging="173"/>
      </w:pPr>
      <w:r>
        <w:rPr>
          <w:rFonts w:ascii="DejaVu Sans" w:hAnsi="DejaVu Sans"/>
          <w:color w:val="132238"/>
          <w:sz w:val="18"/>
        </w:rPr>
        <w:t>Do not show invented totals, fake recent activity or inactive buttons.</w:t>
      </w:r>
    </w:p>
    <w:p>
      <w:pPr>
        <w:pStyle w:val="ListBullet"/>
        <w:spacing w:after="40" w:line="245" w:lineRule="auto"/>
        <w:ind w:left="317" w:hanging="173"/>
      </w:pPr>
      <w:r>
        <w:rPr>
          <w:rFonts w:ascii="DejaVu Sans" w:hAnsi="DejaVu Sans"/>
          <w:color w:val="132238"/>
          <w:sz w:val="18"/>
        </w:rPr>
        <w:t>Buttons either submit a validated form, open a menu, navigate to a real route or are clearly disabled with a reason.</w:t>
      </w:r>
    </w:p>
    <w:p>
      <w:r>
        <w:br w:type="page"/>
      </w:r>
    </w:p>
    <w:p>
      <w:pPr>
        <w:spacing w:after="40"/>
      </w:pPr>
      <w:r>
        <w:rPr>
          <w:rFonts w:ascii="DejaVu Sans" w:hAnsi="DejaVu Sans"/>
          <w:b/>
          <w:color w:val="062B55"/>
          <w:sz w:val="44"/>
        </w:rPr>
        <w:t>41. Security, privacy and data handling</w:t>
      </w:r>
    </w:p>
    <w:p>
      <w:pPr>
        <w:spacing w:after="200"/>
      </w:pPr>
      <w:r>
        <w:rPr>
          <w:rFonts w:ascii="DejaVu Sans" w:hAnsi="DejaVu Sans"/>
          <w:i/>
          <w:color w:val="5B6573"/>
          <w:sz w:val="21"/>
        </w:rPr>
        <w:t>Operate LoanHub responsibly</w:t>
      </w:r>
    </w:p>
    <w:p>
      <w:pPr>
        <w:spacing w:after="200"/>
      </w:pPr>
      <w:r>
        <w:rPr>
          <w:color w:val="007E8A"/>
          <w:sz w:val="10"/>
        </w:rPr>
        <w:t>━━━━━━━━━━━━━━━━━━━━━━━━━━━━━━━━━━━━━━━━━━━━━━━━━━━━━━━━━━━━━━━━━━━━━━</w:t>
      </w:r>
    </w:p>
    <w:p>
      <w:pPr>
        <w:spacing w:after="100" w:line="252" w:lineRule="auto"/>
      </w:pPr>
      <w:r>
        <w:rPr>
          <w:rFonts w:ascii="DejaVu Sans" w:hAnsi="DejaVu Sans"/>
          <w:color w:val="132238"/>
          <w:sz w:val="19"/>
        </w:rPr>
        <w:t>Security depends on server-side tenant enforcement, least privilege, encrypted secrets, safe files, controlled deployments and honest provider status.</w:t>
      </w:r>
    </w:p>
    <w:p>
      <w:pPr>
        <w:spacing w:before="120" w:after="60"/>
      </w:pPr>
      <w:r>
        <w:rPr>
          <w:rFonts w:ascii="DejaVu Sans" w:hAnsi="DejaVu Sans"/>
          <w:b/>
          <w:color w:val="062B55"/>
          <w:sz w:val="26"/>
        </w:rPr>
        <w:t>Workflow</w:t>
      </w:r>
    </w:p>
    <w:p>
      <w:pPr>
        <w:pStyle w:val="ListNumber"/>
        <w:spacing w:after="40" w:line="245" w:lineRule="auto"/>
        <w:ind w:left="317" w:hanging="173"/>
      </w:pPr>
      <w:r>
        <w:rPr>
          <w:rFonts w:ascii="DejaVu Sans" w:hAnsi="DejaVu Sans"/>
          <w:color w:val="132238"/>
          <w:sz w:val="18"/>
        </w:rPr>
        <w:t>Use HTTPS/WSS and secure cookies/tokens in production.</w:t>
      </w:r>
    </w:p>
    <w:p>
      <w:pPr>
        <w:pStyle w:val="ListNumber"/>
        <w:spacing w:after="40" w:line="245" w:lineRule="auto"/>
        <w:ind w:left="317" w:hanging="173"/>
      </w:pPr>
      <w:r>
        <w:rPr>
          <w:rFonts w:ascii="DejaVu Sans" w:hAnsi="DejaVu Sans"/>
          <w:color w:val="132238"/>
          <w:sz w:val="18"/>
        </w:rPr>
        <w:t>Keep JWT, encryption, database and mobile-money secrets outside Git.</w:t>
      </w:r>
    </w:p>
    <w:p>
      <w:pPr>
        <w:pStyle w:val="ListNumber"/>
        <w:spacing w:after="40" w:line="245" w:lineRule="auto"/>
        <w:ind w:left="317" w:hanging="173"/>
      </w:pPr>
      <w:r>
        <w:rPr>
          <w:rFonts w:ascii="DejaVu Sans" w:hAnsi="DejaVu Sans"/>
          <w:color w:val="132238"/>
          <w:sz w:val="18"/>
        </w:rPr>
        <w:t>Back up PostgreSQL and encrypted file storage together and test restoration.</w:t>
      </w:r>
    </w:p>
    <w:p>
      <w:pPr>
        <w:pStyle w:val="ListNumber"/>
        <w:spacing w:after="40" w:line="245" w:lineRule="auto"/>
        <w:ind w:left="317" w:hanging="173"/>
      </w:pPr>
      <w:r>
        <w:rPr>
          <w:rFonts w:ascii="DejaVu Sans" w:hAnsi="DejaVu Sans"/>
          <w:color w:val="132238"/>
          <w:sz w:val="18"/>
        </w:rPr>
        <w:t>Review roles regularly and remove access promptly.</w:t>
      </w:r>
    </w:p>
    <w:p>
      <w:pPr>
        <w:pStyle w:val="ListNumber"/>
        <w:spacing w:after="40" w:line="245" w:lineRule="auto"/>
        <w:ind w:left="317" w:hanging="173"/>
      </w:pPr>
      <w:r>
        <w:rPr>
          <w:rFonts w:ascii="DejaVu Sans" w:hAnsi="DejaVu Sans"/>
          <w:color w:val="132238"/>
          <w:sz w:val="18"/>
        </w:rPr>
        <w:t>Protect borrower consent and minimise exported personal data.</w:t>
      </w:r>
    </w:p>
    <w:p>
      <w:pPr>
        <w:pStyle w:val="ListNumber"/>
        <w:spacing w:after="40" w:line="245" w:lineRule="auto"/>
        <w:ind w:left="317" w:hanging="173"/>
      </w:pPr>
      <w:r>
        <w:rPr>
          <w:rFonts w:ascii="DejaVu Sans" w:hAnsi="DejaVu Sans"/>
          <w:color w:val="132238"/>
          <w:sz w:val="18"/>
        </w:rPr>
        <w:t>Use the request ID rather than technical stack traces for ordinary support.</w:t>
      </w:r>
    </w:p>
    <w:p>
      <w:pPr>
        <w:spacing w:before="120" w:after="60"/>
      </w:pPr>
      <w:r>
        <w:rPr>
          <w:rFonts w:ascii="DejaVu Sans" w:hAnsi="DejaVu Sans"/>
          <w:b/>
          <w:color w:val="062B55"/>
          <w:sz w:val="26"/>
        </w:rPr>
        <w:t>Important controls</w:t>
      </w:r>
    </w:p>
    <w:p>
      <w:pPr>
        <w:pStyle w:val="ListBullet"/>
        <w:spacing w:after="40" w:line="245" w:lineRule="auto"/>
        <w:ind w:left="317" w:hanging="173"/>
      </w:pPr>
      <w:r>
        <w:rPr>
          <w:rFonts w:ascii="DejaVu Sans" w:hAnsi="DejaVu Sans"/>
          <w:color w:val="132238"/>
          <w:sz w:val="18"/>
        </w:rPr>
        <w:t>Live M-Pesa/EcoCash remains incomplete until official provider onboarding and certification.</w:t>
      </w:r>
    </w:p>
    <w:p>
      <w:pPr>
        <w:pStyle w:val="ListBullet"/>
        <w:spacing w:after="40" w:line="245" w:lineRule="auto"/>
        <w:ind w:left="317" w:hanging="173"/>
      </w:pPr>
      <w:r>
        <w:rPr>
          <w:rFonts w:ascii="DejaVu Sans" w:hAnsi="DejaVu Sans"/>
          <w:color w:val="132238"/>
          <w:sz w:val="18"/>
        </w:rPr>
        <w:t>Do not describe mock or pending adapters as live settlement.</w:t>
      </w:r>
    </w:p>
    <w:p>
      <w:pPr>
        <w:pStyle w:val="ListBullet"/>
        <w:spacing w:after="40" w:line="245" w:lineRule="auto"/>
        <w:ind w:left="317" w:hanging="173"/>
      </w:pPr>
      <w:r>
        <w:rPr>
          <w:rFonts w:ascii="DejaVu Sans" w:hAnsi="DejaVu Sans"/>
          <w:color w:val="132238"/>
          <w:sz w:val="18"/>
        </w:rPr>
        <w:t>Use signed object-storage links and malware scanning for high-availability deployment.</w:t>
      </w:r>
    </w:p>
    <w:p>
      <w:r>
        <w:br w:type="page"/>
      </w:r>
    </w:p>
    <w:p>
      <w:pPr>
        <w:spacing w:after="40"/>
      </w:pPr>
      <w:r>
        <w:rPr>
          <w:rFonts w:ascii="DejaVu Sans" w:hAnsi="DejaVu Sans"/>
          <w:b/>
          <w:color w:val="062B55"/>
          <w:sz w:val="44"/>
        </w:rPr>
        <w:t>42. Database migrations and release validation</w:t>
      </w:r>
    </w:p>
    <w:p>
      <w:pPr>
        <w:spacing w:after="200"/>
      </w:pPr>
      <w:r>
        <w:rPr>
          <w:rFonts w:ascii="DejaVu Sans" w:hAnsi="DejaVu Sans"/>
          <w:i/>
          <w:color w:val="5B6573"/>
          <w:sz w:val="21"/>
        </w:rPr>
        <w:t>Keep models, Alembic and routes aligned</w:t>
      </w:r>
    </w:p>
    <w:p>
      <w:pPr>
        <w:spacing w:after="200"/>
      </w:pPr>
      <w:r>
        <w:rPr>
          <w:color w:val="007E8A"/>
          <w:sz w:val="10"/>
        </w:rPr>
        <w:t>━━━━━━━━━━━━━━━━━━━━━━━━━━━━━━━━━━━━━━━━━━━━━━━━━━━━━━━━━━━━━━━━━━━━━━</w:t>
      </w:r>
    </w:p>
    <w:p>
      <w:pPr>
        <w:spacing w:after="100" w:line="252" w:lineRule="auto"/>
      </w:pPr>
      <w:r>
        <w:rPr>
          <w:rFonts w:ascii="DejaVu Sans" w:hAnsi="DejaVu Sans"/>
          <w:color w:val="132238"/>
          <w:sz w:val="19"/>
        </w:rPr>
        <w:t>The repository has one repaired linear migration chain ending at `f1a9c4e7b620`. Compatibility revisions remain because production/local databases may already reference them.</w:t>
      </w:r>
    </w:p>
    <w:p>
      <w:pPr>
        <w:spacing w:before="120" w:after="60"/>
      </w:pPr>
      <w:r>
        <w:rPr>
          <w:rFonts w:ascii="DejaVu Sans" w:hAnsi="DejaVu Sans"/>
          <w:b/>
          <w:color w:val="062B55"/>
          <w:sz w:val="26"/>
        </w:rPr>
        <w:t>Workflow</w:t>
      </w:r>
    </w:p>
    <w:p>
      <w:pPr>
        <w:pStyle w:val="ListNumber"/>
        <w:spacing w:after="40" w:line="245" w:lineRule="auto"/>
        <w:ind w:left="317" w:hanging="173"/>
      </w:pPr>
      <w:r>
        <w:rPr>
          <w:rFonts w:ascii="DejaVu Sans" w:hAnsi="DejaVu Sans"/>
          <w:color w:val="132238"/>
          <w:sz w:val="18"/>
        </w:rPr>
        <w:t>Back up the target database.</w:t>
      </w:r>
    </w:p>
    <w:p>
      <w:pPr>
        <w:pStyle w:val="ListNumber"/>
        <w:spacing w:after="40" w:line="245" w:lineRule="auto"/>
        <w:ind w:left="317" w:hanging="173"/>
      </w:pPr>
      <w:r>
        <w:rPr>
          <w:rFonts w:ascii="DejaVu Sans" w:hAnsi="DejaVu Sans"/>
          <w:color w:val="132238"/>
          <w:sz w:val="18"/>
        </w:rPr>
        <w:t>Stop API, maintenance and other sessions that can lock altered tables.</w:t>
      </w:r>
    </w:p>
    <w:p>
      <w:pPr>
        <w:pStyle w:val="ListNumber"/>
        <w:spacing w:after="40" w:line="245" w:lineRule="auto"/>
        <w:ind w:left="317" w:hanging="173"/>
      </w:pPr>
      <w:r>
        <w:rPr>
          <w:rFonts w:ascii="DejaVu Sans" w:hAnsi="DejaVu Sans"/>
          <w:color w:val="132238"/>
          <w:sz w:val="18"/>
        </w:rPr>
        <w:t>Run `alembic current`, `alembic heads` and inspect the graph.</w:t>
      </w:r>
    </w:p>
    <w:p>
      <w:pPr>
        <w:pStyle w:val="ListNumber"/>
        <w:spacing w:after="40" w:line="245" w:lineRule="auto"/>
        <w:ind w:left="317" w:hanging="173"/>
      </w:pPr>
      <w:r>
        <w:rPr>
          <w:rFonts w:ascii="DejaVu Sans" w:hAnsi="DejaVu Sans"/>
          <w:color w:val="132238"/>
          <w:sz w:val="18"/>
        </w:rPr>
        <w:t>Use the dedicated migration container or guarded migration script.</w:t>
      </w:r>
    </w:p>
    <w:p>
      <w:pPr>
        <w:pStyle w:val="ListNumber"/>
        <w:spacing w:after="40" w:line="245" w:lineRule="auto"/>
        <w:ind w:left="317" w:hanging="173"/>
      </w:pPr>
      <w:r>
        <w:rPr>
          <w:rFonts w:ascii="DejaVu Sans" w:hAnsi="DejaVu Sans"/>
          <w:color w:val="132238"/>
          <w:sz w:val="18"/>
        </w:rPr>
        <w:t>Run `alembic upgrade head`.</w:t>
      </w:r>
    </w:p>
    <w:p>
      <w:pPr>
        <w:pStyle w:val="ListNumber"/>
        <w:spacing w:after="40" w:line="245" w:lineRule="auto"/>
        <w:ind w:left="317" w:hanging="173"/>
      </w:pPr>
      <w:r>
        <w:rPr>
          <w:rFonts w:ascii="DejaVu Sans" w:hAnsi="DejaVu Sans"/>
          <w:color w:val="132238"/>
          <w:sz w:val="18"/>
        </w:rPr>
        <w:t>Run `alembic check` against staging and execute release validation.</w:t>
      </w:r>
    </w:p>
    <w:p>
      <w:pPr>
        <w:pStyle w:val="ListNumber"/>
        <w:spacing w:after="40" w:line="245" w:lineRule="auto"/>
        <w:ind w:left="317" w:hanging="173"/>
      </w:pPr>
      <w:r>
        <w:rPr>
          <w:rFonts w:ascii="DejaVu Sans" w:hAnsi="DejaVu Sans"/>
          <w:color w:val="132238"/>
          <w:sz w:val="18"/>
        </w:rPr>
        <w:t>Start services and smoke-test all roles.</w:t>
      </w:r>
    </w:p>
    <w:p>
      <w:pPr>
        <w:spacing w:before="120" w:after="60"/>
      </w:pPr>
      <w:r>
        <w:rPr>
          <w:rFonts w:ascii="DejaVu Sans" w:hAnsi="DejaVu Sans"/>
          <w:b/>
          <w:color w:val="062B55"/>
          <w:sz w:val="26"/>
        </w:rPr>
        <w:t>Important controls</w:t>
      </w:r>
    </w:p>
    <w:p>
      <w:pPr>
        <w:pStyle w:val="ListBullet"/>
        <w:spacing w:after="40" w:line="245" w:lineRule="auto"/>
        <w:ind w:left="317" w:hanging="173"/>
      </w:pPr>
      <w:r>
        <w:rPr>
          <w:rFonts w:ascii="DejaVu Sans" w:hAnsi="DejaVu Sans"/>
          <w:color w:val="132238"/>
          <w:sz w:val="18"/>
        </w:rPr>
        <w:t>Never delete an applied migration file.</w:t>
      </w:r>
    </w:p>
    <w:p>
      <w:pPr>
        <w:pStyle w:val="ListBullet"/>
        <w:spacing w:after="40" w:line="245" w:lineRule="auto"/>
        <w:ind w:left="317" w:hanging="173"/>
      </w:pPr>
      <w:r>
        <w:rPr>
          <w:rFonts w:ascii="DejaVu Sans" w:hAnsi="DejaVu Sans"/>
          <w:color w:val="132238"/>
          <w:sz w:val="18"/>
        </w:rPr>
        <w:t>Never use `alembic stamp head` to hide missing schema changes.</w:t>
      </w:r>
    </w:p>
    <w:p>
      <w:pPr>
        <w:pStyle w:val="ListBullet"/>
        <w:spacing w:after="40" w:line="245" w:lineRule="auto"/>
        <w:ind w:left="317" w:hanging="173"/>
      </w:pPr>
      <w:r>
        <w:rPr>
          <w:rFonts w:ascii="DejaVu Sans" w:hAnsi="DejaVu Sans"/>
          <w:color w:val="132238"/>
          <w:sz w:val="18"/>
        </w:rPr>
        <w:t>Do not create meaningless “test” autogenerate revisions.</w:t>
      </w:r>
    </w:p>
    <w:p>
      <w:pPr>
        <w:pStyle w:val="ListBullet"/>
        <w:spacing w:after="40" w:line="245" w:lineRule="auto"/>
        <w:ind w:left="317" w:hanging="173"/>
      </w:pPr>
      <w:r>
        <w:rPr>
          <w:rFonts w:ascii="DejaVu Sans" w:hAnsi="DejaVu Sans"/>
          <w:color w:val="132238"/>
          <w:sz w:val="18"/>
        </w:rPr>
        <w:t>Review every generated migration before applying it.</w:t>
      </w:r>
    </w:p>
    <w:p>
      <w:pPr>
        <w:spacing w:before="120" w:after="60"/>
      </w:pPr>
      <w:r>
        <w:rPr>
          <w:rFonts w:ascii="DejaVu Sans" w:hAnsi="DejaVu Sans"/>
          <w:b/>
          <w:color w:val="062B55"/>
          <w:sz w:val="26"/>
        </w:rPr>
        <w:t>Validation</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3024"/>
            <w:vAlign w:val="center"/>
            <w:shd w:fill="062B55"/>
          </w:tcPr>
          <w:p>
            <w:pPr>
              <w:spacing w:after="0"/>
            </w:pPr>
            <w:r/>
            <w:r>
              <w:rPr>
                <w:rFonts w:ascii="DejaVu Sans" w:hAnsi="DejaVu Sans"/>
                <w:b/>
                <w:color w:val="FFFFFF"/>
                <w:sz w:val="17"/>
              </w:rPr>
              <w:t>Check</w:t>
            </w:r>
          </w:p>
        </w:tc>
        <w:tc>
          <w:tcPr>
            <w:tcW w:type="dxa" w:w="6336"/>
            <w:vAlign w:val="center"/>
            <w:shd w:fill="062B55"/>
          </w:tcPr>
          <w:p>
            <w:pPr>
              <w:spacing w:after="0"/>
            </w:pPr>
            <w:r/>
            <w:r>
              <w:rPr>
                <w:rFonts w:ascii="DejaVu Sans" w:hAnsi="DejaVu Sans"/>
                <w:b/>
                <w:color w:val="FFFFFF"/>
                <w:sz w:val="17"/>
              </w:rPr>
              <w:t>Expected</w:t>
            </w:r>
          </w:p>
        </w:tc>
      </w:tr>
      <w:tr>
        <w:tc>
          <w:tcPr>
            <w:tcW w:type="dxa" w:w="302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7"/>
              </w:rPr>
              <w:t>Alembic heads</w:t>
            </w:r>
          </w:p>
        </w:tc>
        <w:tc>
          <w:tcPr>
            <w:tcW w:type="dxa" w:w="6336"/>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7"/>
              </w:rPr>
              <w:t>Exactly one: f1a9c4e7b620</w:t>
            </w:r>
          </w:p>
        </w:tc>
      </w:tr>
      <w:tr>
        <w:tc>
          <w:tcPr>
            <w:tcW w:type="dxa" w:w="302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7"/>
              </w:rPr>
              <w:t>SQLAlchemy</w:t>
            </w:r>
          </w:p>
        </w:tc>
        <w:tc>
          <w:tcPr>
            <w:tcW w:type="dxa" w:w="6336"/>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7"/>
              </w:rPr>
              <w:t>All mappers configure; audit fields remain scalar columns</w:t>
            </w:r>
          </w:p>
        </w:tc>
      </w:tr>
      <w:tr>
        <w:tc>
          <w:tcPr>
            <w:tcW w:type="dxa" w:w="302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7"/>
              </w:rPr>
              <w:t>Routes</w:t>
            </w:r>
          </w:p>
        </w:tc>
        <w:tc>
          <w:tcPr>
            <w:tcW w:type="dxa" w:w="6336"/>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7"/>
              </w:rPr>
              <w:t>No missing router, duplicate method/path or duplicate operation ID</w:t>
            </w:r>
          </w:p>
        </w:tc>
      </w:tr>
      <w:tr>
        <w:tc>
          <w:tcPr>
            <w:tcW w:type="dxa" w:w="302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7"/>
              </w:rPr>
              <w:t>Frontend</w:t>
            </w:r>
          </w:p>
        </w:tc>
        <w:tc>
          <w:tcPr>
            <w:tcW w:type="dxa" w:w="6336"/>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7"/>
              </w:rPr>
              <w:t>Typecheck, lint and production build pass</w:t>
            </w:r>
          </w:p>
        </w:tc>
      </w:tr>
      <w:tr>
        <w:tc>
          <w:tcPr>
            <w:tcW w:type="dxa" w:w="302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7"/>
              </w:rPr>
              <w:t>Docker</w:t>
            </w:r>
          </w:p>
        </w:tc>
        <w:tc>
          <w:tcPr>
            <w:tcW w:type="dxa" w:w="6336"/>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7"/>
              </w:rPr>
              <w:t>`docker compose config` passes and health checks succeed</w:t>
            </w:r>
          </w:p>
        </w:tc>
      </w:tr>
    </w:tbl>
    <w:p>
      <w:pPr>
        <w:spacing w:after="0"/>
      </w:pPr>
    </w:p>
    <w:p>
      <w:r>
        <w:br w:type="page"/>
      </w:r>
    </w:p>
    <w:p>
      <w:pPr>
        <w:spacing w:after="40"/>
      </w:pPr>
      <w:r>
        <w:rPr>
          <w:rFonts w:ascii="DejaVu Sans" w:hAnsi="DejaVu Sans"/>
          <w:b/>
          <w:color w:val="062B55"/>
          <w:sz w:val="44"/>
        </w:rPr>
        <w:t>43. One-stack Docker architecture</w:t>
      </w:r>
    </w:p>
    <w:p>
      <w:pPr>
        <w:spacing w:after="200"/>
      </w:pPr>
      <w:r>
        <w:rPr>
          <w:rFonts w:ascii="DejaVu Sans" w:hAnsi="DejaVu Sans"/>
          <w:i/>
          <w:color w:val="5B6573"/>
          <w:sz w:val="21"/>
        </w:rPr>
        <w:t>Run frontend and backend together</w:t>
      </w:r>
    </w:p>
    <w:p>
      <w:pPr>
        <w:spacing w:after="200"/>
      </w:pPr>
      <w:r>
        <w:rPr>
          <w:color w:val="007E8A"/>
          <w:sz w:val="10"/>
        </w:rPr>
        <w:t>━━━━━━━━━━━━━━━━━━━━━━━━━━━━━━━━━━━━━━━━━━━━━━━━━━━━━━━━━━━━━━━━━━━━━━</w:t>
      </w:r>
    </w:p>
    <w:p>
      <w:pPr>
        <w:spacing w:after="100" w:line="252" w:lineRule="auto"/>
      </w:pPr>
      <w:r>
        <w:rPr>
          <w:rFonts w:ascii="DejaVu Sans" w:hAnsi="DejaVu Sans"/>
          <w:color w:val="132238"/>
          <w:sz w:val="19"/>
        </w:rPr>
        <w:t>The root `compose.yaml` is the production entry point. The two codebases remain separated under `apps/` but deploy as one managed stack.</w:t>
      </w:r>
    </w:p>
    <w:p>
      <w:pPr>
        <w:spacing w:before="120" w:after="60"/>
      </w:pPr>
      <w:r>
        <w:rPr>
          <w:rFonts w:ascii="DejaVu Sans" w:hAnsi="DejaVu Sans"/>
          <w:b/>
          <w:color w:val="062B55"/>
          <w:sz w:val="26"/>
        </w:rPr>
        <w:t>Workflow</w:t>
      </w:r>
    </w:p>
    <w:p>
      <w:pPr>
        <w:pStyle w:val="ListNumber"/>
        <w:spacing w:after="40" w:line="245" w:lineRule="auto"/>
        <w:ind w:left="317" w:hanging="173"/>
      </w:pPr>
      <w:r>
        <w:rPr>
          <w:rFonts w:ascii="DejaVu Sans" w:hAnsi="DejaVu Sans"/>
          <w:color w:val="132238"/>
          <w:sz w:val="18"/>
        </w:rPr>
        <w:t>PostgreSQL stores durable business data.</w:t>
      </w:r>
    </w:p>
    <w:p>
      <w:pPr>
        <w:pStyle w:val="ListNumber"/>
        <w:spacing w:after="40" w:line="245" w:lineRule="auto"/>
        <w:ind w:left="317" w:hanging="173"/>
      </w:pPr>
      <w:r>
        <w:rPr>
          <w:rFonts w:ascii="DejaVu Sans" w:hAnsi="DejaVu Sans"/>
          <w:color w:val="132238"/>
          <w:sz w:val="18"/>
        </w:rPr>
        <w:t>Redis distributes realtime notifications, presence and chat across workers.</w:t>
      </w:r>
    </w:p>
    <w:p>
      <w:pPr>
        <w:pStyle w:val="ListNumber"/>
        <w:spacing w:after="40" w:line="245" w:lineRule="auto"/>
        <w:ind w:left="317" w:hanging="173"/>
      </w:pPr>
      <w:r>
        <w:rPr>
          <w:rFonts w:ascii="DejaVu Sans" w:hAnsi="DejaVu Sans"/>
          <w:color w:val="132238"/>
          <w:sz w:val="18"/>
        </w:rPr>
        <w:t>The migrate service applies Alembic before API startup.</w:t>
      </w:r>
    </w:p>
    <w:p>
      <w:pPr>
        <w:pStyle w:val="ListNumber"/>
        <w:spacing w:after="40" w:line="245" w:lineRule="auto"/>
        <w:ind w:left="317" w:hanging="173"/>
      </w:pPr>
      <w:r>
        <w:rPr>
          <w:rFonts w:ascii="DejaVu Sans" w:hAnsi="DejaVu Sans"/>
          <w:color w:val="132238"/>
          <w:sz w:val="18"/>
        </w:rPr>
        <w:t>FastAPI serves `/api/v1`, `/health` and WebSockets.</w:t>
      </w:r>
    </w:p>
    <w:p>
      <w:pPr>
        <w:pStyle w:val="ListNumber"/>
        <w:spacing w:after="40" w:line="245" w:lineRule="auto"/>
        <w:ind w:left="317" w:hanging="173"/>
      </w:pPr>
      <w:r>
        <w:rPr>
          <w:rFonts w:ascii="DejaVu Sans" w:hAnsi="DejaVu Sans"/>
          <w:color w:val="132238"/>
          <w:sz w:val="18"/>
        </w:rPr>
        <w:t>The maintenance service reconciles lifecycle and midnight reports.</w:t>
      </w:r>
    </w:p>
    <w:p>
      <w:pPr>
        <w:pStyle w:val="ListNumber"/>
        <w:spacing w:after="40" w:line="245" w:lineRule="auto"/>
        <w:ind w:left="317" w:hanging="173"/>
      </w:pPr>
      <w:r>
        <w:rPr>
          <w:rFonts w:ascii="DejaVu Sans" w:hAnsi="DejaVu Sans"/>
          <w:color w:val="132238"/>
          <w:sz w:val="18"/>
        </w:rPr>
        <w:t>Next.js serves the user interface.</w:t>
      </w:r>
    </w:p>
    <w:p>
      <w:pPr>
        <w:pStyle w:val="ListNumber"/>
        <w:spacing w:after="40" w:line="245" w:lineRule="auto"/>
        <w:ind w:left="317" w:hanging="173"/>
      </w:pPr>
      <w:r>
        <w:rPr>
          <w:rFonts w:ascii="DejaVu Sans" w:hAnsi="DejaVu Sans"/>
          <w:color w:val="132238"/>
          <w:sz w:val="18"/>
        </w:rPr>
        <w:t>Caddy provides HTTPS, WSS, compression, limits and security headers.</w:t>
      </w:r>
    </w:p>
    <w:p>
      <w:pPr>
        <w:spacing w:before="120" w:after="60"/>
      </w:pPr>
      <w:r>
        <w:rPr>
          <w:rFonts w:ascii="DejaVu Sans" w:hAnsi="DejaVu Sans"/>
          <w:b/>
          <w:color w:val="062B55"/>
          <w:sz w:val="26"/>
        </w:rPr>
        <w:t>Important controls</w:t>
      </w:r>
    </w:p>
    <w:p>
      <w:pPr>
        <w:pStyle w:val="ListBullet"/>
        <w:spacing w:after="40" w:line="245" w:lineRule="auto"/>
        <w:ind w:left="317" w:hanging="173"/>
      </w:pPr>
      <w:r>
        <w:rPr>
          <w:rFonts w:ascii="DejaVu Sans" w:hAnsi="DejaVu Sans"/>
          <w:color w:val="132238"/>
          <w:sz w:val="18"/>
        </w:rPr>
        <w:t>Only Caddy exposes ports 80/443.</w:t>
      </w:r>
    </w:p>
    <w:p>
      <w:pPr>
        <w:pStyle w:val="ListBullet"/>
        <w:spacing w:after="40" w:line="245" w:lineRule="auto"/>
        <w:ind w:left="317" w:hanging="173"/>
      </w:pPr>
      <w:r>
        <w:rPr>
          <w:rFonts w:ascii="DejaVu Sans" w:hAnsi="DejaVu Sans"/>
          <w:color w:val="132238"/>
          <w:sz w:val="18"/>
        </w:rPr>
        <w:t>Private JWT files are mounted read-only from `secrets/`.</w:t>
      </w:r>
    </w:p>
    <w:p>
      <w:pPr>
        <w:pStyle w:val="ListBullet"/>
        <w:spacing w:after="40" w:line="245" w:lineRule="auto"/>
        <w:ind w:left="317" w:hanging="173"/>
      </w:pPr>
      <w:r>
        <w:rPr>
          <w:rFonts w:ascii="DejaVu Sans" w:hAnsi="DejaVu Sans"/>
          <w:color w:val="132238"/>
          <w:sz w:val="18"/>
        </w:rPr>
        <w:t>Media uses a persistent volume.</w:t>
      </w:r>
    </w:p>
    <w:p>
      <w:pPr>
        <w:pStyle w:val="ListBullet"/>
        <w:spacing w:after="40" w:line="245" w:lineRule="auto"/>
        <w:ind w:left="317" w:hanging="173"/>
      </w:pPr>
      <w:r>
        <w:rPr>
          <w:rFonts w:ascii="DejaVu Sans" w:hAnsi="DejaVu Sans"/>
          <w:color w:val="132238"/>
          <w:sz w:val="18"/>
        </w:rPr>
        <w:t>Do not run migrations independently in every API worker.</w:t>
      </w:r>
    </w:p>
    <w:p>
      <w:r>
        <w:br w:type="page"/>
      </w:r>
    </w:p>
    <w:p>
      <w:pPr>
        <w:spacing w:after="40"/>
      </w:pPr>
      <w:r>
        <w:rPr>
          <w:rFonts w:ascii="DejaVu Sans" w:hAnsi="DejaVu Sans"/>
          <w:b/>
          <w:color w:val="062B55"/>
          <w:sz w:val="44"/>
        </w:rPr>
        <w:t>44. GitHub to Hostinger deployment</w:t>
      </w:r>
    </w:p>
    <w:p>
      <w:pPr>
        <w:spacing w:after="200"/>
      </w:pPr>
      <w:r>
        <w:rPr>
          <w:rFonts w:ascii="DejaVu Sans" w:hAnsi="DejaVu Sans"/>
          <w:i/>
          <w:color w:val="5B6573"/>
          <w:sz w:val="21"/>
        </w:rPr>
        <w:t>Deploy a pushed main branch through CI/CD</w:t>
      </w:r>
    </w:p>
    <w:p>
      <w:pPr>
        <w:spacing w:after="200"/>
      </w:pPr>
      <w:r>
        <w:rPr>
          <w:color w:val="007E8A"/>
          <w:sz w:val="10"/>
        </w:rPr>
        <w:t>━━━━━━━━━━━━━━━━━━━━━━━━━━━━━━━━━━━━━━━━━━━━━━━━━━━━━━━━━━━━━━━━━━━━━━</w:t>
      </w:r>
    </w:p>
    <w:p>
      <w:pPr>
        <w:spacing w:after="100" w:line="252" w:lineRule="auto"/>
      </w:pPr>
      <w:r>
        <w:rPr>
          <w:rFonts w:ascii="DejaVu Sans" w:hAnsi="DejaVu Sans"/>
          <w:color w:val="132238"/>
          <w:sz w:val="19"/>
        </w:rPr>
        <w:t>The production workflow validates the source in GitHub Actions and then connects to the Hostinger VPS over SSH. The VPS script fetches the exact committed main branch, creates a database backup when available, builds images, migrates once and restarts the complete Compose stack.</w:t>
      </w:r>
    </w:p>
    <w:p>
      <w:pPr>
        <w:spacing w:before="120" w:after="60"/>
      </w:pPr>
      <w:r>
        <w:rPr>
          <w:rFonts w:ascii="DejaVu Sans" w:hAnsi="DejaVu Sans"/>
          <w:b/>
          <w:color w:val="062B55"/>
          <w:sz w:val="26"/>
        </w:rPr>
        <w:t>Workflow</w:t>
      </w:r>
    </w:p>
    <w:p>
      <w:pPr>
        <w:pStyle w:val="ListNumber"/>
        <w:spacing w:after="40" w:line="245" w:lineRule="auto"/>
        <w:ind w:left="317" w:hanging="173"/>
      </w:pPr>
      <w:r>
        <w:rPr>
          <w:rFonts w:ascii="DejaVu Sans" w:hAnsi="DejaVu Sans"/>
          <w:color w:val="132238"/>
          <w:sz w:val="18"/>
        </w:rPr>
        <w:t>Create a Hostinger VPS and install Docker/Compose.</w:t>
      </w:r>
    </w:p>
    <w:p>
      <w:pPr>
        <w:pStyle w:val="ListNumber"/>
        <w:spacing w:after="40" w:line="245" w:lineRule="auto"/>
        <w:ind w:left="317" w:hanging="173"/>
      </w:pPr>
      <w:r>
        <w:rPr>
          <w:rFonts w:ascii="DejaVu Sans" w:hAnsi="DejaVu Sans"/>
          <w:color w:val="132238"/>
          <w:sz w:val="18"/>
        </w:rPr>
        <w:t>Clone the repository into the deployment path.</w:t>
      </w:r>
    </w:p>
    <w:p>
      <w:pPr>
        <w:pStyle w:val="ListNumber"/>
        <w:spacing w:after="40" w:line="245" w:lineRule="auto"/>
        <w:ind w:left="317" w:hanging="173"/>
      </w:pPr>
      <w:r>
        <w:rPr>
          <w:rFonts w:ascii="DejaVu Sans" w:hAnsi="DejaVu Sans"/>
          <w:color w:val="132238"/>
          <w:sz w:val="18"/>
        </w:rPr>
        <w:t>Create server `.env` and JWT PEM files.</w:t>
      </w:r>
    </w:p>
    <w:p>
      <w:pPr>
        <w:pStyle w:val="ListNumber"/>
        <w:spacing w:after="40" w:line="245" w:lineRule="auto"/>
        <w:ind w:left="317" w:hanging="173"/>
      </w:pPr>
      <w:r>
        <w:rPr>
          <w:rFonts w:ascii="DejaVu Sans" w:hAnsi="DejaVu Sans"/>
          <w:color w:val="132238"/>
          <w:sz w:val="18"/>
        </w:rPr>
        <w:t>Add GitHub repository secrets for host, port, user, path and SSH key.</w:t>
      </w:r>
    </w:p>
    <w:p>
      <w:pPr>
        <w:pStyle w:val="ListNumber"/>
        <w:spacing w:after="40" w:line="245" w:lineRule="auto"/>
        <w:ind w:left="317" w:hanging="173"/>
      </w:pPr>
      <w:r>
        <w:rPr>
          <w:rFonts w:ascii="DejaVu Sans" w:hAnsi="DejaVu Sans"/>
          <w:color w:val="132238"/>
          <w:sz w:val="18"/>
        </w:rPr>
        <w:t>Push to `main`.</w:t>
      </w:r>
    </w:p>
    <w:p>
      <w:pPr>
        <w:pStyle w:val="ListNumber"/>
        <w:spacing w:after="40" w:line="245" w:lineRule="auto"/>
        <w:ind w:left="317" w:hanging="173"/>
      </w:pPr>
      <w:r>
        <w:rPr>
          <w:rFonts w:ascii="DejaVu Sans" w:hAnsi="DejaVu Sans"/>
          <w:color w:val="132238"/>
          <w:sz w:val="18"/>
        </w:rPr>
        <w:t>Wait for backend, frontend and Compose validation.</w:t>
      </w:r>
    </w:p>
    <w:p>
      <w:pPr>
        <w:pStyle w:val="ListNumber"/>
        <w:spacing w:after="40" w:line="245" w:lineRule="auto"/>
        <w:ind w:left="317" w:hanging="173"/>
      </w:pPr>
      <w:r>
        <w:rPr>
          <w:rFonts w:ascii="DejaVu Sans" w:hAnsi="DejaVu Sans"/>
          <w:color w:val="132238"/>
          <w:sz w:val="18"/>
        </w:rPr>
        <w:t>The deploy job runs the guarded server script.</w:t>
      </w:r>
    </w:p>
    <w:p>
      <w:pPr>
        <w:pStyle w:val="ListNumber"/>
        <w:spacing w:after="40" w:line="245" w:lineRule="auto"/>
        <w:ind w:left="317" w:hanging="173"/>
      </w:pPr>
      <w:r>
        <w:rPr>
          <w:rFonts w:ascii="DejaVu Sans" w:hAnsi="DejaVu Sans"/>
          <w:color w:val="132238"/>
          <w:sz w:val="18"/>
        </w:rPr>
        <w:t>Verify `https://your-domain/health` and role smoke tests.</w:t>
      </w:r>
    </w:p>
    <w:p>
      <w:pPr>
        <w:spacing w:before="120" w:after="60"/>
      </w:pPr>
      <w:r>
        <w:rPr>
          <w:rFonts w:ascii="DejaVu Sans" w:hAnsi="DejaVu Sans"/>
          <w:b/>
          <w:color w:val="062B55"/>
          <w:sz w:val="26"/>
        </w:rPr>
        <w:t>Important controls</w:t>
      </w:r>
    </w:p>
    <w:p>
      <w:pPr>
        <w:pStyle w:val="ListBullet"/>
        <w:spacing w:after="40" w:line="245" w:lineRule="auto"/>
        <w:ind w:left="317" w:hanging="173"/>
      </w:pPr>
      <w:r>
        <w:rPr>
          <w:rFonts w:ascii="DejaVu Sans" w:hAnsi="DejaVu Sans"/>
          <w:color w:val="132238"/>
          <w:sz w:val="18"/>
        </w:rPr>
        <w:t>Protect the production GitHub environment with approvals.</w:t>
      </w:r>
    </w:p>
    <w:p>
      <w:pPr>
        <w:pStyle w:val="ListBullet"/>
        <w:spacing w:after="40" w:line="245" w:lineRule="auto"/>
        <w:ind w:left="317" w:hanging="173"/>
      </w:pPr>
      <w:r>
        <w:rPr>
          <w:rFonts w:ascii="DejaVu Sans" w:hAnsi="DejaVu Sans"/>
          <w:color w:val="132238"/>
          <w:sz w:val="18"/>
        </w:rPr>
        <w:t>Use a dedicated deploy SSH key with limited VPS access.</w:t>
      </w:r>
    </w:p>
    <w:p>
      <w:pPr>
        <w:pStyle w:val="ListBullet"/>
        <w:spacing w:after="40" w:line="245" w:lineRule="auto"/>
        <w:ind w:left="317" w:hanging="173"/>
      </w:pPr>
      <w:r>
        <w:rPr>
          <w:rFonts w:ascii="DejaVu Sans" w:hAnsi="DejaVu Sans"/>
          <w:color w:val="132238"/>
          <w:sz w:val="18"/>
        </w:rPr>
        <w:t>Keep the server `.env`, keys, backups and media outside Git.</w:t>
      </w:r>
    </w:p>
    <w:p>
      <w:pPr>
        <w:pStyle w:val="ListBullet"/>
        <w:spacing w:after="40" w:line="245" w:lineRule="auto"/>
        <w:ind w:left="317" w:hanging="173"/>
      </w:pPr>
      <w:r>
        <w:rPr>
          <w:rFonts w:ascii="DejaVu Sans" w:hAnsi="DejaVu Sans"/>
          <w:color w:val="132238"/>
          <w:sz w:val="18"/>
        </w:rPr>
        <w:t>Review logs and rollback using the pre-migration backup if required.</w:t>
      </w:r>
    </w:p>
    <w:p>
      <w:r>
        <w:br w:type="page"/>
      </w:r>
    </w:p>
    <w:p>
      <w:pPr>
        <w:spacing w:after="40"/>
      </w:pPr>
      <w:r>
        <w:rPr>
          <w:rFonts w:ascii="DejaVu Sans" w:hAnsi="DejaVu Sans"/>
          <w:b/>
          <w:color w:val="062B55"/>
          <w:sz w:val="44"/>
        </w:rPr>
        <w:t>45. Daily operational checklist</w:t>
      </w:r>
    </w:p>
    <w:p>
      <w:pPr>
        <w:spacing w:after="200"/>
      </w:pPr>
      <w:r>
        <w:rPr>
          <w:rFonts w:ascii="DejaVu Sans" w:hAnsi="DejaVu Sans"/>
          <w:i/>
          <w:color w:val="5B6573"/>
          <w:sz w:val="21"/>
        </w:rPr>
        <w:t>Minimum checks for every working day</w:t>
      </w:r>
    </w:p>
    <w:p>
      <w:pPr>
        <w:spacing w:after="200"/>
      </w:pPr>
      <w:r>
        <w:rPr>
          <w:color w:val="007E8A"/>
          <w:sz w:val="10"/>
        </w:rPr>
        <w:t>━━━━━━━━━━━━━━━━━━━━━━━━━━━━━━━━━━━━━━━━━━━━━━━━━━━━━━━━━━━━━━━━━━━━━━</w:t>
      </w:r>
    </w:p>
    <w:tbl>
      <w:tblPr>
        <w:tblW w:type="auto" w:w="0"/>
        <w:jc w:val="center"/>
        <w:tblLayout w:type="fixed"/>
        <w:tblLook w:firstColumn="1" w:firstRow="1" w:lastColumn="0" w:lastRow="0" w:noHBand="0" w:noVBand="1" w:val="04A0"/>
      </w:tblPr>
      <w:tblGrid>
        <w:gridCol w:w="3298"/>
        <w:gridCol w:w="3298"/>
        <w:gridCol w:w="3298"/>
      </w:tblGrid>
      <w:tr>
        <w:trPr>
          <w:tblHeader w:val="true"/>
        </w:trPr>
        <w:tc>
          <w:tcPr>
            <w:tcW w:type="dxa" w:w="1800"/>
            <w:vAlign w:val="center"/>
            <w:shd w:fill="062B55"/>
          </w:tcPr>
          <w:p>
            <w:pPr>
              <w:spacing w:after="0"/>
            </w:pPr>
            <w:r/>
            <w:r>
              <w:rPr>
                <w:rFonts w:ascii="DejaVu Sans" w:hAnsi="DejaVu Sans"/>
                <w:b/>
                <w:color w:val="FFFFFF"/>
                <w:sz w:val="15"/>
              </w:rPr>
              <w:t>Area</w:t>
            </w:r>
          </w:p>
        </w:tc>
        <w:tc>
          <w:tcPr>
            <w:tcW w:type="dxa" w:w="4032"/>
            <w:vAlign w:val="center"/>
            <w:shd w:fill="062B55"/>
          </w:tcPr>
          <w:p>
            <w:pPr>
              <w:spacing w:after="0"/>
            </w:pPr>
            <w:r/>
            <w:r>
              <w:rPr>
                <w:rFonts w:ascii="DejaVu Sans" w:hAnsi="DejaVu Sans"/>
                <w:b/>
                <w:color w:val="FFFFFF"/>
                <w:sz w:val="15"/>
              </w:rPr>
              <w:t>Branch/company team</w:t>
            </w:r>
          </w:p>
        </w:tc>
        <w:tc>
          <w:tcPr>
            <w:tcW w:type="dxa" w:w="3816"/>
            <w:vAlign w:val="center"/>
            <w:shd w:fill="062B55"/>
          </w:tcPr>
          <w:p>
            <w:pPr>
              <w:spacing w:after="0"/>
            </w:pPr>
            <w:r/>
            <w:r>
              <w:rPr>
                <w:rFonts w:ascii="DejaVu Sans" w:hAnsi="DejaVu Sans"/>
                <w:b/>
                <w:color w:val="FFFFFF"/>
                <w:sz w:val="15"/>
              </w:rPr>
              <w:t>Platform owner</w:t>
            </w:r>
          </w:p>
        </w:tc>
      </w:tr>
      <w:tr>
        <w:tc>
          <w:tcPr>
            <w:tcW w:type="dxa" w:w="180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Notifications</w:t>
            </w:r>
          </w:p>
        </w:tc>
        <w:tc>
          <w:tcPr>
            <w:tcW w:type="dxa" w:w="4032"/>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New requests, offers, payments, overdue items and assigned work</w:t>
            </w:r>
          </w:p>
        </w:tc>
        <w:tc>
          <w:tcPr>
            <w:tcW w:type="dxa" w:w="3816"/>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Pending companies, critical errors, subscription/platform exceptions</w:t>
            </w:r>
          </w:p>
        </w:tc>
      </w:tr>
      <w:tr>
        <w:tc>
          <w:tcPr>
            <w:tcW w:type="dxa" w:w="180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Lending</w:t>
            </w:r>
          </w:p>
        </w:tc>
        <w:tc>
          <w:tcPr>
            <w:tcW w:type="dxa" w:w="4032"/>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Expiring requests/offers, disbursements and schedules</w:t>
            </w:r>
          </w:p>
        </w:tc>
        <w:tc>
          <w:tcPr>
            <w:tcW w:type="dxa" w:w="3816"/>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Platform portfolio and unusual tenant patterns</w:t>
            </w:r>
          </w:p>
        </w:tc>
      </w:tr>
      <w:tr>
        <w:tc>
          <w:tcPr>
            <w:tcW w:type="dxa" w:w="180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Payments</w:t>
            </w:r>
          </w:p>
        </w:tc>
        <w:tc>
          <w:tcPr>
            <w:tcW w:type="dxa" w:w="4032"/>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Pending/failed provider results and reconciliation</w:t>
            </w:r>
          </w:p>
        </w:tc>
        <w:tc>
          <w:tcPr>
            <w:tcW w:type="dxa" w:w="3816"/>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Platform fee/billing failures and repeated incidents</w:t>
            </w:r>
          </w:p>
        </w:tc>
      </w:tr>
      <w:tr>
        <w:tc>
          <w:tcPr>
            <w:tcW w:type="dxa" w:w="180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Chat/support</w:t>
            </w:r>
          </w:p>
        </w:tc>
        <w:tc>
          <w:tcPr>
            <w:tcW w:type="dxa" w:w="4032"/>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Unread customer and internal conversations</w:t>
            </w:r>
          </w:p>
        </w:tc>
        <w:tc>
          <w:tcPr>
            <w:tcW w:type="dxa" w:w="3816"/>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Escalated support and cross-tenant incidents</w:t>
            </w:r>
          </w:p>
        </w:tc>
      </w:tr>
      <w:tr>
        <w:tc>
          <w:tcPr>
            <w:tcW w:type="dxa" w:w="180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Files</w:t>
            </w:r>
          </w:p>
        </w:tc>
        <w:tc>
          <w:tcPr>
            <w:tcW w:type="dxa" w:w="4032"/>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Failed/quarantined uploads and required evidence</w:t>
            </w:r>
          </w:p>
        </w:tc>
        <w:tc>
          <w:tcPr>
            <w:tcW w:type="dxa" w:w="3816"/>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Platform/confidential file exceptions</w:t>
            </w:r>
          </w:p>
        </w:tc>
      </w:tr>
      <w:tr>
        <w:tc>
          <w:tcPr>
            <w:tcW w:type="dxa" w:w="180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Accounting</w:t>
            </w:r>
          </w:p>
        </w:tc>
        <w:tc>
          <w:tcPr>
            <w:tcW w:type="dxa" w:w="4032"/>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Unposted journals and evidence mismatch</w:t>
            </w:r>
          </w:p>
        </w:tc>
        <w:tc>
          <w:tcPr>
            <w:tcW w:type="dxa" w:w="3816"/>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Platform books and cross-system reconciliation</w:t>
            </w:r>
          </w:p>
        </w:tc>
      </w:tr>
      <w:tr>
        <w:tc>
          <w:tcPr>
            <w:tcW w:type="dxa" w:w="180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Reports</w:t>
            </w:r>
          </w:p>
        </w:tc>
        <w:tc>
          <w:tcPr>
            <w:tcW w:type="dxa" w:w="4032"/>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Previous-day branch/company report available</w:t>
            </w:r>
          </w:p>
        </w:tc>
        <w:tc>
          <w:tcPr>
            <w:tcW w:type="dxa" w:w="3816"/>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Platform/company/branch nightly report completion</w:t>
            </w:r>
          </w:p>
        </w:tc>
      </w:tr>
    </w:tbl>
    <w:p>
      <w:pPr>
        <w:spacing w:after="0"/>
      </w:pPr>
    </w:p>
    <w:tbl>
      <w:tblPr>
        <w:tblW w:type="auto" w:w="0"/>
        <w:tblLayout w:type="fixed"/>
        <w:tblLook w:firstColumn="1" w:firstRow="1" w:lastColumn="0" w:lastRow="0" w:noHBand="0" w:noVBand="1" w:val="04A0"/>
      </w:tblPr>
      <w:tblGrid>
        <w:gridCol w:w="173"/>
        <w:gridCol w:w="9648"/>
      </w:tblGrid>
      <w:tr>
        <w:tc>
          <w:tcPr>
            <w:tcW w:type="dxa" w:w="4946"/>
            <w:shd w:fill="2F9E2F"/>
          </w:tcPr>
          <w:p/>
        </w:tc>
        <w:tc>
          <w:tcPr>
            <w:tcW w:type="dxa" w:w="4946"/>
            <w:shd w:fill="EFF9EC"/>
          </w:tcPr>
          <w:p>
            <w:pPr>
              <w:spacing w:after="40"/>
            </w:pPr>
            <w:r/>
            <w:r>
              <w:rPr>
                <w:rFonts w:ascii="DejaVu Sans" w:hAnsi="DejaVu Sans"/>
                <w:b/>
                <w:color w:val="2F9E2F"/>
                <w:sz w:val="19"/>
              </w:rPr>
              <w:t>Start with exceptions</w:t>
            </w:r>
          </w:p>
          <w:p>
            <w:pPr>
              <w:spacing w:after="0"/>
            </w:pPr>
            <w:r>
              <w:rPr>
                <w:rFonts w:ascii="DejaVu Sans" w:hAnsi="DejaVu Sans"/>
                <w:color w:val="132238"/>
                <w:sz w:val="17"/>
              </w:rPr>
              <w:t>The dashboard should help users act on real exceptions, not display static demonstration cards.</w:t>
            </w:r>
          </w:p>
        </w:tc>
      </w:tr>
    </w:tbl>
    <w:p>
      <w:pPr>
        <w:spacing w:after="0"/>
      </w:pPr>
    </w:p>
    <w:p>
      <w:r>
        <w:br w:type="page"/>
      </w:r>
    </w:p>
    <w:p>
      <w:pPr>
        <w:spacing w:after="40"/>
      </w:pPr>
      <w:r>
        <w:rPr>
          <w:rFonts w:ascii="DejaVu Sans" w:hAnsi="DejaVu Sans"/>
          <w:b/>
          <w:color w:val="062B55"/>
          <w:sz w:val="44"/>
        </w:rPr>
        <w:t>46. Weekly, monthly and annual governance</w:t>
      </w:r>
    </w:p>
    <w:p>
      <w:pPr>
        <w:spacing w:after="200"/>
      </w:pPr>
      <w:r>
        <w:rPr>
          <w:rFonts w:ascii="DejaVu Sans" w:hAnsi="DejaVu Sans"/>
          <w:i/>
          <w:color w:val="5B6573"/>
          <w:sz w:val="21"/>
        </w:rPr>
        <w:t>Use generated periods for continuous improvement</w:t>
      </w:r>
    </w:p>
    <w:p>
      <w:pPr>
        <w:spacing w:after="200"/>
      </w:pPr>
      <w:r>
        <w:rPr>
          <w:color w:val="007E8A"/>
          <w:sz w:val="10"/>
        </w:rPr>
        <w:t>━━━━━━━━━━━━━━━━━━━━━━━━━━━━━━━━━━━━━━━━━━━━━━━━━━━━━━━━━━━━━━━━━━━━━━</w:t>
      </w:r>
    </w:p>
    <w:p>
      <w:pPr>
        <w:spacing w:before="120" w:after="60"/>
      </w:pPr>
      <w:r>
        <w:rPr>
          <w:rFonts w:ascii="DejaVu Sans" w:hAnsi="DejaVu Sans"/>
          <w:b/>
          <w:color w:val="062B55"/>
          <w:sz w:val="26"/>
        </w:rPr>
        <w:t>Weekly</w:t>
      </w:r>
    </w:p>
    <w:p>
      <w:pPr>
        <w:pStyle w:val="ListBullet"/>
        <w:spacing w:after="40" w:line="245" w:lineRule="auto"/>
        <w:ind w:left="317" w:hanging="173"/>
      </w:pPr>
      <w:r>
        <w:rPr>
          <w:rFonts w:ascii="DejaVu Sans" w:hAnsi="DejaVu Sans"/>
          <w:color w:val="132238"/>
          <w:sz w:val="18"/>
        </w:rPr>
        <w:t>Compare branch performance and collections progress.</w:t>
      </w:r>
    </w:p>
    <w:p>
      <w:pPr>
        <w:pStyle w:val="ListBullet"/>
        <w:spacing w:after="40" w:line="245" w:lineRule="auto"/>
        <w:ind w:left="317" w:hanging="173"/>
      </w:pPr>
      <w:r>
        <w:rPr>
          <w:rFonts w:ascii="DejaVu Sans" w:hAnsi="DejaVu Sans"/>
          <w:color w:val="132238"/>
          <w:sz w:val="18"/>
        </w:rPr>
        <w:t>Review staff workload, goals and support backlog.</w:t>
      </w:r>
    </w:p>
    <w:p>
      <w:pPr>
        <w:pStyle w:val="ListBullet"/>
        <w:spacing w:after="40" w:line="245" w:lineRule="auto"/>
        <w:ind w:left="317" w:hanging="173"/>
      </w:pPr>
      <w:r>
        <w:rPr>
          <w:rFonts w:ascii="DejaVu Sans" w:hAnsi="DejaVu Sans"/>
          <w:color w:val="132238"/>
          <w:sz w:val="18"/>
        </w:rPr>
        <w:t>Reconcile payments and inspect audit exceptions.</w:t>
      </w:r>
    </w:p>
    <w:p>
      <w:pPr>
        <w:pStyle w:val="ListBullet"/>
        <w:spacing w:after="40" w:line="245" w:lineRule="auto"/>
        <w:ind w:left="317" w:hanging="173"/>
      </w:pPr>
      <w:r>
        <w:rPr>
          <w:rFonts w:ascii="DejaVu Sans" w:hAnsi="DejaVu Sans"/>
          <w:color w:val="132238"/>
          <w:sz w:val="18"/>
        </w:rPr>
        <w:t>Review subscription limits and file-storage health.</w:t>
      </w:r>
    </w:p>
    <w:p>
      <w:pPr>
        <w:spacing w:before="120" w:after="60"/>
      </w:pPr>
      <w:r>
        <w:rPr>
          <w:rFonts w:ascii="DejaVu Sans" w:hAnsi="DejaVu Sans"/>
          <w:b/>
          <w:color w:val="062B55"/>
          <w:sz w:val="26"/>
        </w:rPr>
        <w:t>Monthly</w:t>
      </w:r>
    </w:p>
    <w:p>
      <w:pPr>
        <w:pStyle w:val="ListBullet"/>
        <w:spacing w:after="40" w:line="245" w:lineRule="auto"/>
        <w:ind w:left="317" w:hanging="173"/>
      </w:pPr>
      <w:r>
        <w:rPr>
          <w:rFonts w:ascii="DejaVu Sans" w:hAnsi="DejaVu Sans"/>
          <w:color w:val="132238"/>
          <w:sz w:val="18"/>
        </w:rPr>
        <w:t>Review profit and loss, balance sheet and portfolio trend.</w:t>
      </w:r>
    </w:p>
    <w:p>
      <w:pPr>
        <w:pStyle w:val="ListBullet"/>
        <w:spacing w:after="40" w:line="245" w:lineRule="auto"/>
        <w:ind w:left="317" w:hanging="173"/>
      </w:pPr>
      <w:r>
        <w:rPr>
          <w:rFonts w:ascii="DejaVu Sans" w:hAnsi="DejaVu Sans"/>
          <w:color w:val="132238"/>
          <w:sz w:val="18"/>
        </w:rPr>
        <w:t>Review role/access matrix and employee review completion.</w:t>
      </w:r>
    </w:p>
    <w:p>
      <w:pPr>
        <w:pStyle w:val="ListBullet"/>
        <w:spacing w:after="40" w:line="245" w:lineRule="auto"/>
        <w:ind w:left="317" w:hanging="173"/>
      </w:pPr>
      <w:r>
        <w:rPr>
          <w:rFonts w:ascii="DejaVu Sans" w:hAnsi="DejaVu Sans"/>
          <w:color w:val="132238"/>
          <w:sz w:val="18"/>
        </w:rPr>
        <w:t>Test database and media restoration.</w:t>
      </w:r>
    </w:p>
    <w:p>
      <w:pPr>
        <w:pStyle w:val="ListBullet"/>
        <w:spacing w:after="40" w:line="245" w:lineRule="auto"/>
        <w:ind w:left="317" w:hanging="173"/>
      </w:pPr>
      <w:r>
        <w:rPr>
          <w:rFonts w:ascii="DejaVu Sans" w:hAnsi="DejaVu Sans"/>
          <w:color w:val="132238"/>
          <w:sz w:val="18"/>
        </w:rPr>
        <w:t>Analyse recurring system-error fingerprints.</w:t>
      </w:r>
    </w:p>
    <w:p>
      <w:pPr>
        <w:spacing w:before="120" w:after="60"/>
      </w:pPr>
      <w:r>
        <w:rPr>
          <w:rFonts w:ascii="DejaVu Sans" w:hAnsi="DejaVu Sans"/>
          <w:b/>
          <w:color w:val="062B55"/>
          <w:sz w:val="26"/>
        </w:rPr>
        <w:t>Annual</w:t>
      </w:r>
    </w:p>
    <w:p>
      <w:pPr>
        <w:pStyle w:val="ListBullet"/>
        <w:spacing w:after="40" w:line="245" w:lineRule="auto"/>
        <w:ind w:left="317" w:hanging="173"/>
      </w:pPr>
      <w:r>
        <w:rPr>
          <w:rFonts w:ascii="DejaVu Sans" w:hAnsi="DejaVu Sans"/>
          <w:color w:val="132238"/>
          <w:sz w:val="18"/>
        </w:rPr>
        <w:t>Verify company licences and regulatory evidence.</w:t>
      </w:r>
    </w:p>
    <w:p>
      <w:pPr>
        <w:pStyle w:val="ListBullet"/>
        <w:spacing w:after="40" w:line="245" w:lineRule="auto"/>
        <w:ind w:left="317" w:hanging="173"/>
      </w:pPr>
      <w:r>
        <w:rPr>
          <w:rFonts w:ascii="DejaVu Sans" w:hAnsi="DejaVu Sans"/>
          <w:color w:val="132238"/>
          <w:sz w:val="18"/>
        </w:rPr>
        <w:t>Review subscription/commercial model and provider contracts.</w:t>
      </w:r>
    </w:p>
    <w:p>
      <w:pPr>
        <w:pStyle w:val="ListBullet"/>
        <w:spacing w:after="40" w:line="245" w:lineRule="auto"/>
        <w:ind w:left="317" w:hanging="173"/>
      </w:pPr>
      <w:r>
        <w:rPr>
          <w:rFonts w:ascii="DejaVu Sans" w:hAnsi="DejaVu Sans"/>
          <w:color w:val="132238"/>
          <w:sz w:val="18"/>
        </w:rPr>
        <w:t>Perform security, retention and business-continuity assessment.</w:t>
      </w:r>
    </w:p>
    <w:p>
      <w:pPr>
        <w:pStyle w:val="ListBullet"/>
        <w:spacing w:after="40" w:line="245" w:lineRule="auto"/>
        <w:ind w:left="317" w:hanging="173"/>
      </w:pPr>
      <w:r>
        <w:rPr>
          <w:rFonts w:ascii="DejaVu Sans" w:hAnsi="DejaVu Sans"/>
          <w:color w:val="132238"/>
          <w:sz w:val="18"/>
        </w:rPr>
        <w:t>Review product, performance and accounting frameworks.</w:t>
      </w:r>
    </w:p>
    <w:tbl>
      <w:tblPr>
        <w:tblW w:type="auto" w:w="0"/>
        <w:tblLayout w:type="fixed"/>
        <w:tblLook w:firstColumn="1" w:firstRow="1" w:lastColumn="0" w:lastRow="0" w:noHBand="0" w:noVBand="1" w:val="04A0"/>
      </w:tblPr>
      <w:tblGrid>
        <w:gridCol w:w="173"/>
        <w:gridCol w:w="9648"/>
      </w:tblGrid>
      <w:tr>
        <w:tc>
          <w:tcPr>
            <w:tcW w:type="dxa" w:w="4946"/>
            <w:shd w:fill="062B55"/>
          </w:tcPr>
          <w:p/>
        </w:tc>
        <w:tc>
          <w:tcPr>
            <w:tcW w:type="dxa" w:w="4946"/>
            <w:shd w:fill="EEF5F8"/>
          </w:tcPr>
          <w:p>
            <w:pPr>
              <w:spacing w:after="40"/>
            </w:pPr>
            <w:r/>
            <w:r>
              <w:rPr>
                <w:rFonts w:ascii="DejaVu Sans" w:hAnsi="DejaVu Sans"/>
                <w:b/>
                <w:color w:val="062B55"/>
                <w:sz w:val="19"/>
              </w:rPr>
              <w:t>Automatic periods</w:t>
            </w:r>
          </w:p>
          <w:p>
            <w:pPr>
              <w:spacing w:after="0"/>
            </w:pPr>
            <w:r>
              <w:rPr>
                <w:rFonts w:ascii="DejaVu Sans" w:hAnsi="DejaVu Sans"/>
                <w:color w:val="132238"/>
                <w:sz w:val="17"/>
              </w:rPr>
              <w:t>Monday, month-start and January 1 midnight cycles generate the previous completed weekly, monthly and annual periods.</w:t>
            </w:r>
          </w:p>
        </w:tc>
      </w:tr>
    </w:tbl>
    <w:p>
      <w:pPr>
        <w:spacing w:after="0"/>
      </w:pPr>
    </w:p>
    <w:p>
      <w:r>
        <w:br w:type="page"/>
      </w:r>
    </w:p>
    <w:p>
      <w:pPr>
        <w:spacing w:after="40"/>
      </w:pPr>
      <w:r>
        <w:rPr>
          <w:rFonts w:ascii="DejaVu Sans" w:hAnsi="DejaVu Sans"/>
          <w:b/>
          <w:color w:val="062B55"/>
          <w:sz w:val="44"/>
        </w:rPr>
        <w:t>47. Troubleshooting</w:t>
      </w:r>
    </w:p>
    <w:p>
      <w:pPr>
        <w:spacing w:after="200"/>
      </w:pPr>
      <w:r>
        <w:rPr>
          <w:rFonts w:ascii="DejaVu Sans" w:hAnsi="DejaVu Sans"/>
          <w:i/>
          <w:color w:val="5B6573"/>
          <w:sz w:val="21"/>
        </w:rPr>
        <w:t>Common problems and safe actions</w:t>
      </w:r>
    </w:p>
    <w:p>
      <w:pPr>
        <w:spacing w:after="200"/>
      </w:pPr>
      <w:r>
        <w:rPr>
          <w:color w:val="007E8A"/>
          <w:sz w:val="10"/>
        </w:rPr>
        <w:t>━━━━━━━━━━━━━━━━━━━━━━━━━━━━━━━━━━━━━━━━━━━━━━━━━━━━━━━━━━━━━━━━━━━━━━</w:t>
      </w:r>
    </w:p>
    <w:tbl>
      <w:tblPr>
        <w:tblW w:type="auto" w:w="0"/>
        <w:jc w:val="center"/>
        <w:tblLayout w:type="fixed"/>
        <w:tblLook w:firstColumn="1" w:firstRow="1" w:lastColumn="0" w:lastRow="0" w:noHBand="0" w:noVBand="1" w:val="04A0"/>
      </w:tblPr>
      <w:tblGrid>
        <w:gridCol w:w="3298"/>
        <w:gridCol w:w="3298"/>
        <w:gridCol w:w="3298"/>
      </w:tblGrid>
      <w:tr>
        <w:trPr>
          <w:tblHeader w:val="true"/>
        </w:trPr>
        <w:tc>
          <w:tcPr>
            <w:tcW w:type="dxa" w:w="2232"/>
            <w:vAlign w:val="center"/>
            <w:shd w:fill="062B55"/>
          </w:tcPr>
          <w:p>
            <w:pPr>
              <w:spacing w:after="0"/>
            </w:pPr>
            <w:r/>
            <w:r>
              <w:rPr>
                <w:rFonts w:ascii="DejaVu Sans" w:hAnsi="DejaVu Sans"/>
                <w:b/>
                <w:color w:val="FFFFFF"/>
                <w:sz w:val="15"/>
              </w:rPr>
              <w:t>Problem</w:t>
            </w:r>
          </w:p>
        </w:tc>
        <w:tc>
          <w:tcPr>
            <w:tcW w:type="dxa" w:w="3096"/>
            <w:vAlign w:val="center"/>
            <w:shd w:fill="062B55"/>
          </w:tcPr>
          <w:p>
            <w:pPr>
              <w:spacing w:after="0"/>
            </w:pPr>
            <w:r/>
            <w:r>
              <w:rPr>
                <w:rFonts w:ascii="DejaVu Sans" w:hAnsi="DejaVu Sans"/>
                <w:b/>
                <w:color w:val="FFFFFF"/>
                <w:sz w:val="15"/>
              </w:rPr>
              <w:t>Likely cause</w:t>
            </w:r>
          </w:p>
        </w:tc>
        <w:tc>
          <w:tcPr>
            <w:tcW w:type="dxa" w:w="4176"/>
            <w:vAlign w:val="center"/>
            <w:shd w:fill="062B55"/>
          </w:tcPr>
          <w:p>
            <w:pPr>
              <w:spacing w:after="0"/>
            </w:pPr>
            <w:r/>
            <w:r>
              <w:rPr>
                <w:rFonts w:ascii="DejaVu Sans" w:hAnsi="DejaVu Sans"/>
                <w:b/>
                <w:color w:val="FFFFFF"/>
                <w:sz w:val="15"/>
              </w:rPr>
              <w:t>Safe action</w:t>
            </w:r>
          </w:p>
        </w:tc>
      </w:tr>
      <w:tr>
        <w:tc>
          <w:tcPr>
            <w:tcW w:type="dxa" w:w="2232"/>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Page unavailable</w:t>
            </w:r>
          </w:p>
        </w:tc>
        <w:tc>
          <w:tcPr>
            <w:tcW w:type="dxa" w:w="3096"/>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Role, tenant status or branch scope</w:t>
            </w:r>
          </w:p>
        </w:tc>
        <w:tc>
          <w:tcPr>
            <w:tcW w:type="dxa" w:w="4176"/>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Confirm active context and ask authorised management</w:t>
            </w:r>
          </w:p>
        </w:tc>
      </w:tr>
      <w:tr>
        <w:tc>
          <w:tcPr>
            <w:tcW w:type="dxa" w:w="2232"/>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Notification count delayed</w:t>
            </w:r>
          </w:p>
        </w:tc>
        <w:tc>
          <w:tcPr>
            <w:tcW w:type="dxa" w:w="3096"/>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Socket/network reconnect</w:t>
            </w:r>
          </w:p>
        </w:tc>
        <w:tc>
          <w:tcPr>
            <w:tcW w:type="dxa" w:w="4176"/>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Refresh; persisted notification remains available</w:t>
            </w:r>
          </w:p>
        </w:tc>
      </w:tr>
      <w:tr>
        <w:tc>
          <w:tcPr>
            <w:tcW w:type="dxa" w:w="2232"/>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Chat delayed</w:t>
            </w:r>
          </w:p>
        </w:tc>
        <w:tc>
          <w:tcPr>
            <w:tcW w:type="dxa" w:w="3096"/>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Socket unavailable</w:t>
            </w:r>
          </w:p>
        </w:tc>
        <w:tc>
          <w:tcPr>
            <w:tcW w:type="dxa" w:w="4176"/>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Wait for reconnect/polling and use stable network</w:t>
            </w:r>
          </w:p>
        </w:tc>
      </w:tr>
      <w:tr>
        <w:tc>
          <w:tcPr>
            <w:tcW w:type="dxa" w:w="2232"/>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Voice note fails</w:t>
            </w:r>
          </w:p>
        </w:tc>
        <w:tc>
          <w:tcPr>
            <w:tcW w:type="dxa" w:w="3096"/>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No HTTPS or microphone permission</w:t>
            </w:r>
          </w:p>
        </w:tc>
        <w:tc>
          <w:tcPr>
            <w:tcW w:type="dxa" w:w="4176"/>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Use official HTTPS domain and allow microphone</w:t>
            </w:r>
          </w:p>
        </w:tc>
      </w:tr>
      <w:tr>
        <w:tc>
          <w:tcPr>
            <w:tcW w:type="dxa" w:w="2232"/>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File upload fails</w:t>
            </w:r>
          </w:p>
        </w:tc>
        <w:tc>
          <w:tcPr>
            <w:tcW w:type="dxa" w:w="3096"/>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Size, signature, visibility or storage</w:t>
            </w:r>
          </w:p>
        </w:tc>
        <w:tc>
          <w:tcPr>
            <w:tcW w:type="dxa" w:w="4176"/>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Check allowed type/limit; contact support with request ID</w:t>
            </w:r>
          </w:p>
        </w:tc>
      </w:tr>
      <w:tr>
        <w:tc>
          <w:tcPr>
            <w:tcW w:type="dxa" w:w="2232"/>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Report missing</w:t>
            </w:r>
          </w:p>
        </w:tc>
        <w:tc>
          <w:tcPr>
            <w:tcW w:type="dxa" w:w="3096"/>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Maintenance stopped, scope invalid or generation failed</w:t>
            </w:r>
          </w:p>
        </w:tc>
        <w:tc>
          <w:tcPr>
            <w:tcW w:type="dxa" w:w="4176"/>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Generate manually and inspect worker/incident</w:t>
            </w:r>
          </w:p>
        </w:tc>
      </w:tr>
      <w:tr>
        <w:tc>
          <w:tcPr>
            <w:tcW w:type="dxa" w:w="2232"/>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Journal rejected</w:t>
            </w:r>
          </w:p>
        </w:tc>
        <w:tc>
          <w:tcPr>
            <w:tcW w:type="dxa" w:w="3096"/>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Debits and credits differ</w:t>
            </w:r>
          </w:p>
        </w:tc>
        <w:tc>
          <w:tcPr>
            <w:tcW w:type="dxa" w:w="4176"/>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Correct lines before posting</w:t>
            </w:r>
          </w:p>
        </w:tc>
      </w:tr>
      <w:tr>
        <w:tc>
          <w:tcPr>
            <w:tcW w:type="dxa" w:w="2232"/>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Payment pending</w:t>
            </w:r>
          </w:p>
        </w:tc>
        <w:tc>
          <w:tcPr>
            <w:tcW w:type="dxa" w:w="3096"/>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No verified provider result</w:t>
            </w:r>
          </w:p>
        </w:tc>
        <w:tc>
          <w:tcPr>
            <w:tcW w:type="dxa" w:w="4176"/>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Do not force success; perform authorised enquiry</w:t>
            </w:r>
          </w:p>
        </w:tc>
      </w:tr>
      <w:tr>
        <w:tc>
          <w:tcPr>
            <w:tcW w:type="dxa" w:w="2232"/>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Migration deadlock</w:t>
            </w:r>
          </w:p>
        </w:tc>
        <w:tc>
          <w:tcPr>
            <w:tcW w:type="dxa" w:w="3096"/>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API/worker holds table lock</w:t>
            </w:r>
          </w:p>
        </w:tc>
        <w:tc>
          <w:tcPr>
            <w:tcW w:type="dxa" w:w="4176"/>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Stop services, inspect sessions and run migrate service</w:t>
            </w:r>
          </w:p>
        </w:tc>
      </w:tr>
      <w:tr>
        <w:tc>
          <w:tcPr>
            <w:tcW w:type="dxa" w:w="2232"/>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Safe 500 message</w:t>
            </w:r>
          </w:p>
        </w:tc>
        <w:tc>
          <w:tcPr>
            <w:tcW w:type="dxa" w:w="3096"/>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Unhandled backend error</w:t>
            </w:r>
          </w:p>
        </w:tc>
        <w:tc>
          <w:tcPr>
            <w:tcW w:type="dxa" w:w="4176"/>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Send page, time, role and request ID to platform support</w:t>
            </w:r>
          </w:p>
        </w:tc>
      </w:tr>
    </w:tbl>
    <w:p>
      <w:pPr>
        <w:spacing w:after="0"/>
      </w:pPr>
    </w:p>
    <w:p>
      <w:r>
        <w:br w:type="page"/>
      </w:r>
    </w:p>
    <w:p>
      <w:pPr>
        <w:spacing w:after="40"/>
      </w:pPr>
      <w:r>
        <w:rPr>
          <w:rFonts w:ascii="DejaVu Sans" w:hAnsi="DejaVu Sans"/>
          <w:b/>
          <w:color w:val="062B55"/>
          <w:sz w:val="44"/>
        </w:rPr>
        <w:t>48. Status and reference glossary</w:t>
      </w:r>
    </w:p>
    <w:p>
      <w:pPr>
        <w:spacing w:after="200"/>
      </w:pPr>
      <w:r>
        <w:rPr>
          <w:rFonts w:ascii="DejaVu Sans" w:hAnsi="DejaVu Sans"/>
          <w:i/>
          <w:color w:val="5B6573"/>
          <w:sz w:val="21"/>
        </w:rPr>
        <w:t>Understand common lifecycle language</w:t>
      </w:r>
    </w:p>
    <w:p>
      <w:pPr>
        <w:spacing w:after="200"/>
      </w:pPr>
      <w:r>
        <w:rPr>
          <w:color w:val="007E8A"/>
          <w:sz w:val="10"/>
        </w:rPr>
        <w:t>━━━━━━━━━━━━━━━━━━━━━━━━━━━━━━━━━━━━━━━━━━━━━━━━━━━━━━━━━━━━━━━━━━━━━━</w:t>
      </w:r>
    </w:p>
    <w:tbl>
      <w:tblPr>
        <w:tblW w:type="auto" w:w="0"/>
        <w:jc w:val="center"/>
        <w:tblLayout w:type="fixed"/>
        <w:tblLook w:firstColumn="1" w:firstRow="1" w:lastColumn="0" w:lastRow="0" w:noHBand="0" w:noVBand="1" w:val="04A0"/>
      </w:tblPr>
      <w:tblGrid>
        <w:gridCol w:w="3298"/>
        <w:gridCol w:w="3298"/>
        <w:gridCol w:w="3298"/>
      </w:tblGrid>
      <w:tr>
        <w:trPr>
          <w:tblHeader w:val="true"/>
        </w:trPr>
        <w:tc>
          <w:tcPr>
            <w:tcW w:type="dxa" w:w="1800"/>
            <w:vAlign w:val="center"/>
            <w:shd w:fill="062B55"/>
          </w:tcPr>
          <w:p>
            <w:pPr>
              <w:spacing w:after="0"/>
            </w:pPr>
            <w:r/>
            <w:r>
              <w:rPr>
                <w:rFonts w:ascii="DejaVu Sans" w:hAnsi="DejaVu Sans"/>
                <w:b/>
                <w:color w:val="FFFFFF"/>
                <w:sz w:val="15"/>
              </w:rPr>
              <w:t>Area</w:t>
            </w:r>
          </w:p>
        </w:tc>
        <w:tc>
          <w:tcPr>
            <w:tcW w:type="dxa" w:w="3528"/>
            <w:vAlign w:val="center"/>
            <w:shd w:fill="062B55"/>
          </w:tcPr>
          <w:p>
            <w:pPr>
              <w:spacing w:after="0"/>
            </w:pPr>
            <w:r/>
            <w:r>
              <w:rPr>
                <w:rFonts w:ascii="DejaVu Sans" w:hAnsi="DejaVu Sans"/>
                <w:b/>
                <w:color w:val="FFFFFF"/>
                <w:sz w:val="15"/>
              </w:rPr>
              <w:t>Typical values</w:t>
            </w:r>
          </w:p>
        </w:tc>
        <w:tc>
          <w:tcPr>
            <w:tcW w:type="dxa" w:w="4104"/>
            <w:vAlign w:val="center"/>
            <w:shd w:fill="062B55"/>
          </w:tcPr>
          <w:p>
            <w:pPr>
              <w:spacing w:after="0"/>
            </w:pPr>
            <w:r/>
            <w:r>
              <w:rPr>
                <w:rFonts w:ascii="DejaVu Sans" w:hAnsi="DejaVu Sans"/>
                <w:b/>
                <w:color w:val="FFFFFF"/>
                <w:sz w:val="15"/>
              </w:rPr>
              <w:t>Meaning</w:t>
            </w:r>
          </w:p>
        </w:tc>
      </w:tr>
      <w:tr>
        <w:tc>
          <w:tcPr>
            <w:tcW w:type="dxa" w:w="180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Company</w:t>
            </w:r>
          </w:p>
        </w:tc>
        <w:tc>
          <w:tcPr>
            <w:tcW w:type="dxa" w:w="3528"/>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pending, approved, rejected, suspended</w:t>
            </w:r>
          </w:p>
        </w:tc>
        <w:tc>
          <w:tcPr>
            <w:tcW w:type="dxa" w:w="410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Review and operating state</w:t>
            </w:r>
          </w:p>
        </w:tc>
      </w:tr>
      <w:tr>
        <w:tc>
          <w:tcPr>
            <w:tcW w:type="dxa" w:w="180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Request</w:t>
            </w:r>
          </w:p>
        </w:tc>
        <w:tc>
          <w:tcPr>
            <w:tcW w:type="dxa" w:w="3528"/>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draft, open, offered, accepted, cancelled, expired</w:t>
            </w:r>
          </w:p>
        </w:tc>
        <w:tc>
          <w:tcPr>
            <w:tcW w:type="dxa" w:w="410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Marketplace lifecycle</w:t>
            </w:r>
          </w:p>
        </w:tc>
      </w:tr>
      <w:tr>
        <w:tc>
          <w:tcPr>
            <w:tcW w:type="dxa" w:w="180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Offer</w:t>
            </w:r>
          </w:p>
        </w:tc>
        <w:tc>
          <w:tcPr>
            <w:tcW w:type="dxa" w:w="3528"/>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pending, accepted, rejected, expired, withdrawn</w:t>
            </w:r>
          </w:p>
        </w:tc>
        <w:tc>
          <w:tcPr>
            <w:tcW w:type="dxa" w:w="410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Company proposal lifecycle</w:t>
            </w:r>
          </w:p>
        </w:tc>
      </w:tr>
      <w:tr>
        <w:tc>
          <w:tcPr>
            <w:tcW w:type="dxa" w:w="180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Loan</w:t>
            </w:r>
          </w:p>
        </w:tc>
        <w:tc>
          <w:tcPr>
            <w:tcW w:type="dxa" w:w="3528"/>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pending, approved, active, completed, defaulted, cancelled</w:t>
            </w:r>
          </w:p>
        </w:tc>
        <w:tc>
          <w:tcPr>
            <w:tcW w:type="dxa" w:w="410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Servicing lifecycle</w:t>
            </w:r>
          </w:p>
        </w:tc>
      </w:tr>
      <w:tr>
        <w:tc>
          <w:tcPr>
            <w:tcW w:type="dxa" w:w="180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Payment</w:t>
            </w:r>
          </w:p>
        </w:tc>
        <w:tc>
          <w:tcPr>
            <w:tcW w:type="dxa" w:w="3528"/>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pending, processing, succeeded, failed, reversed, cancelled</w:t>
            </w:r>
          </w:p>
        </w:tc>
        <w:tc>
          <w:tcPr>
            <w:tcW w:type="dxa" w:w="410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Transaction lifecycle</w:t>
            </w:r>
          </w:p>
        </w:tc>
      </w:tr>
      <w:tr>
        <w:tc>
          <w:tcPr>
            <w:tcW w:type="dxa" w:w="180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Subscription</w:t>
            </w:r>
          </w:p>
        </w:tc>
        <w:tc>
          <w:tcPr>
            <w:tcW w:type="dxa" w:w="3528"/>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pending, active, expired, cancelled, failed</w:t>
            </w:r>
          </w:p>
        </w:tc>
        <w:tc>
          <w:tcPr>
            <w:tcW w:type="dxa" w:w="410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Commercial access lifecycle</w:t>
            </w:r>
          </w:p>
        </w:tc>
      </w:tr>
      <w:tr>
        <w:tc>
          <w:tcPr>
            <w:tcW w:type="dxa" w:w="180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Report</w:t>
            </w:r>
          </w:p>
        </w:tc>
        <w:tc>
          <w:tcPr>
            <w:tcW w:type="dxa" w:w="3528"/>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queued, generating, completed, failed</w:t>
            </w:r>
          </w:p>
        </w:tc>
        <w:tc>
          <w:tcPr>
            <w:tcW w:type="dxa" w:w="410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Generation lifecycle</w:t>
            </w:r>
          </w:p>
        </w:tc>
      </w:tr>
      <w:tr>
        <w:tc>
          <w:tcPr>
            <w:tcW w:type="dxa" w:w="180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Journal</w:t>
            </w:r>
          </w:p>
        </w:tc>
        <w:tc>
          <w:tcPr>
            <w:tcW w:type="dxa" w:w="3528"/>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draft, posted</w:t>
            </w:r>
          </w:p>
        </w:tc>
        <w:tc>
          <w:tcPr>
            <w:tcW w:type="dxa" w:w="410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Accounting lifecycle</w:t>
            </w:r>
          </w:p>
        </w:tc>
      </w:tr>
      <w:tr>
        <w:tc>
          <w:tcPr>
            <w:tcW w:type="dxa" w:w="1800"/>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File scan</w:t>
            </w:r>
          </w:p>
        </w:tc>
        <w:tc>
          <w:tcPr>
            <w:tcW w:type="dxa" w:w="3528"/>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pending, clean, quarantined, failed</w:t>
            </w:r>
          </w:p>
        </w:tc>
        <w:tc>
          <w:tcPr>
            <w:tcW w:type="dxa" w:w="4104"/>
            <w:vAlign w:val="center"/>
            <w:shd w:fill="FFFFFF"/>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Managed-file safety status</w:t>
            </w:r>
          </w:p>
        </w:tc>
      </w:tr>
      <w:tr>
        <w:tc>
          <w:tcPr>
            <w:tcW w:type="dxa" w:w="1800"/>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Presence</w:t>
            </w:r>
          </w:p>
        </w:tc>
        <w:tc>
          <w:tcPr>
            <w:tcW w:type="dxa" w:w="3528"/>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online, offline, last seen</w:t>
            </w:r>
          </w:p>
        </w:tc>
        <w:tc>
          <w:tcPr>
            <w:tcW w:type="dxa" w:w="4104"/>
            <w:vAlign w:val="center"/>
            <w:shd w:fill="F3F6F8"/>
            <w:tcBorders>
              <w:top w:val="single" w:sz="4" w:color="AAB5C2"/>
              <w:left w:val="single" w:sz="4" w:color="AAB5C2"/>
              <w:bottom w:val="single" w:sz="4" w:color="AAB5C2"/>
              <w:right w:val="single" w:sz="4" w:color="AAB5C2"/>
            </w:tcBorders>
          </w:tcPr>
          <w:p>
            <w:pPr>
              <w:spacing w:after="0"/>
            </w:pPr>
            <w:r/>
            <w:r>
              <w:rPr>
                <w:rFonts w:ascii="DejaVu Sans" w:hAnsi="DejaVu Sans"/>
                <w:b w:val="0"/>
                <w:color w:val="132238"/>
                <w:sz w:val="15"/>
              </w:rPr>
              <w:t>Authenticated chat availability</w:t>
            </w:r>
          </w:p>
        </w:tc>
      </w:tr>
    </w:tbl>
    <w:p>
      <w:pPr>
        <w:spacing w:after="0"/>
      </w:pPr>
    </w:p>
    <w:p>
      <w:r>
        <w:br w:type="page"/>
      </w:r>
    </w:p>
    <w:p>
      <w:pPr>
        <w:spacing w:after="40"/>
      </w:pPr>
      <w:r>
        <w:rPr>
          <w:rFonts w:ascii="DejaVu Sans" w:hAnsi="DejaVu Sans"/>
          <w:b/>
          <w:color w:val="062B55"/>
          <w:sz w:val="44"/>
        </w:rPr>
        <w:t>49. Deployment administrator checklist</w:t>
      </w:r>
    </w:p>
    <w:p>
      <w:pPr>
        <w:spacing w:after="200"/>
      </w:pPr>
      <w:r>
        <w:rPr>
          <w:rFonts w:ascii="DejaVu Sans" w:hAnsi="DejaVu Sans"/>
          <w:i/>
          <w:color w:val="5B6573"/>
          <w:sz w:val="21"/>
        </w:rPr>
        <w:t>Before and after a production release</w:t>
      </w:r>
    </w:p>
    <w:p>
      <w:pPr>
        <w:spacing w:after="200"/>
      </w:pPr>
      <w:r>
        <w:rPr>
          <w:color w:val="007E8A"/>
          <w:sz w:val="10"/>
        </w:rPr>
        <w:t>━━━━━━━━━━━━━━━━━━━━━━━━━━━━━━━━━━━━━━━━━━━━━━━━━━━━━━━━━━━━━━━━━━━━━━</w:t>
      </w:r>
    </w:p>
    <w:p>
      <w:pPr>
        <w:spacing w:before="120" w:after="60"/>
      </w:pPr>
      <w:r>
        <w:rPr>
          <w:rFonts w:ascii="DejaVu Sans" w:hAnsi="DejaVu Sans"/>
          <w:b/>
          <w:color w:val="062B55"/>
          <w:sz w:val="26"/>
        </w:rPr>
        <w:t>Before deployment</w:t>
      </w:r>
    </w:p>
    <w:p>
      <w:pPr>
        <w:pStyle w:val="ListBullet"/>
        <w:spacing w:after="40" w:line="245" w:lineRule="auto"/>
        <w:ind w:left="317" w:hanging="173"/>
      </w:pPr>
      <w:r>
        <w:rPr>
          <w:rFonts w:ascii="DejaVu Sans" w:hAnsi="DejaVu Sans"/>
          <w:color w:val="132238"/>
          <w:sz w:val="18"/>
        </w:rPr>
        <w:t>Review change set and migration.</w:t>
      </w:r>
    </w:p>
    <w:p>
      <w:pPr>
        <w:pStyle w:val="ListBullet"/>
        <w:spacing w:after="40" w:line="245" w:lineRule="auto"/>
        <w:ind w:left="317" w:hanging="173"/>
      </w:pPr>
      <w:r>
        <w:rPr>
          <w:rFonts w:ascii="DejaVu Sans" w:hAnsi="DejaVu Sans"/>
          <w:color w:val="132238"/>
          <w:sz w:val="18"/>
        </w:rPr>
        <w:t>Confirm one Alembic head.</w:t>
      </w:r>
    </w:p>
    <w:p>
      <w:pPr>
        <w:pStyle w:val="ListBullet"/>
        <w:spacing w:after="40" w:line="245" w:lineRule="auto"/>
        <w:ind w:left="317" w:hanging="173"/>
      </w:pPr>
      <w:r>
        <w:rPr>
          <w:rFonts w:ascii="DejaVu Sans" w:hAnsi="DejaVu Sans"/>
          <w:color w:val="132238"/>
          <w:sz w:val="18"/>
        </w:rPr>
        <w:t>Run backend release validation.</w:t>
      </w:r>
    </w:p>
    <w:p>
      <w:pPr>
        <w:pStyle w:val="ListBullet"/>
        <w:spacing w:after="40" w:line="245" w:lineRule="auto"/>
        <w:ind w:left="317" w:hanging="173"/>
      </w:pPr>
      <w:r>
        <w:rPr>
          <w:rFonts w:ascii="DejaVu Sans" w:hAnsi="DejaVu Sans"/>
          <w:color w:val="132238"/>
          <w:sz w:val="18"/>
        </w:rPr>
        <w:t>Run frontend typecheck, lint and build.</w:t>
      </w:r>
    </w:p>
    <w:p>
      <w:pPr>
        <w:pStyle w:val="ListBullet"/>
        <w:spacing w:after="40" w:line="245" w:lineRule="auto"/>
        <w:ind w:left="317" w:hanging="173"/>
      </w:pPr>
      <w:r>
        <w:rPr>
          <w:rFonts w:ascii="DejaVu Sans" w:hAnsi="DejaVu Sans"/>
          <w:color w:val="132238"/>
          <w:sz w:val="18"/>
        </w:rPr>
        <w:t>Validate Compose.</w:t>
      </w:r>
    </w:p>
    <w:p>
      <w:pPr>
        <w:pStyle w:val="ListBullet"/>
        <w:spacing w:after="40" w:line="245" w:lineRule="auto"/>
        <w:ind w:left="317" w:hanging="173"/>
      </w:pPr>
      <w:r>
        <w:rPr>
          <w:rFonts w:ascii="DejaVu Sans" w:hAnsi="DejaVu Sans"/>
          <w:color w:val="132238"/>
          <w:sz w:val="18"/>
        </w:rPr>
        <w:t>Back up PostgreSQL and media.</w:t>
      </w:r>
    </w:p>
    <w:p>
      <w:pPr>
        <w:pStyle w:val="ListBullet"/>
        <w:spacing w:after="40" w:line="245" w:lineRule="auto"/>
        <w:ind w:left="317" w:hanging="173"/>
      </w:pPr>
      <w:r>
        <w:rPr>
          <w:rFonts w:ascii="DejaVu Sans" w:hAnsi="DejaVu Sans"/>
          <w:color w:val="132238"/>
          <w:sz w:val="18"/>
        </w:rPr>
        <w:t>Confirm secrets and domain settings.</w:t>
      </w:r>
    </w:p>
    <w:p>
      <w:pPr>
        <w:spacing w:before="120" w:after="60"/>
      </w:pPr>
      <w:r>
        <w:rPr>
          <w:rFonts w:ascii="DejaVu Sans" w:hAnsi="DejaVu Sans"/>
          <w:b/>
          <w:color w:val="062B55"/>
          <w:sz w:val="26"/>
        </w:rPr>
        <w:t>After deployment</w:t>
      </w:r>
    </w:p>
    <w:p>
      <w:pPr>
        <w:pStyle w:val="ListBullet"/>
        <w:spacing w:after="40" w:line="245" w:lineRule="auto"/>
        <w:ind w:left="317" w:hanging="173"/>
      </w:pPr>
      <w:r>
        <w:rPr>
          <w:rFonts w:ascii="DejaVu Sans" w:hAnsi="DejaVu Sans"/>
          <w:color w:val="132238"/>
          <w:sz w:val="18"/>
        </w:rPr>
        <w:t>Check database, Redis, API, maintenance, frontend and Caddy health.</w:t>
      </w:r>
    </w:p>
    <w:p>
      <w:pPr>
        <w:pStyle w:val="ListBullet"/>
        <w:spacing w:after="40" w:line="245" w:lineRule="auto"/>
        <w:ind w:left="317" w:hanging="173"/>
      </w:pPr>
      <w:r>
        <w:rPr>
          <w:rFonts w:ascii="DejaVu Sans" w:hAnsi="DejaVu Sans"/>
          <w:color w:val="132238"/>
          <w:sz w:val="18"/>
        </w:rPr>
        <w:t>Smoke-test login, tenant isolation and role switching.</w:t>
      </w:r>
    </w:p>
    <w:p>
      <w:pPr>
        <w:pStyle w:val="ListBullet"/>
        <w:spacing w:after="40" w:line="245" w:lineRule="auto"/>
        <w:ind w:left="317" w:hanging="173"/>
      </w:pPr>
      <w:r>
        <w:rPr>
          <w:rFonts w:ascii="DejaVu Sans" w:hAnsi="DejaVu Sans"/>
          <w:color w:val="132238"/>
          <w:sz w:val="18"/>
        </w:rPr>
        <w:t>Send a chat message and voice note and download an attachment.</w:t>
      </w:r>
    </w:p>
    <w:p>
      <w:pPr>
        <w:pStyle w:val="ListBullet"/>
        <w:spacing w:after="40" w:line="245" w:lineRule="auto"/>
        <w:ind w:left="317" w:hanging="173"/>
      </w:pPr>
      <w:r>
        <w:rPr>
          <w:rFonts w:ascii="DejaVu Sans" w:hAnsi="DejaVu Sans"/>
          <w:color w:val="132238"/>
          <w:sz w:val="18"/>
        </w:rPr>
        <w:t>Trigger a safe test report and verify branded PDF/CSV.</w:t>
      </w:r>
    </w:p>
    <w:p>
      <w:pPr>
        <w:pStyle w:val="ListBullet"/>
        <w:spacing w:after="40" w:line="245" w:lineRule="auto"/>
        <w:ind w:left="317" w:hanging="173"/>
      </w:pPr>
      <w:r>
        <w:rPr>
          <w:rFonts w:ascii="DejaVu Sans" w:hAnsi="DejaVu Sans"/>
          <w:color w:val="132238"/>
          <w:sz w:val="18"/>
        </w:rPr>
        <w:t>Verify ordinary users cannot open technical incident details.</w:t>
      </w:r>
    </w:p>
    <w:p>
      <w:pPr>
        <w:pStyle w:val="ListBullet"/>
        <w:spacing w:after="40" w:line="245" w:lineRule="auto"/>
        <w:ind w:left="317" w:hanging="173"/>
      </w:pPr>
      <w:r>
        <w:rPr>
          <w:rFonts w:ascii="DejaVu Sans" w:hAnsi="DejaVu Sans"/>
          <w:color w:val="132238"/>
          <w:sz w:val="18"/>
        </w:rPr>
        <w:t>Verify midnight worker timezone and next run.</w:t>
      </w:r>
    </w:p>
    <w:p>
      <w:pPr>
        <w:pStyle w:val="ListBullet"/>
        <w:spacing w:after="40" w:line="245" w:lineRule="auto"/>
        <w:ind w:left="317" w:hanging="173"/>
      </w:pPr>
      <w:r>
        <w:rPr>
          <w:rFonts w:ascii="DejaVu Sans" w:hAnsi="DejaVu Sans"/>
          <w:color w:val="132238"/>
          <w:sz w:val="18"/>
        </w:rPr>
        <w:t>Review logs without exposing secrets.</w:t>
      </w:r>
    </w:p>
    <w:tbl>
      <w:tblPr>
        <w:tblW w:type="auto" w:w="0"/>
        <w:tblLayout w:type="fixed"/>
        <w:tblLook w:firstColumn="1" w:firstRow="1" w:lastColumn="0" w:lastRow="0" w:noHBand="0" w:noVBand="1" w:val="04A0"/>
      </w:tblPr>
      <w:tblGrid>
        <w:gridCol w:w="173"/>
        <w:gridCol w:w="9648"/>
      </w:tblGrid>
      <w:tr>
        <w:tc>
          <w:tcPr>
            <w:tcW w:type="dxa" w:w="4946"/>
            <w:shd w:fill="B66B00"/>
          </w:tcPr>
          <w:p/>
        </w:tc>
        <w:tc>
          <w:tcPr>
            <w:tcW w:type="dxa" w:w="4946"/>
            <w:shd w:fill="FFF4E5"/>
          </w:tcPr>
          <w:p>
            <w:pPr>
              <w:spacing w:after="40"/>
            </w:pPr>
            <w:r/>
            <w:r>
              <w:rPr>
                <w:rFonts w:ascii="DejaVu Sans" w:hAnsi="DejaVu Sans"/>
                <w:b/>
                <w:color w:val="B66B00"/>
                <w:sz w:val="19"/>
              </w:rPr>
              <w:t>Rollback discipline</w:t>
            </w:r>
          </w:p>
          <w:p>
            <w:pPr>
              <w:spacing w:after="0"/>
            </w:pPr>
            <w:r>
              <w:rPr>
                <w:rFonts w:ascii="DejaVu Sans" w:hAnsi="DejaVu Sans"/>
                <w:color w:val="132238"/>
                <w:sz w:val="17"/>
              </w:rPr>
              <w:t>Keep the pre-migration database backup and the previous image/release tag until production verification is complete.</w:t>
            </w:r>
          </w:p>
        </w:tc>
      </w:tr>
    </w:tbl>
    <w:p>
      <w:pPr>
        <w:spacing w:after="0"/>
      </w:pPr>
    </w:p>
    <w:p>
      <w:r>
        <w:br w:type="page"/>
      </w:r>
    </w:p>
    <w:p>
      <w:pPr>
        <w:spacing w:after="40"/>
      </w:pPr>
      <w:r>
        <w:rPr>
          <w:rFonts w:ascii="DejaVu Sans" w:hAnsi="DejaVu Sans"/>
          <w:b/>
          <w:color w:val="062B55"/>
          <w:sz w:val="44"/>
        </w:rPr>
        <w:t>50. Support, training and continuous improvement</w:t>
      </w:r>
    </w:p>
    <w:p>
      <w:pPr>
        <w:spacing w:after="200"/>
      </w:pPr>
      <w:r>
        <w:rPr>
          <w:rFonts w:ascii="DejaVu Sans" w:hAnsi="DejaVu Sans"/>
          <w:i/>
          <w:color w:val="5B6573"/>
          <w:sz w:val="21"/>
        </w:rPr>
        <w:t>Keep LoanHub trustworthy and marketable</w:t>
      </w:r>
    </w:p>
    <w:p>
      <w:pPr>
        <w:spacing w:after="200"/>
      </w:pPr>
      <w:r>
        <w:rPr>
          <w:color w:val="007E8A"/>
          <w:sz w:val="10"/>
        </w:rPr>
        <w:t>━━━━━━━━━━━━━━━━━━━━━━━━━━━━━━━━━━━━━━━━━━━━━━━━━━━━━━━━━━━━━━━━━━━━━━</w:t>
      </w:r>
    </w:p>
    <w:p>
      <w:pPr>
        <w:spacing w:after="100" w:line="252" w:lineRule="auto"/>
      </w:pPr>
      <w:r>
        <w:rPr>
          <w:rFonts w:ascii="DejaVu Sans" w:hAnsi="DejaVu Sans"/>
          <w:color w:val="132238"/>
          <w:sz w:val="19"/>
        </w:rPr>
        <w:t>LoanHub is developed and maintained by Ithute Solutions. The product should evolve through controlled releases, migration testing, user feedback, role training and transparent reports—not through hidden data changes or unsupported production experiments.</w:t>
      </w:r>
    </w:p>
    <w:p>
      <w:pPr>
        <w:spacing w:before="120" w:after="60"/>
      </w:pPr>
      <w:r>
        <w:rPr>
          <w:rFonts w:ascii="DejaVu Sans" w:hAnsi="DejaVu Sans"/>
          <w:b/>
          <w:color w:val="062B55"/>
          <w:sz w:val="26"/>
        </w:rPr>
        <w:t>When reporting an issue</w:t>
      </w:r>
    </w:p>
    <w:p>
      <w:pPr>
        <w:pStyle w:val="ListBullet"/>
        <w:spacing w:after="40" w:line="245" w:lineRule="auto"/>
        <w:ind w:left="317" w:hanging="173"/>
      </w:pPr>
      <w:r>
        <w:rPr>
          <w:rFonts w:ascii="DejaVu Sans" w:hAnsi="DejaVu Sans"/>
          <w:color w:val="132238"/>
          <w:sz w:val="18"/>
        </w:rPr>
        <w:t>Page or module name.</w:t>
      </w:r>
    </w:p>
    <w:p>
      <w:pPr>
        <w:pStyle w:val="ListBullet"/>
        <w:spacing w:after="40" w:line="245" w:lineRule="auto"/>
        <w:ind w:left="317" w:hanging="173"/>
      </w:pPr>
      <w:r>
        <w:rPr>
          <w:rFonts w:ascii="DejaVu Sans" w:hAnsi="DejaVu Sans"/>
          <w:color w:val="132238"/>
          <w:sz w:val="18"/>
        </w:rPr>
        <w:t>Friendly record reference.</w:t>
      </w:r>
    </w:p>
    <w:p>
      <w:pPr>
        <w:pStyle w:val="ListBullet"/>
        <w:spacing w:after="40" w:line="245" w:lineRule="auto"/>
        <w:ind w:left="317" w:hanging="173"/>
      </w:pPr>
      <w:r>
        <w:rPr>
          <w:rFonts w:ascii="DejaVu Sans" w:hAnsi="DejaVu Sans"/>
          <w:color w:val="132238"/>
          <w:sz w:val="18"/>
        </w:rPr>
        <w:t>Time and timezone.</w:t>
      </w:r>
    </w:p>
    <w:p>
      <w:pPr>
        <w:pStyle w:val="ListBullet"/>
        <w:spacing w:after="40" w:line="245" w:lineRule="auto"/>
        <w:ind w:left="317" w:hanging="173"/>
      </w:pPr>
      <w:r>
        <w:rPr>
          <w:rFonts w:ascii="DejaVu Sans" w:hAnsi="DejaVu Sans"/>
          <w:color w:val="132238"/>
          <w:sz w:val="18"/>
        </w:rPr>
        <w:t>User role, company and branch.</w:t>
      </w:r>
    </w:p>
    <w:p>
      <w:pPr>
        <w:pStyle w:val="ListBullet"/>
        <w:spacing w:after="40" w:line="245" w:lineRule="auto"/>
        <w:ind w:left="317" w:hanging="173"/>
      </w:pPr>
      <w:r>
        <w:rPr>
          <w:rFonts w:ascii="DejaVu Sans" w:hAnsi="DejaVu Sans"/>
          <w:color w:val="132238"/>
          <w:sz w:val="18"/>
        </w:rPr>
        <w:t>Safe screenshot.</w:t>
      </w:r>
    </w:p>
    <w:p>
      <w:pPr>
        <w:pStyle w:val="ListBullet"/>
        <w:spacing w:after="40" w:line="245" w:lineRule="auto"/>
        <w:ind w:left="317" w:hanging="173"/>
      </w:pPr>
      <w:r>
        <w:rPr>
          <w:rFonts w:ascii="DejaVu Sans" w:hAnsi="DejaVu Sans"/>
          <w:color w:val="132238"/>
          <w:sz w:val="18"/>
        </w:rPr>
        <w:t>Request ID shown by the interface.</w:t>
      </w:r>
    </w:p>
    <w:p>
      <w:pPr>
        <w:pStyle w:val="ListBullet"/>
        <w:spacing w:after="40" w:line="245" w:lineRule="auto"/>
        <w:ind w:left="317" w:hanging="173"/>
      </w:pPr>
      <w:r>
        <w:rPr>
          <w:rFonts w:ascii="DejaVu Sans" w:hAnsi="DejaVu Sans"/>
          <w:color w:val="132238"/>
          <w:sz w:val="18"/>
        </w:rPr>
        <w:t>Steps that reproduce the problem without sharing secrets.</w:t>
      </w:r>
    </w:p>
    <w:p>
      <w:pPr>
        <w:spacing w:before="120" w:after="60"/>
      </w:pPr>
      <w:r>
        <w:rPr>
          <w:rFonts w:ascii="DejaVu Sans" w:hAnsi="DejaVu Sans"/>
          <w:b/>
          <w:color w:val="062B55"/>
          <w:sz w:val="26"/>
        </w:rPr>
        <w:t>Training approach</w:t>
      </w:r>
    </w:p>
    <w:p>
      <w:pPr>
        <w:pStyle w:val="ListBullet"/>
        <w:spacing w:after="40" w:line="245" w:lineRule="auto"/>
        <w:ind w:left="317" w:hanging="173"/>
      </w:pPr>
      <w:r>
        <w:rPr>
          <w:rFonts w:ascii="DejaVu Sans" w:hAnsi="DejaVu Sans"/>
          <w:color w:val="132238"/>
          <w:sz w:val="18"/>
        </w:rPr>
        <w:t>Train platform owner first, then company owners/admins, then specialist and branch roles, then borrowers/support.</w:t>
      </w:r>
    </w:p>
    <w:p>
      <w:pPr>
        <w:pStyle w:val="ListBullet"/>
        <w:spacing w:after="40" w:line="245" w:lineRule="auto"/>
        <w:ind w:left="317" w:hanging="173"/>
      </w:pPr>
      <w:r>
        <w:rPr>
          <w:rFonts w:ascii="DejaVu Sans" w:hAnsi="DejaVu Sans"/>
          <w:color w:val="132238"/>
          <w:sz w:val="18"/>
        </w:rPr>
        <w:t>Use platform-owner role switching to test role journeys with an amber audit banner.</w:t>
      </w:r>
    </w:p>
    <w:p>
      <w:pPr>
        <w:pStyle w:val="ListBullet"/>
        <w:spacing w:after="40" w:line="245" w:lineRule="auto"/>
        <w:ind w:left="317" w:hanging="173"/>
      </w:pPr>
      <w:r>
        <w:rPr>
          <w:rFonts w:ascii="DejaVu Sans" w:hAnsi="DejaVu Sans"/>
          <w:color w:val="132238"/>
          <w:sz w:val="18"/>
        </w:rPr>
        <w:t>Use staging and non-sensitive test data for training.</w:t>
      </w:r>
    </w:p>
    <w:p>
      <w:pPr>
        <w:pStyle w:val="ListBullet"/>
        <w:spacing w:after="40" w:line="245" w:lineRule="auto"/>
        <w:ind w:left="317" w:hanging="173"/>
      </w:pPr>
      <w:r>
        <w:rPr>
          <w:rFonts w:ascii="DejaVu Sans" w:hAnsi="DejaVu Sans"/>
          <w:color w:val="132238"/>
          <w:sz w:val="18"/>
        </w:rPr>
        <w:t>Review generated daily reports and audit history during the first production weeks.</w:t>
      </w:r>
    </w:p>
    <w:tbl>
      <w:tblPr>
        <w:tblW w:type="auto" w:w="0"/>
        <w:tblLayout w:type="fixed"/>
        <w:tblLook w:firstColumn="1" w:firstRow="1" w:lastColumn="0" w:lastRow="0" w:noHBand="0" w:noVBand="1" w:val="04A0"/>
      </w:tblPr>
      <w:tblGrid>
        <w:gridCol w:w="173"/>
        <w:gridCol w:w="9648"/>
      </w:tblGrid>
      <w:tr>
        <w:tc>
          <w:tcPr>
            <w:tcW w:type="dxa" w:w="4946"/>
            <w:shd w:fill="2F9E2F"/>
          </w:tcPr>
          <w:p/>
        </w:tc>
        <w:tc>
          <w:tcPr>
            <w:tcW w:type="dxa" w:w="4946"/>
            <w:shd w:fill="EFF9EC"/>
          </w:tcPr>
          <w:p>
            <w:pPr>
              <w:spacing w:after="40"/>
            </w:pPr>
            <w:r/>
            <w:r>
              <w:rPr>
                <w:rFonts w:ascii="DejaVu Sans" w:hAnsi="DejaVu Sans"/>
                <w:b/>
                <w:color w:val="2F9E2F"/>
                <w:sz w:val="19"/>
              </w:rPr>
              <w:t>Product statement</w:t>
            </w:r>
          </w:p>
          <w:p>
            <w:pPr>
              <w:spacing w:after="0"/>
            </w:pPr>
            <w:r>
              <w:rPr>
                <w:rFonts w:ascii="DejaVu Sans" w:hAnsi="DejaVu Sans"/>
                <w:color w:val="132238"/>
                <w:sz w:val="17"/>
              </w:rPr>
              <w:t>LoanHub is the system. Ithute Solutions is the developer and maintenance partner. Learn Anywhere. Succeed Everywhere.</w:t>
            </w:r>
          </w:p>
        </w:tc>
      </w:tr>
    </w:tbl>
    <w:p>
      <w:pPr>
        <w:spacing w:after="0"/>
      </w:pPr>
    </w:p>
    <w:p>
      <w:pPr>
        <w:spacing w:before="360"/>
        <w:jc w:val="center"/>
      </w:pPr>
      <w:r>
        <w:drawing>
          <wp:inline xmlns:a="http://schemas.openxmlformats.org/drawingml/2006/main" xmlns:pic="http://schemas.openxmlformats.org/drawingml/2006/picture">
            <wp:extent cx="4023360" cy="2682240"/>
            <wp:docPr id="4" name="Picture 4"/>
            <wp:cNvGraphicFramePr>
              <a:graphicFrameLocks noChangeAspect="1"/>
            </wp:cNvGraphicFramePr>
            <a:graphic>
              <a:graphicData uri="http://schemas.openxmlformats.org/drawingml/2006/picture">
                <pic:pic>
                  <pic:nvPicPr>
                    <pic:cNvPr id="0" name="loanhub-horizontal-logo.png"/>
                    <pic:cNvPicPr/>
                  </pic:nvPicPr>
                  <pic:blipFill>
                    <a:blip r:embed="rId11"/>
                    <a:stretch>
                      <a:fillRect/>
                    </a:stretch>
                  </pic:blipFill>
                  <pic:spPr>
                    <a:xfrm>
                      <a:off x="0" y="0"/>
                      <a:ext cx="4023360" cy="2682240"/>
                    </a:xfrm>
                    <a:prstGeom prst="rect"/>
                  </pic:spPr>
                </pic:pic>
              </a:graphicData>
            </a:graphic>
          </wp:inline>
        </w:drawing>
      </w:r>
    </w:p>
    <w:p>
      <w:pPr>
        <w:jc w:val="center"/>
      </w:pPr>
      <w:r>
        <w:drawing>
          <wp:inline xmlns:a="http://schemas.openxmlformats.org/drawingml/2006/main" xmlns:pic="http://schemas.openxmlformats.org/drawingml/2006/picture">
            <wp:extent cx="1097280" cy="1312141"/>
            <wp:docPr id="5" name="Picture 5"/>
            <wp:cNvGraphicFramePr>
              <a:graphicFrameLocks noChangeAspect="1"/>
            </wp:cNvGraphicFramePr>
            <a:graphic>
              <a:graphicData uri="http://schemas.openxmlformats.org/drawingml/2006/picture">
                <pic:pic>
                  <pic:nvPicPr>
                    <pic:cNvPr id="0" name="ithute-solutions-developer-logo.png"/>
                    <pic:cNvPicPr/>
                  </pic:nvPicPr>
                  <pic:blipFill>
                    <a:blip r:embed="rId13"/>
                    <a:stretch>
                      <a:fillRect/>
                    </a:stretch>
                  </pic:blipFill>
                  <pic:spPr>
                    <a:xfrm>
                      <a:off x="0" y="0"/>
                      <a:ext cx="1097280" cy="1312141"/>
                    </a:xfrm>
                    <a:prstGeom prst="rect"/>
                  </pic:spPr>
                </pic:pic>
              </a:graphicData>
            </a:graphic>
          </wp:inline>
        </w:drawing>
      </w:r>
    </w:p>
    <w:sectPr w:rsidR="00FC693F" w:rsidRPr="0006063C" w:rsidSect="00034616">
      <w:headerReference w:type="default" r:id="rId9"/>
      <w:footerReference w:type="default" r:id="rId10"/>
      <w:pgSz w:w="11909" w:h="16834"/>
      <w:pgMar w:top="792" w:right="1008" w:bottom="792" w:left="1008"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color w:val="5B6573"/>
        <w:sz w:val="15"/>
      </w:rPr>
      <w:t xml:space="preserve">LoanHub • Developed and maintained by Ithute Solutions                              </w:t>
    </w:r>
    <w:r>
      <w:rPr>
        <w:rFonts w:ascii="DejaVu Sans" w:hAnsi="DejaVu Sans"/>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56032" cy="170688"/>
          <wp:docPr id="1" name="Picture 1"/>
          <wp:cNvGraphicFramePr>
            <a:graphicFrameLocks noChangeAspect="1"/>
          </wp:cNvGraphicFramePr>
          <a:graphic>
            <a:graphicData uri="http://schemas.openxmlformats.org/drawingml/2006/picture">
              <pic:pic>
                <pic:nvPicPr>
                  <pic:cNvPr id="0" name="loanhub-app-icon.png"/>
                  <pic:cNvPicPr/>
                </pic:nvPicPr>
                <pic:blipFill>
                  <a:blip r:embed="rId1"/>
                  <a:stretch>
                    <a:fillRect/>
                  </a:stretch>
                </pic:blipFill>
                <pic:spPr>
                  <a:xfrm>
                    <a:off x="0" y="0"/>
                    <a:ext cx="256032" cy="170688"/>
                  </a:xfrm>
                  <a:prstGeom prst="rect"/>
                </pic:spPr>
              </pic:pic>
            </a:graphicData>
          </a:graphic>
        </wp:inline>
      </w:drawing>
    </w:r>
    <w:r>
      <w:rPr>
        <w:rFonts w:ascii="DejaVu Sans" w:hAnsi="DejaVu Sans"/>
        <w:b/>
        <w:color w:val="062B55"/>
        <w:sz w:val="18"/>
      </w:rPr>
      <w:t xml:space="preserve">  LoanHub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DejaVu Sans" w:hAnsi="DejaVu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1.png"/><Relationship Id="rId13"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LoanHub Final User and Operations Manual</dc:title>
  <dc:subject>Role-by-role guide for LoanHub</dc:subject>
  <dc:creator>Ithute Solutions</dc:creator>
  <cp:keywords>LoanHub, Ithute Solutions, loan management, user manual, Lesotho</cp:keywords>
  <dc:description>Final engineered edition. Product and developer branding are intentionally separated.</dc:description>
  <cp:lastModifiedBy/>
  <cp:revision>1</cp:revision>
  <dcterms:created xsi:type="dcterms:W3CDTF">2013-12-23T23:15:00Z</dcterms:created>
  <dcterms:modified xsi:type="dcterms:W3CDTF">2013-12-23T23:15:00Z</dcterms:modified>
  <cp:category/>
</cp:coreProperties>
</file>