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0"/>
          <w:szCs w:val="40"/>
        </w:rPr>
        <w:t xml:space="preserve">AINU-Narayama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Registro técnico de correção: P_2.1/P_eq — cenário de recuperação em 25+25 anos e comparação no mesmo ano</w:t>
      </w:r>
    </w:p>
    <w:p>
      <w:pPr>
        <w:spacing w:after="160"/>
      </w:pPr>
      <w:r>
        <w:rPr>
          <w:i/>
          <w:iCs/>
          <w:color w:val="555555"/>
          <w:sz w:val="19"/>
          <w:szCs w:val="19"/>
        </w:rPr>
        <w:t xml:space="preserve">Data: 18 de julho de 2026. Commit: 696630d. Achado e decisões metodológicas: Itiberê L. G. C. Muarrek, a partir de varredura própria no projeto. Implementação: pipeline AINU-Narayama.</w:t>
      </w:r>
    </w:p>
    <w:p>
      <w:pPr>
        <w:pStyle w:val="Heading1"/>
        <w:spacing w:after="150" w:before="300"/>
      </w:pPr>
      <w:r>
        <w:t xml:space="preserve">1. Contexto e motivação</w:t>
      </w:r>
    </w:p>
    <w:p>
      <w:pPr>
        <w:spacing w:after="160"/>
      </w:pPr>
      <w:r>
        <w:t xml:space="preserve">Em 16/07/2026 (commit db78d9a, registrado em docs/registro_p_eq_convergencia_2026-07-16.docx), a Tabela Geracional passou a mostrar P_eq — a população endógena de equilíbrio, ~1 geração depois do momento em que a TFR retorna a 2,1 — usando a variante oficial "Instant replacement zero migration" da UN WPP 2024.</w:t>
      </w:r>
    </w:p>
    <w:p>
      <w:pPr>
        <w:spacing w:after="160"/>
      </w:pPr>
      <w:r>
        <w:t xml:space="preserve">Em varredura de 17-18/07/2026, o autor encontrou que os dados inferiores da tabela não indicavam as quedas populacionais esperadas: China (1.419 → 1.479 milhões) e Coreia do Sul (51,7 → 52,6 milhões) apareciam em ALTA, apesar de TFR real hoje muito abaixo de 2,1 (China oficialmente ~0,9-1,0, extraoficialmente ~0,7; Coreia ~0,7). Este documento registra o diagnóstico, as duas tentativas de correção e a solução final.</w:t>
      </w:r>
    </w:p>
    <w:p>
      <w:pPr>
        <w:pStyle w:val="Heading1"/>
        <w:spacing w:after="150" w:before="300"/>
      </w:pPr>
      <w:r>
        <w:t xml:space="preserve">2. Diagnóstico</w:t>
      </w:r>
    </w:p>
    <w:p>
      <w:pPr>
        <w:spacing w:after="160"/>
      </w:pPr>
      <w:r>
        <w:t xml:space="preserve">Causa raiz, confirmada linha a linha contra o dado bruto cacheado da ONU (data/raw/_cache/other_variants.csv.gz): a variante "Instant replacement zero migration" assume que a TFR salta para ~2,1 já em 2024 — não segue a trajetória real de cada país. Isso ignora décadas de fecundidade real baixa acumulada em países como China e Coreia, inflando artificialmente a população projetada.</w:t>
      </w:r>
    </w:p>
    <w:p>
      <w:pPr>
        <w:pStyle w:val="Heading2"/>
        <w:spacing w:after="100" w:before="200"/>
      </w:pPr>
      <w:r>
        <w:t xml:space="preserve">2.1 Tentativa 1 — usar a trajetória real pura da ONU (abandonada)</w:t>
      </w:r>
    </w:p>
    <w:p>
      <w:pPr>
        <w:spacing w:after="160"/>
      </w:pPr>
      <w:r>
        <w:t xml:space="preserve">Testou-se usar diretamente a variante "Zero migration" (fecundidade real "Medium" da ONU, migração zero, sem nenhum salto) e buscar o ano em que a TFR de cada país realmente cruza 2,1. Resultado: nenhum dos 20 países com TFR hoje abaixo de 2,1 — dos 28 do projeto, incluindo os 7 países destaque do narayama.live (Argentina, Brasil, China, Coreia do Sul, EUA, Itália, Japão) — cruza TFR = 2,1 até 2100, o fim do horizonte de projeção da ONU. O dado real e puro da ONU não cobre esse cenário para praticamente nenhum país do projeto; essa abordagem deixaria a funcionalidade inteira sem valor exibível.</w:t>
      </w:r>
    </w:p>
    <w:p>
      <w:pPr>
        <w:pStyle w:val="Heading1"/>
        <w:spacing w:after="150" w:before="300"/>
      </w:pPr>
      <w:r>
        <w:t xml:space="preserve">3. Solução — cenário proposto de recuperação em 25+25 anos</w:t>
      </w:r>
    </w:p>
    <w:p>
      <w:pPr>
        <w:spacing w:after="160"/>
      </w:pPr>
      <w:r>
        <w:t xml:space="preserve">Decisão do autor: em vez de um dado direto da ONU (que não cobre o cenário) ou um salto instantâneo (irreal), simular um cenário PRÓPRIO, claramente identificado como proposto: todo país — esteja hoje acima ou abaixo de 2,1 — segue um plano de convergência linear até TFR = 2,1 ao longo de 25 anos (uma geração), e depois mantém TFR = 2,1 por mais 25 anos (segunda geração).</w:t>
      </w:r>
    </w:p>
    <w:p>
      <w:pPr>
        <w:spacing w:after="160"/>
      </w:pPr>
      <w:r>
        <w:t xml:space="preserve">Convergir nos dois sentidos (recuperação para quem está abaixo de 2,1, e desaceleração para quem está acima, como Nigéria) é coerente com o enquadramento da tese: PEC (colapso, TFR baixa) e PEEC (saturação, TFR alta) são os dois extremos; PEA (TFR ≈ 2,1) é o meio — o mesmo plano de convergência serve para os dois lados.</w:t>
      </w:r>
    </w:p>
    <w:p>
      <w:pPr>
        <w:pStyle w:val="Heading2"/>
        <w:spacing w:after="100" w:before="200"/>
      </w:pPr>
      <w:r>
        <w:t xml:space="preserve">3.1 Formalização</w:t>
      </w:r>
    </w:p>
    <w:p>
      <w:pPr>
        <w:spacing w:after="160"/>
        <w:ind w:left="360"/>
      </w:pPr>
      <w:r>
        <w:rPr>
          <w:rFonts w:ascii="Consolas" w:cs="Consolas" w:eastAsia="Consolas" w:hAnsi="Consolas"/>
          <w:sz w:val="21"/>
          <w:szCs w:val="21"/>
        </w:rPr>
        <w:t xml:space="preserve">TFR_ramp(t) = TFR_real(2024) + [2,1 − TFR_real(2024)] × (t − 2024) / 25,  para 2024 ≤ t &lt; 2049</w:t>
      </w:r>
    </w:p>
    <w:p>
      <w:pPr>
        <w:spacing w:after="160"/>
        <w:ind w:left="360"/>
      </w:pPr>
      <w:r>
        <w:rPr>
          <w:rFonts w:ascii="Consolas" w:cs="Consolas" w:eastAsia="Consolas" w:hAnsi="Consolas"/>
          <w:sz w:val="21"/>
          <w:szCs w:val="21"/>
        </w:rPr>
        <w:t xml:space="preserve">TFR_ramp(t) = 2,1,  para t ≥ 2049</w:t>
      </w:r>
    </w:p>
    <w:p>
      <w:pPr>
        <w:spacing w:after="160"/>
        <w:ind w:left="360"/>
      </w:pPr>
      <w:r>
        <w:rPr>
          <w:rFonts w:ascii="Consolas" w:cs="Consolas" w:eastAsia="Consolas" w:hAnsi="Consolas"/>
          <w:sz w:val="21"/>
          <w:szCs w:val="21"/>
        </w:rPr>
        <w:t xml:space="preserve">P_ramp(t+1) = P_ramp(t) + Nascimentos_real(t) × [TFR_ramp(t) / TFR_real(t)] − Óbitos_real(t)</w:t>
      </w:r>
    </w:p>
    <w:p>
      <w:pPr>
        <w:spacing w:after="160"/>
      </w:pPr>
      <w:r>
        <w:t xml:space="preserve">Nascimentos e óbitos usados na simulação SÃO reais — vêm da variante "Zero migration" da própria ONU (colunas Births/Deaths/TFR anuais, presentes em WPP2024_Demographic_Indicators_OtherVariants.csv.gz). A única parte "proposta" é a trajetória de TFR: nascimentos são escalados pela razão TFR_ramp(t)/TFR_real(t) a cada ano — aproximação padrão quando não se tem fecundidade específica por idade (que este projeto não coleta). Óbitos ficam com o valor real da ONU, já que não dependem do cenário de fecundidade no curto/médio prazo. Simplificação explícita: não é um modelo de coorte por idade, é uma escala do total de nascimentos.</w:t>
      </w:r>
    </w:p>
    <w:p>
      <w:pPr>
        <w:spacing w:after="160"/>
      </w:pPr>
      <w:r>
        <w:rPr>
          <w:b/>
          <w:bCs/>
        </w:rPr>
        <w:t xml:space="preserve">P_2.1 = P_ramp(2049)      P_eq = P_ramp(2074)</w:t>
      </w:r>
    </w:p>
    <w:p>
      <w:pPr>
        <w:spacing w:after="160"/>
      </w:pPr>
      <w:r>
        <w:rPr>
          <w:i/>
          <w:iCs/>
          <w:color w:val="555555"/>
          <w:sz w:val="19"/>
          <w:szCs w:val="19"/>
        </w:rPr>
        <w:t xml:space="preserve">Validação da equação de balanço: P(t+1) ≈ P(t) + Nascimentos(t) − Óbitos(t) bateu com menos de 0,01% de diferença contra a população real da própria ONU (China e Nigéria, 2024→2025) antes de qualquer ajuste.</w:t>
      </w:r>
    </w:p>
    <w:p>
      <w:pPr>
        <w:pStyle w:val="Heading1"/>
        <w:spacing w:after="150" w:before="300"/>
      </w:pPr>
      <w:r>
        <w:t xml:space="preserve">4. Segunda correção — "o problema dos dois números"</w:t>
      </w:r>
    </w:p>
    <w:p>
      <w:pPr>
        <w:spacing w:after="160"/>
      </w:pPr>
      <w:r>
        <w:t xml:space="preserve">Os cards da v2 comparavam "população hoje (2024) → P_eq (2074)". O autor identificou que essa comparação mistura dois efeitos distintos: a inércia etária própria do país — que sozinha já pode fazer a população crescer por décadas, mesmo sem nenhuma mudança de política — e o efeito do cenário de recuperação proposto.</w:t>
      </w:r>
    </w:p>
    <w:p>
      <w:pPr>
        <w:spacing w:after="160"/>
      </w:pPr>
      <w:r>
        <w:t xml:space="preserve">Exemplo concreto: o Brasil tem TFR real de ~1,6 (abaixo de 2,1) e é frequentemente percebido como já estando em queda populacional. Mas, sob a trajetória real e pura da ONU (variante "Zero migration", sem nenhuma rampa), a população do Brasil CRESCE de 212 para um pico de ~222 milhões por volta de 2043, e só então começa a cair — porque o país teve fecundidade acima de 2,1 até os anos 2000 e ainda tem hoje uma base grande de mulheres em idade fértil. TFR abaixo de 2,1 não significa queda populacional imediata; significa queda futura, quando essa geração maior envelhecer.</w:t>
      </w:r>
    </w:p>
    <w:p>
      <w:pPr>
        <w:spacing w:after="160"/>
      </w:pPr>
      <w:r>
        <w:t xml:space="preserve">Comparar "hoje" com "daqui a 50 anos sob um cenário ideal" dá a impressão de que todo o ganho populacional veio da política de recuperação, quando parte dele (no caso do Brasil, a maior parte) já aconteceria de qualquer forma, só por inércia etária.</w:t>
      </w:r>
    </w:p>
    <w:p>
      <w:pPr>
        <w:pStyle w:val="Heading2"/>
        <w:spacing w:after="100" w:before="200"/>
      </w:pPr>
      <w:r>
        <w:t xml:space="preserve">4.1 Correção aplicada</w:t>
      </w:r>
    </w:p>
    <w:p>
      <w:pPr>
        <w:spacing w:after="160"/>
      </w:pPr>
      <w:r>
        <w:t xml:space="preserve">Introduzida a variável P_tendência: a população no MESMO ano final (t_c + 25 = 2074), mas seguindo a trajetória real da ONU sem nenhuma rampa/política (variante "Zero migration" pura). Os cards agora mostram P_tendência → P_eq, ambos em 2074 — isolando o efeito da política de recuperação da simples passagem do tempo. Nova coluna p_tendencia em data/raw/convergencia_un.csv.</w:t>
      </w:r>
    </w:p>
    <w:p>
      <w:pPr>
        <w:pStyle w:val="Heading1"/>
        <w:spacing w:after="150" w:before="300"/>
      </w:pPr>
      <w:r>
        <w:t xml:space="preserve">5. Resultado — os 28 países</w:t>
      </w:r>
    </w:p>
    <w:p>
      <w:pPr>
        <w:spacing w:after="160"/>
      </w:pPr>
      <w:r>
        <w:t xml:space="preserve">Tabela ordenada por N* crescente. P_tendência = população 2074 sem nenhuma mudança de política (trajetória real da ONU). P_eq = população 2074 sob o cenário de recuperação proposto (25+25 anos). Δ = P_eq − P_tendência, em milhões.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00"/>
        <w:gridCol w:w="2600"/>
        <w:gridCol w:w="700"/>
        <w:gridCol w:w="1500"/>
        <w:gridCol w:w="1300"/>
        <w:gridCol w:w="1100"/>
      </w:tblGrid>
      <w:tr>
        <w:trPr>
          <w:tblHeader/>
        </w:trPr>
        <w:tc>
          <w:tcPr>
            <w:tcW w:type="dxa" w:w="1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País</w:t>
            </w:r>
          </w:p>
        </w:tc>
        <w:tc>
          <w:tcPr>
            <w:tcW w:type="dxa" w:w="7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Cód.</w:t>
            </w:r>
          </w:p>
        </w:tc>
        <w:tc>
          <w:tcPr>
            <w:tcW w:type="dxa" w:w="26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Zona (N*)</w:t>
            </w:r>
          </w:p>
        </w:tc>
        <w:tc>
          <w:tcPr>
            <w:tcW w:type="dxa" w:w="7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N*</w:t>
            </w:r>
          </w:p>
        </w:tc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P_tendência 2074 (mi)</w:t>
            </w:r>
          </w:p>
        </w:tc>
        <w:tc>
          <w:tcPr>
            <w:tcW w:type="dxa" w:w="13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P_eq 2074 (mi)</w:t>
            </w:r>
          </w:p>
        </w:tc>
        <w:tc>
          <w:tcPr>
            <w:tcW w:type="dxa" w:w="11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Δ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Coreia do Sul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KOR</w:t>
            </w:r>
          </w:p>
        </w:tc>
        <w:tc>
          <w:tcPr>
            <w:tcW w:type="dxa" w:w="2600"/>
            <w:shd w:fill="F4B6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Colapso de Narayama (PEC)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0,37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30,3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36,8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+6,5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Japão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JPN</w:t>
            </w:r>
          </w:p>
        </w:tc>
        <w:tc>
          <w:tcPr>
            <w:tcW w:type="dxa" w:w="2600"/>
            <w:shd w:fill="F4B6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Colapso de Narayama (PEC)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0,43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77,8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89,4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+11,7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Itália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ITA</w:t>
            </w:r>
          </w:p>
        </w:tc>
        <w:tc>
          <w:tcPr>
            <w:tcW w:type="dxa" w:w="2600"/>
            <w:shd w:fill="F4B6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Colapso de Narayama (PEC)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0,49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37,8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43,6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+5,8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Tailândia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THA</w:t>
            </w:r>
          </w:p>
        </w:tc>
        <w:tc>
          <w:tcPr>
            <w:tcW w:type="dxa" w:w="2600"/>
            <w:shd w:fill="F4B6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Colapso de Narayama (PEC)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0,55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50,4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59,6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+9,3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China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CHN</w:t>
            </w:r>
          </w:p>
        </w:tc>
        <w:tc>
          <w:tcPr>
            <w:tcW w:type="dxa" w:w="2600"/>
            <w:shd w:fill="F4B6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Colapso de Narayama (PEC)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0,59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964,2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1153,6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+189,4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Polônia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POL</w:t>
            </w:r>
          </w:p>
        </w:tc>
        <w:tc>
          <w:tcPr>
            <w:tcW w:type="dxa" w:w="2600"/>
            <w:shd w:fill="F4B6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Colapso de Narayama (PEC)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0,62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27,0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31,1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+4,2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Alemanha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DEU</w:t>
            </w:r>
          </w:p>
        </w:tc>
        <w:tc>
          <w:tcPr>
            <w:tcW w:type="dxa" w:w="2600"/>
            <w:shd w:fill="F4B6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Colapso de Narayama (PEC)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0,63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60,9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68,1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+7,2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França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FRA</w:t>
            </w:r>
          </w:p>
        </w:tc>
        <w:tc>
          <w:tcPr>
            <w:tcW w:type="dxa" w:w="2600"/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Tensão Acelerada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0,75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58,4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64,1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+5,8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Suécia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SWE</w:t>
            </w:r>
          </w:p>
        </w:tc>
        <w:tc>
          <w:tcPr>
            <w:tcW w:type="dxa" w:w="2600"/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Tensão Acelerada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0,79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9,0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10,0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+1,1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Rússia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RUS</w:t>
            </w:r>
          </w:p>
        </w:tc>
        <w:tc>
          <w:tcPr>
            <w:tcW w:type="dxa" w:w="2600"/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Tensão Acelerada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0,79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105,7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119,6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+13,9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Reino Unido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GBR</w:t>
            </w:r>
          </w:p>
        </w:tc>
        <w:tc>
          <w:tcPr>
            <w:tcW w:type="dxa" w:w="2600"/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Tensão Acelerada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0,80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58,9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66,2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+7,4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Chile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CHL</w:t>
            </w:r>
          </w:p>
        </w:tc>
        <w:tc>
          <w:tcPr>
            <w:tcW w:type="dxa" w:w="2600"/>
            <w:shd w:fill="BDD7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Tensão Acelerada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0,81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16,4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19,6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+3,2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Estados Unidos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USA</w:t>
            </w:r>
          </w:p>
        </w:tc>
        <w:tc>
          <w:tcPr>
            <w:tcW w:type="dxa" w:w="2600"/>
            <w:shd w:fill="C6E0B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Equilíbrio Sustentável (PEA)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0,96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310,1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342,3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+32,2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Argentina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ARG</w:t>
            </w:r>
          </w:p>
        </w:tc>
        <w:tc>
          <w:tcPr>
            <w:tcW w:type="dxa" w:w="2600"/>
            <w:shd w:fill="C6E0B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Equilíbrio Sustentável (PEA)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1,06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45,3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51,3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+6,0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Austrália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AUS</w:t>
            </w:r>
          </w:p>
        </w:tc>
        <w:tc>
          <w:tcPr>
            <w:tcW w:type="dxa" w:w="2600"/>
            <w:shd w:fill="C6E0B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Equilíbrio Sustentável (PEA)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1,07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25,5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28,1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+2,6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Brasil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BRA</w:t>
            </w:r>
          </w:p>
        </w:tc>
        <w:tc>
          <w:tcPr>
            <w:tcW w:type="dxa" w:w="2600"/>
            <w:shd w:fill="C6E0B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Equilíbrio Sustentável (PEA)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1,17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200,3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226,8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+26,5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Índia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IND</w:t>
            </w:r>
          </w:p>
        </w:tc>
        <w:tc>
          <w:tcPr>
            <w:tcW w:type="dxa" w:w="2600"/>
            <w:shd w:fill="C6E0B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Equilíbrio Sustentável (PEA)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1,37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1711,8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1870,0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+158,2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Indonésia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IDN</w:t>
            </w:r>
          </w:p>
        </w:tc>
        <w:tc>
          <w:tcPr>
            <w:tcW w:type="dxa" w:w="2600"/>
            <w:shd w:fill="FFE69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Tensão Populacional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1,45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323,5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348,2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+24,7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Vietnã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VNM</w:t>
            </w:r>
          </w:p>
        </w:tc>
        <w:tc>
          <w:tcPr>
            <w:tcW w:type="dxa" w:w="2600"/>
            <w:shd w:fill="FFE69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Tensão Populacional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1,48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106,5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116,5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+9,9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Irã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IRN</w:t>
            </w:r>
          </w:p>
        </w:tc>
        <w:tc>
          <w:tcPr>
            <w:tcW w:type="dxa" w:w="2600"/>
            <w:shd w:fill="FFE69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Tensão Populacional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1,66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96,3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107,2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+10,9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África do Sul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ZAF</w:t>
            </w:r>
          </w:p>
        </w:tc>
        <w:tc>
          <w:tcPr>
            <w:tcW w:type="dxa" w:w="2600"/>
            <w:shd w:fill="FFE69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Tensão Populacional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1,66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74,0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79,3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+5,3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Marrocos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</w:t>
            </w:r>
          </w:p>
        </w:tc>
        <w:tc>
          <w:tcPr>
            <w:tcW w:type="dxa" w:w="2600"/>
            <w:shd w:fill="FFE69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Tensão Populacional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1,66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48,1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51,5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+3,4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México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MEX</w:t>
            </w:r>
          </w:p>
        </w:tc>
        <w:tc>
          <w:tcPr>
            <w:tcW w:type="dxa" w:w="2600"/>
            <w:shd w:fill="FFE69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Tensão Populacional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1,67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153,0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169,3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+16,3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Nigéria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NGA</w:t>
            </w:r>
          </w:p>
        </w:tc>
        <w:tc>
          <w:tcPr>
            <w:tcW w:type="dxa" w:w="2600"/>
            <w:shd w:fill="F8CBA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Saturação por Overbirths (PEEC)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2,58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427,4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397,3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-30,2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Egito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EGY</w:t>
            </w:r>
          </w:p>
        </w:tc>
        <w:tc>
          <w:tcPr>
            <w:tcW w:type="dxa" w:w="2600"/>
            <w:shd w:fill="F8CBA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Saturação por Overbirths (PEEC)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2,61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192,0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191,7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-0,3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Etiópia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ETH</w:t>
            </w:r>
          </w:p>
        </w:tc>
        <w:tc>
          <w:tcPr>
            <w:tcW w:type="dxa" w:w="2600"/>
            <w:shd w:fill="F8CBA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Saturação por Overbirths (PEEC)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3,00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293,5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279,2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-14,3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Arábia Saudita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SAU</w:t>
            </w:r>
          </w:p>
        </w:tc>
        <w:tc>
          <w:tcPr>
            <w:tcW w:type="dxa" w:w="2600"/>
            <w:shd w:fill="F8CBA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Saturação por Overbirths (PEEC)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3,05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45,0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48,0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+3,0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República Democrática do Congo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COD</w:t>
            </w:r>
          </w:p>
        </w:tc>
        <w:tc>
          <w:tcPr>
            <w:tcW w:type="dxa" w:w="2600"/>
            <w:shd w:fill="F8CBA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Saturação por Overbirths (PEEC)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3,41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337,9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259,9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-78,0</w:t>
            </w:r>
          </w:p>
        </w:tc>
      </w:tr>
    </w:tbl>
    <w:p>
      <w:pPr>
        <w:spacing w:before="200"/>
      </w:pPr>
    </w:p>
    <w:p>
      <w:pPr>
        <w:spacing w:after="160"/>
      </w:pPr>
      <w:r>
        <w:t xml:space="preserve">Leitura: para todo país com TFR real hoje abaixo de 2,1 (a maioria dos 28, incluindo os 7 destaque do narayama.live), P_eq &gt; P_tendência — a recuperação de fecundidade produz uma população maior do que não fazer nada. Destaque para os países de fecundidade mais baixa e persistente: China (+189,4 milhões), Índia (+158,2), Estados Unidos (+32,2), Brasil (+26,5).</w:t>
      </w:r>
    </w:p>
    <w:p>
      <w:pPr>
        <w:spacing w:after="160"/>
      </w:pPr>
      <w:r>
        <w:t xml:space="preserve">Para países hoje acima de 2,1 (zona Saturação por Overbirths/PEEC), o padrão se inverte na maioria dos casos — a convergência PARA BAIXO até 2,1 reduz o crescimento que aconteceria sem intervenção: República Democrática do Congo (−78,0), Nigéria (−30,2), Etiópia (−14,3). Exceção: Arábia Saudita (+3,0) e Egito (praticamente neutro, −0,3) — nesses dois casos a trajetória real da ONU já projeta a TFR caindo abaixo de 2,1 antes de 2074, então "manter 2,1" acaba superando o "deixar cair" da tendência real. Ambos os padrões são esperados e coerentes com o enquadramento PEC/PEEC/PEA da tese.</w:t>
      </w:r>
    </w:p>
    <w:p>
      <w:pPr>
        <w:pStyle w:val="Heading1"/>
        <w:spacing w:after="150" w:before="300"/>
      </w:pPr>
      <w:r>
        <w:t xml:space="preserve">6. Arquivos alterados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Arquivo</w:t>
            </w:r>
          </w:p>
        </w:tc>
        <w:tc>
          <w:tcPr>
            <w:tcW w:type="dxa" w:w="58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Mudança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scripts/build_convergencia_raw.py</w:t>
            </w:r>
          </w:p>
        </w:tc>
        <w:tc>
          <w:tcPr>
            <w:tcW w:type="dxa" w:w="5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Reescrito. Nova simulação: rampa linear de TFR até 2,1 em 25 anos, estável por mais 25; nova coluna p_tendencia (trajetória real, sem rampa, mesmo ano final).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data/raw/convergencia_un.csv</w:t>
            </w:r>
          </w:p>
        </w:tc>
        <w:tc>
          <w:tcPr>
            <w:tcW w:type="dxa" w:w="5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Regerado. Colunas: pais_codigo, ano_2_1, p_2_1, tfr_2_1, ano_eq, p_eq, tfr_eq, p_tendencia, tfr_tendencia.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app/ainu_systems/app.py</w:t>
            </w:r>
          </w:p>
        </w:tc>
        <w:tc>
          <w:tcPr>
            <w:tcW w:type="dxa" w:w="5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Card passa de "pop. atual → P_eq" para "P_tendência (2074) → P_eq (2074)"; legenda reescrita.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app/narayama_live/app.py</w:t>
            </w:r>
          </w:p>
        </w:tc>
        <w:tc>
          <w:tcPr>
            <w:tcW w:type="dxa" w:w="5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Mesma mudança de cards e legenda.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docs/definitions.md</w:t>
            </w:r>
          </w:p>
        </w:tc>
        <w:tc>
          <w:tcPr>
            <w:tcW w:type="dxa" w:w="5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Seção 8-B reescrita: histórico das duas tentativas abandonadas, formalização do cenário de recuperação 25+25, e a correção "problema dos dois números".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.github/workflows/ci.yml</w:t>
            </w:r>
          </w:p>
        </w:tc>
        <w:tc>
          <w:tcPr>
            <w:tcW w:type="dxa" w:w="5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Nova asserção de regressão: p_tendencia não-nulo e positivo.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README.md</w:t>
            </w:r>
          </w:p>
        </w:tc>
        <w:tc>
          <w:tcPr>
            <w:tcW w:type="dxa" w:w="5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"Estado atual" atualizado com as duas correções.</w:t>
            </w:r>
          </w:p>
        </w:tc>
      </w:tr>
    </w:tbl>
    <w:p>
      <w:pPr>
        <w:spacing w:before="200"/>
      </w:pPr>
    </w:p>
    <w:p>
      <w:pPr>
        <w:pStyle w:val="Heading1"/>
        <w:spacing w:after="150" w:before="300"/>
      </w:pPr>
      <w:r>
        <w:t xml:space="preserve">7. Limitações explícitas e próximos passos</w:t>
      </w:r>
    </w:p>
    <w:p>
      <w:pPr>
        <w:spacing w:after="100"/>
        <w:ind w:left="360" w:hanging="200"/>
      </w:pPr>
      <w:r>
        <w:t xml:space="preserve">• A rampa de TFR (25 anos até 2,1, mais 25 anos estável) é uma proposta do autor, não um dado direto da ONU nem uma previsão — está claramente rotulada como cenário PROPOSTO nos cards e na documentação.</w:t>
      </w:r>
    </w:p>
    <w:p>
      <w:pPr>
        <w:spacing w:after="100"/>
        <w:ind w:left="360" w:hanging="200"/>
      </w:pPr>
      <w:r>
        <w:t xml:space="preserve">• A escala de nascimentos por razão de TFR é uma aproximação — não substitui um modelo de coorte por idade completo (fecundidade específica por idade + tábua de mortalidade), que este projeto não coleta. Fica como possível refinamento futuro, de escopo bem maior.</w:t>
      </w:r>
    </w:p>
    <w:p>
      <w:pPr>
        <w:spacing w:after="100"/>
        <w:ind w:left="360" w:hanging="200"/>
      </w:pPr>
      <w:r>
        <w:t xml:space="preserve">• P_X (processos exógenos / migração) continua não implementado — o Framework Narayama usa só P_E.</w:t>
      </w:r>
    </w:p>
    <w:p>
      <w:pPr>
        <w:spacing w:after="160"/>
      </w:pPr>
      <w:r>
        <w:t xml:space="preserve">Decisão do autor (2026-07-18): fechar o item "T_2.1 gradual", que ficava em aberto desde 16/07/2026 — esta implementação já é o cenário gradual, só que como convergência proposta pelo autor em 25 anos, não uma variante pronta da ONU (nenhuma variante da ONU cobre esse caso, ver seção 2.1).</w:t>
      </w:r>
    </w:p>
    <w:p>
      <w:pPr>
        <w:pStyle w:val="Heading1"/>
        <w:spacing w:after="150" w:before="300"/>
      </w:pPr>
      <w:r>
        <w:t xml:space="preserve">8. Fontes</w:t>
      </w:r>
    </w:p>
    <w:p>
      <w:pPr>
        <w:spacing w:after="160"/>
      </w:pPr>
      <w:r>
        <w:t xml:space="preserve">UN World Population Prospects 2024 Revision, WPP2024_Demographic_Indicators_OtherVariants.csv.gz (colunas Births, Deaths, TFR, TPopulation1July, variante "Zero migration"); docs/definitions.md, seção 8-B; commit 696630d do repositório AINU-Narayama; docs/registro_p_eq_convergencia_2026-07-16.docx (registro da versão anterior).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2026-07-18T04:26:19.287Z</dcterms:created>
  <dcterms:modified xsi:type="dcterms:W3CDTF">2026-07-18T04:26:19.288Z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