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AINU-Narayama</w:t>
      </w:r>
    </w:p>
    <w:p>
      <w:pPr>
        <w:spacing w:after="300"/>
      </w:pPr>
      <w:r>
        <w:rPr>
          <w:i/>
          <w:iCs/>
          <w:sz w:val="26"/>
          <w:szCs w:val="26"/>
        </w:rPr>
        <w:t xml:space="preserve">Registro técnico de mudança: P_2.1 / P_eq (população de convergência e de equilíbrio) e reorganização do narayama.live</w:t>
      </w:r>
    </w:p>
    <w:p>
      <w:pPr>
        <w:spacing w:after="18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Data: 16 de julho de 2026. Commit: db78d9a. Autor da formalização matemática: Itiberê L. G. C. Muarrek (documento-fonte "tabela geracional - formula.docx", 2026-07-16). Implementação: pipeline AINU-Narayama.</w:t>
      </w:r>
    </w:p>
    <w:p>
      <w:pPr>
        <w:pStyle w:val="Heading1"/>
      </w:pPr>
      <w:r>
        <w:t xml:space="preserve">1. Contexto e motivação</w:t>
      </w:r>
    </w:p>
    <w:p>
      <w:pPr>
        <w:spacing w:after="18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"Tabela Geracional de Narayama" (Seção 9-A.7 da tese) é a visualização em formato de tabela periódica que compara os 28 países da amostra por zona do Índice Narayama. Numa primeira versão (2026-07-13/14), cada card mostrava população atual e, ao lado, um campo "pop. projetada: pendente" — a tabela reconhecia que faltava mostrar o tamanho populacional futuro do país, mas não tinha como calculá-lo: fazer isso corretamente exigiria fecundidade por idade e tábua de mortalidade (projeção coorte-componente), dados que o projeto não coleta.</w:t>
      </w:r>
    </w:p>
    <w:p>
      <w:pPr>
        <w:spacing w:after="18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Em 16/07/2026, o autor da tese formalizou três conceitos novos num documento próprio ("tabela geracional - formula.docx") capazes de preencher essa lacuna sem exigir um modelo demográfico completo, desde que uma fonte de dado real e apropriada fosse encontrada. Este documento registra a formalização matemática, a fonte de dado usada, a implementação técnica e o resultado.</w:t>
      </w:r>
    </w:p>
    <w:p>
      <w:pPr>
        <w:pStyle w:val="Heading1"/>
      </w:pPr>
      <w:r>
        <w:t xml:space="preserve">2. Formalização matemática</w:t>
      </w:r>
    </w:p>
    <w:p>
      <w:pPr>
        <w:pStyle w:val="Heading2"/>
      </w:pPr>
      <w:r>
        <w:t xml:space="preserve">2.1 População Endógena — P_E(t)</w:t>
      </w:r>
    </w:p>
    <w:p>
      <w:pPr>
        <w:spacing w:after="18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população que evolui apenas por nascimentos e óbitos, sem termo de migração:</w:t>
      </w:r>
    </w:p>
    <w:p>
      <w:pPr>
        <w:spacing w:after="120" w:before="120"/>
        <w:ind w:left="40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P_E(t+1) = P_E(t) + B_E(t) − D_E(t)</w:t>
      </w:r>
    </w:p>
    <w:p>
      <w:pPr>
        <w:spacing w:after="18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onde B_E = nascimentos da população endógena; D_E = óbitos da população endógena. Note que não existe termo de migração — essa é a diferença central em relação à população total observada (ver seção 2.4).</w:t>
      </w:r>
    </w:p>
    <w:p>
      <w:pPr>
        <w:pStyle w:val="Heading2"/>
      </w:pPr>
      <w:r>
        <w:t xml:space="preserve">2.2 Estado de Convergência — P_2.1</w:t>
      </w:r>
    </w:p>
    <w:p>
      <w:pPr>
        <w:spacing w:after="18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população endógena de convergência: o tamanho da população no instante t_c em que a TFR atinge 2,1 (nível de reposição) pela primeira vez.</w:t>
      </w:r>
    </w:p>
    <w:p>
      <w:pPr>
        <w:spacing w:after="120" w:before="120"/>
        <w:ind w:left="40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P_2.1 = P_E(t_c), onde TFR(t_c) = 2,1</w:t>
      </w:r>
    </w:p>
    <w:p>
      <w:pPr>
        <w:spacing w:after="18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Esse número representa a população no momento em que a fecundidade retorna ao nível de reposição — mas a estrutura etária ainda não está estabilizada. A inércia etária (mais ou menos mulheres em idade reprodutiva do que o necessário para uma população estacionária) continua empurrando a população pra cima ou pra baixo por mais tempo.</w:t>
      </w:r>
    </w:p>
    <w:p>
      <w:pPr>
        <w:pStyle w:val="Heading2"/>
      </w:pPr>
      <w:r>
        <w:t xml:space="preserve">2.3 Estado de Equilíbrio — P_eq</w:t>
      </w:r>
    </w:p>
    <w:p>
      <w:pPr>
        <w:spacing w:after="18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população endógena de equilíbrio: o tamanho populacional ~1 geração (25 anos) depois de t_c, mantendo TFR = 2,1 durante todo o período.</w:t>
      </w:r>
    </w:p>
    <w:p>
      <w:pPr>
        <w:spacing w:after="120" w:before="120"/>
        <w:ind w:left="40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P_eq = P_E(t_c + 25), mantendo TFR = 2,1 no período</w:t>
      </w:r>
    </w:p>
    <w:p>
      <w:pPr>
        <w:spacing w:after="18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Esse é o verdadeiro tamanho populacional sustentável — o ponto em que a estrutura etária já se reacomodou e a população para de crescer ou encolher só por inércia.</w:t>
      </w:r>
    </w:p>
    <w:p>
      <w:pPr>
        <w:pStyle w:val="Heading2"/>
      </w:pPr>
      <w:r>
        <w:t xml:space="preserve">2.4 Processos exógenos — P_obs e P_X</w:t>
      </w:r>
    </w:p>
    <w:p>
      <w:pPr>
        <w:spacing w:after="18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Para incorporar migração sem alterar a definição do índice, o autor define a população observada como a soma da população endógena com a população decorrente de processos exógenos:</w:t>
      </w:r>
    </w:p>
    <w:p>
      <w:pPr>
        <w:spacing w:after="120" w:before="120"/>
        <w:ind w:left="40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P_obs(t) = P_E(t) + P_X(t)</w:t>
      </w:r>
    </w:p>
    <w:p>
      <w:pPr>
        <w:spacing w:after="18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 Framework Narayama (o Índice N* em si) usa apenas P_E — mensuração pura do fenômeno demográfico endógeno. A plataforma AINU, por sua vez, pode simular cenários sobre P_X (migração, por exemplo) sem alterar a definição do indicador. Essa separação preserva a consistência metodológica do índice (o que é medido) e amplia o potencial analítico da infraestrutura computacional (o que pode ser simulado) — P_X ainda não está implementado nesta versão; ver seção 6.</w:t>
      </w:r>
    </w:p>
    <w:p>
      <w:pPr>
        <w:pStyle w:val="Heading2"/>
      </w:pPr>
      <w:r>
        <w:t xml:space="preserve">2.5 Tempo de Convergência — T_2.1</w:t>
      </w:r>
    </w:p>
    <w:p>
      <w:pPr>
        <w:spacing w:after="18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Definido pelo autor como o tempo necessário para uma sociedade atingir novamente TFR = 2,1, "mediante determinado cenário" — ou seja, um valor que depende de qual trajetória de recuperação da fecundidade se assume, não uma conta determinística única a partir do dado de hoje. Esse parâmetro NÃO está implementado nesta versão (ver seção 6 — Limitações e próximos passos).</w:t>
      </w:r>
    </w:p>
    <w:p>
      <w:pPr>
        <w:pStyle w:val="Heading1"/>
      </w:pPr>
      <w:r>
        <w:t xml:space="preserve">3. Fonte de dado e implementação técnica</w:t>
      </w:r>
    </w:p>
    <w:p>
      <w:pPr>
        <w:spacing w:after="180"/>
      </w:pPr>
      <w:r>
        <w:rPr>
          <w:b/>
          <w:bCs/>
          <w:i w:val="false"/>
          <w:iCs w:val="false"/>
          <w:sz w:val="22"/>
          <w:szCs w:val="22"/>
        </w:rPr>
        <w:t xml:space="preserve">Calcular P_E(t) exigiria projetar B_E(t) e D_E(t) — o que, por sua vez, exigiria fecundidade específica por idade e uma tábua de mortalidade, dados que este projeto não coleta. Em vez de construir esse modelo do zero (o que envolveria inventar uma metodologia própria), verificou-se que a UN World Population Prospects 2024 Revision já publica oficialmente um cenário equivalente à definição de P_E.</w:t>
      </w:r>
    </w:p>
    <w:p>
      <w:pPr>
        <w:spacing w:after="18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Arquivo fonte: WPP2024_Demographic_Indicators_OtherVariants.csv.gz — cobre variantes especiais da revisão 2024 (High, Low, Constant fertility, Momentum, Zero migration, Instant replacement, entre outras), além da variante Medium usada no resto do pipeline.</w:t>
      </w:r>
    </w:p>
    <w:p>
      <w:pPr>
        <w:spacing w:after="180"/>
      </w:pPr>
      <w:r>
        <w:rPr>
          <w:b/>
          <w:bCs/>
          <w:i w:val="false"/>
          <w:iCs w:val="false"/>
          <w:sz w:val="22"/>
          <w:szCs w:val="22"/>
        </w:rPr>
        <w:t xml:space="preserve">Variante usada: "Instant replacement zero migration" — fecundidade fixada em nível de reposição (TFR ≈ 2,05-2,10, tecnicamente calibrada para NRR = 1) e migração líquida zero, calculada pelos próprios demógrafos da ONU com fecundidade por idade e tábua de mortalidade reais. Isso corresponde, ponto por ponto, à definição de P_E do autor: TFR em reposição, sem termo de migração.</w:t>
      </w:r>
    </w:p>
    <w:p>
      <w:pPr>
        <w:spacing w:after="18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t_c (ano de convergência) = 2024 — ano-âncora do projeto, mesmo ano do snapshot em n_index_2024.csv. t_c + 25 = 2049.</w:t>
      </w:r>
    </w:p>
    <w:p>
      <w:pPr>
        <w:pStyle w:val="Heading2"/>
      </w:pPr>
      <w:r>
        <w:t xml:space="preserve">3.1 Script de coleta</w:t>
      </w:r>
    </w:p>
    <w:p>
      <w:pPr>
        <w:spacing w:after="180"/>
      </w:pPr>
      <w:r>
        <w:rPr>
          <w:rFonts w:ascii="Consolas" w:cs="Consolas" w:eastAsia="Consolas" w:hAnsi="Consolas"/>
          <w:sz w:val="20"/>
          <w:szCs w:val="20"/>
        </w:rPr>
        <w:t xml:space="preserve">scripts/build_convergencia_raw.py</w:t>
      </w:r>
      <w:r>
        <w:rPr>
          <w:sz w:val="22"/>
          <w:szCs w:val="22"/>
        </w:rPr>
        <w:t xml:space="preserve"> — baixa (com cache local em data/raw/_cache/) o arquivo de indicadores demográficos "outras variantes", filtra pelos 28 países da amostra e pela variante "Instant replacement zero migration" nos anos 2024 e 2049, converte de milhares para milhões (mesma unidade do resto do pipeline) e grava em </w:t>
      </w:r>
      <w:r>
        <w:rPr>
          <w:rFonts w:ascii="Consolas" w:cs="Consolas" w:eastAsia="Consolas" w:hAnsi="Consolas"/>
          <w:sz w:val="20"/>
          <w:szCs w:val="20"/>
        </w:rPr>
        <w:t xml:space="preserve">data/raw/convergencia_un.csv</w:t>
      </w:r>
      <w:r>
        <w:rPr>
          <w:sz w:val="22"/>
          <w:szCs w:val="22"/>
        </w:rPr>
        <w:t xml:space="preserve"> com as colunas: pais_codigo, ano_2_1, p_2_1, tfr_2_1, ano_eq, p_eq, tfr_eq.</w:t>
      </w:r>
    </w:p>
    <w:p>
      <w:pPr>
        <w:spacing w:after="18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Este script foi incorporado ao workflow agendado (.github/workflows/atualizar_dados.yml, mensal), que roda a coleta automaticamente e abre um Pull Request se algo mudou — nunca commita direto em main.</w:t>
      </w:r>
    </w:p>
    <w:p>
      <w:pPr>
        <w:pStyle w:val="Heading2"/>
      </w:pPr>
      <w:r>
        <w:t xml:space="preserve">3.2 Integração na Tabela Geracional</w:t>
      </w:r>
    </w:p>
    <w:p>
      <w:pPr>
        <w:spacing w:after="18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Os dois sites (app/ainu_systems/app.py e app/narayama_live/app.py) carregam data/raw/convergencia_un.csv e mesclam a coluna p_eq ao DataFrame principal por código de país. O card de cada país, que antes mostrava "população atual → pendente", agora mostra "população atual → P_eq (2049)", com uma legenda explícita deixando claro que não é uma previsão.</w:t>
      </w:r>
    </w:p>
    <w:p>
      <w:pPr>
        <w:pStyle w:val="Heading1"/>
      </w:pPr>
      <w:r>
        <w:t xml:space="preserve">4. Resultado — os 28 países</w:t>
      </w:r>
    </w:p>
    <w:p>
      <w:pPr>
        <w:spacing w:after="18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Tabela ordenada por N* crescente (mesma ordem das zonas na Tabela Geracional). Δ = P_eq − População 2024, em milhões.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3200"/>
        <w:gridCol w:w="1000"/>
        <w:gridCol w:w="1200"/>
        <w:gridCol w:w="1200"/>
        <w:gridCol w:w="1100"/>
      </w:tblGrid>
      <w:tr>
        <w:tc>
          <w:tcPr>
            <w:tcW w:type="dxa" w:w="2400"/>
            <w:shd w:fill="F3F4F6" w:val="clear"/>
          </w:tcPr>
          <w:p>
            <w:r>
              <w:rPr>
                <w:b/>
                <w:bCs/>
                <w:sz w:val="18"/>
                <w:szCs w:val="18"/>
              </w:rPr>
              <w:t xml:space="preserve">País</w:t>
            </w:r>
          </w:p>
        </w:tc>
        <w:tc>
          <w:tcPr>
            <w:tcW w:type="dxa" w:w="900"/>
            <w:shd w:fill="F3F4F6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Cód.</w:t>
            </w:r>
          </w:p>
        </w:tc>
        <w:tc>
          <w:tcPr>
            <w:tcW w:type="dxa" w:w="3200"/>
            <w:shd w:fill="F3F4F6" w:val="clear"/>
          </w:tcPr>
          <w:p>
            <w:r>
              <w:rPr>
                <w:b/>
                <w:bCs/>
                <w:sz w:val="18"/>
                <w:szCs w:val="18"/>
              </w:rPr>
              <w:t xml:space="preserve">Zona (N*)</w:t>
            </w:r>
          </w:p>
        </w:tc>
        <w:tc>
          <w:tcPr>
            <w:tcW w:type="dxa" w:w="1000"/>
            <w:shd w:fill="F3F4F6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N*</w:t>
            </w:r>
          </w:p>
        </w:tc>
        <w:tc>
          <w:tcPr>
            <w:tcW w:type="dxa" w:w="1200"/>
            <w:shd w:fill="F3F4F6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Pop. 2024 (mi)</w:t>
            </w:r>
          </w:p>
        </w:tc>
        <w:tc>
          <w:tcPr>
            <w:tcW w:type="dxa" w:w="1200"/>
            <w:shd w:fill="F3F4F6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P_eq 2049 (mi)</w:t>
            </w:r>
          </w:p>
        </w:tc>
        <w:tc>
          <w:tcPr>
            <w:tcW w:type="dxa" w:w="1100"/>
            <w:shd w:fill="F3F4F6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Δ</w:t>
            </w:r>
          </w:p>
        </w:tc>
      </w:tr>
      <w:tr>
        <w:tc>
          <w:tcPr>
            <w:tcW w:type="dxa" w:w="2400"/>
            <w:shd w:fill="FDE2E1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Coreia do Sul</w:t>
            </w:r>
          </w:p>
        </w:tc>
        <w:tc>
          <w:tcPr>
            <w:tcW w:type="dxa" w:w="900"/>
            <w:shd w:fill="FDE2E1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KOR</w:t>
            </w:r>
          </w:p>
        </w:tc>
        <w:tc>
          <w:tcPr>
            <w:tcW w:type="dxa" w:w="3200"/>
            <w:shd w:fill="FDE2E1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Colapso de Narayama (PEC)</w:t>
            </w:r>
          </w:p>
        </w:tc>
        <w:tc>
          <w:tcPr>
            <w:tcW w:type="dxa" w:w="1000"/>
            <w:shd w:fill="FDE2E1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0,37</w:t>
            </w:r>
          </w:p>
        </w:tc>
        <w:tc>
          <w:tcPr>
            <w:tcW w:type="dxa" w:w="1200"/>
            <w:shd w:fill="FDE2E1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51,7</w:t>
            </w:r>
          </w:p>
        </w:tc>
        <w:tc>
          <w:tcPr>
            <w:tcW w:type="dxa" w:w="1200"/>
            <w:shd w:fill="FDE2E1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52,6</w:t>
            </w:r>
          </w:p>
        </w:tc>
        <w:tc>
          <w:tcPr>
            <w:tcW w:type="dxa" w:w="1100"/>
            <w:shd w:fill="FDE2E1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+0,9</w:t>
            </w:r>
          </w:p>
        </w:tc>
      </w:tr>
      <w:tr>
        <w:tc>
          <w:tcPr>
            <w:tcW w:type="dxa" w:w="2400"/>
            <w:shd w:fill="FDE2E1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Japão</w:t>
            </w:r>
          </w:p>
        </w:tc>
        <w:tc>
          <w:tcPr>
            <w:tcW w:type="dxa" w:w="900"/>
            <w:shd w:fill="FDE2E1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JPN</w:t>
            </w:r>
          </w:p>
        </w:tc>
        <w:tc>
          <w:tcPr>
            <w:tcW w:type="dxa" w:w="3200"/>
            <w:shd w:fill="FDE2E1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Colapso de Narayama (PEC)</w:t>
            </w:r>
          </w:p>
        </w:tc>
        <w:tc>
          <w:tcPr>
            <w:tcW w:type="dxa" w:w="1000"/>
            <w:shd w:fill="FDE2E1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0,43</w:t>
            </w:r>
          </w:p>
        </w:tc>
        <w:tc>
          <w:tcPr>
            <w:tcW w:type="dxa" w:w="1200"/>
            <w:shd w:fill="FDE2E1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123,8</w:t>
            </w:r>
          </w:p>
        </w:tc>
        <w:tc>
          <w:tcPr>
            <w:tcW w:type="dxa" w:w="1200"/>
            <w:shd w:fill="FDE2E1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112,5</w:t>
            </w:r>
          </w:p>
        </w:tc>
        <w:tc>
          <w:tcPr>
            <w:tcW w:type="dxa" w:w="1100"/>
            <w:shd w:fill="FDE2E1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-11,3</w:t>
            </w:r>
          </w:p>
        </w:tc>
      </w:tr>
      <w:tr>
        <w:tc>
          <w:tcPr>
            <w:tcW w:type="dxa" w:w="2400"/>
            <w:shd w:fill="FDE2E1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Itália</w:t>
            </w:r>
          </w:p>
        </w:tc>
        <w:tc>
          <w:tcPr>
            <w:tcW w:type="dxa" w:w="900"/>
            <w:shd w:fill="FDE2E1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ITA</w:t>
            </w:r>
          </w:p>
        </w:tc>
        <w:tc>
          <w:tcPr>
            <w:tcW w:type="dxa" w:w="3200"/>
            <w:shd w:fill="FDE2E1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Colapso de Narayama (PEC)</w:t>
            </w:r>
          </w:p>
        </w:tc>
        <w:tc>
          <w:tcPr>
            <w:tcW w:type="dxa" w:w="1000"/>
            <w:shd w:fill="FDE2E1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0,49</w:t>
            </w:r>
          </w:p>
        </w:tc>
        <w:tc>
          <w:tcPr>
            <w:tcW w:type="dxa" w:w="1200"/>
            <w:shd w:fill="FDE2E1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59,3</w:t>
            </w:r>
          </w:p>
        </w:tc>
        <w:tc>
          <w:tcPr>
            <w:tcW w:type="dxa" w:w="1200"/>
            <w:shd w:fill="FDE2E1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56,2</w:t>
            </w:r>
          </w:p>
        </w:tc>
        <w:tc>
          <w:tcPr>
            <w:tcW w:type="dxa" w:w="1100"/>
            <w:shd w:fill="FDE2E1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-3,2</w:t>
            </w:r>
          </w:p>
        </w:tc>
      </w:tr>
      <w:tr>
        <w:tc>
          <w:tcPr>
            <w:tcW w:type="dxa" w:w="2400"/>
            <w:shd w:fill="FDE2E1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Tailândia</w:t>
            </w:r>
          </w:p>
        </w:tc>
        <w:tc>
          <w:tcPr>
            <w:tcW w:type="dxa" w:w="900"/>
            <w:shd w:fill="FDE2E1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THA</w:t>
            </w:r>
          </w:p>
        </w:tc>
        <w:tc>
          <w:tcPr>
            <w:tcW w:type="dxa" w:w="3200"/>
            <w:shd w:fill="FDE2E1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Colapso de Narayama (PEC)</w:t>
            </w:r>
          </w:p>
        </w:tc>
        <w:tc>
          <w:tcPr>
            <w:tcW w:type="dxa" w:w="1000"/>
            <w:shd w:fill="FDE2E1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0,55</w:t>
            </w:r>
          </w:p>
        </w:tc>
        <w:tc>
          <w:tcPr>
            <w:tcW w:type="dxa" w:w="1200"/>
            <w:shd w:fill="FDE2E1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71,7</w:t>
            </w:r>
          </w:p>
        </w:tc>
        <w:tc>
          <w:tcPr>
            <w:tcW w:type="dxa" w:w="1200"/>
            <w:shd w:fill="FDE2E1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74,2</w:t>
            </w:r>
          </w:p>
        </w:tc>
        <w:tc>
          <w:tcPr>
            <w:tcW w:type="dxa" w:w="1100"/>
            <w:shd w:fill="FDE2E1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+2,5</w:t>
            </w:r>
          </w:p>
        </w:tc>
      </w:tr>
      <w:tr>
        <w:tc>
          <w:tcPr>
            <w:tcW w:type="dxa" w:w="2400"/>
            <w:shd w:fill="FDE2E1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China</w:t>
            </w:r>
          </w:p>
        </w:tc>
        <w:tc>
          <w:tcPr>
            <w:tcW w:type="dxa" w:w="900"/>
            <w:shd w:fill="FDE2E1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CHN</w:t>
            </w:r>
          </w:p>
        </w:tc>
        <w:tc>
          <w:tcPr>
            <w:tcW w:type="dxa" w:w="3200"/>
            <w:shd w:fill="FDE2E1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Colapso de Narayama (PEC)</w:t>
            </w:r>
          </w:p>
        </w:tc>
        <w:tc>
          <w:tcPr>
            <w:tcW w:type="dxa" w:w="1000"/>
            <w:shd w:fill="FDE2E1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0,59</w:t>
            </w:r>
          </w:p>
        </w:tc>
        <w:tc>
          <w:tcPr>
            <w:tcW w:type="dxa" w:w="1200"/>
            <w:shd w:fill="FDE2E1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1419,3</w:t>
            </w:r>
          </w:p>
        </w:tc>
        <w:tc>
          <w:tcPr>
            <w:tcW w:type="dxa" w:w="1200"/>
            <w:shd w:fill="FDE2E1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1478,6</w:t>
            </w:r>
          </w:p>
        </w:tc>
        <w:tc>
          <w:tcPr>
            <w:tcW w:type="dxa" w:w="1100"/>
            <w:shd w:fill="FDE2E1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+59,2</w:t>
            </w:r>
          </w:p>
        </w:tc>
      </w:tr>
      <w:tr>
        <w:tc>
          <w:tcPr>
            <w:tcW w:type="dxa" w:w="2400"/>
            <w:shd w:fill="FDE2E1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Polônia</w:t>
            </w:r>
          </w:p>
        </w:tc>
        <w:tc>
          <w:tcPr>
            <w:tcW w:type="dxa" w:w="900"/>
            <w:shd w:fill="FDE2E1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POL</w:t>
            </w:r>
          </w:p>
        </w:tc>
        <w:tc>
          <w:tcPr>
            <w:tcW w:type="dxa" w:w="3200"/>
            <w:shd w:fill="FDE2E1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Colapso de Narayama (PEC)</w:t>
            </w:r>
          </w:p>
        </w:tc>
        <w:tc>
          <w:tcPr>
            <w:tcW w:type="dxa" w:w="1000"/>
            <w:shd w:fill="FDE2E1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0,62</w:t>
            </w:r>
          </w:p>
        </w:tc>
        <w:tc>
          <w:tcPr>
            <w:tcW w:type="dxa" w:w="1200"/>
            <w:shd w:fill="FDE2E1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38,5</w:t>
            </w:r>
          </w:p>
        </w:tc>
        <w:tc>
          <w:tcPr>
            <w:tcW w:type="dxa" w:w="1200"/>
            <w:shd w:fill="FDE2E1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37,7</w:t>
            </w:r>
          </w:p>
        </w:tc>
        <w:tc>
          <w:tcPr>
            <w:tcW w:type="dxa" w:w="1100"/>
            <w:shd w:fill="FDE2E1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-0,9</w:t>
            </w:r>
          </w:p>
        </w:tc>
      </w:tr>
      <w:tr>
        <w:tc>
          <w:tcPr>
            <w:tcW w:type="dxa" w:w="2400"/>
            <w:shd w:fill="FDE2E1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Alemanha</w:t>
            </w:r>
          </w:p>
        </w:tc>
        <w:tc>
          <w:tcPr>
            <w:tcW w:type="dxa" w:w="900"/>
            <w:shd w:fill="FDE2E1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DEU</w:t>
            </w:r>
          </w:p>
        </w:tc>
        <w:tc>
          <w:tcPr>
            <w:tcW w:type="dxa" w:w="3200"/>
            <w:shd w:fill="FDE2E1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Colapso de Narayama (PEC)</w:t>
            </w:r>
          </w:p>
        </w:tc>
        <w:tc>
          <w:tcPr>
            <w:tcW w:type="dxa" w:w="1000"/>
            <w:shd w:fill="FDE2E1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0,63</w:t>
            </w:r>
          </w:p>
        </w:tc>
        <w:tc>
          <w:tcPr>
            <w:tcW w:type="dxa" w:w="1200"/>
            <w:shd w:fill="FDE2E1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84,6</w:t>
            </w:r>
          </w:p>
        </w:tc>
        <w:tc>
          <w:tcPr>
            <w:tcW w:type="dxa" w:w="1200"/>
            <w:shd w:fill="FDE2E1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80,0</w:t>
            </w:r>
          </w:p>
        </w:tc>
        <w:tc>
          <w:tcPr>
            <w:tcW w:type="dxa" w:w="1100"/>
            <w:shd w:fill="FDE2E1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-4,6</w:t>
            </w:r>
          </w:p>
        </w:tc>
      </w:tr>
      <w:tr>
        <w:tc>
          <w:tcPr>
            <w:tcW w:type="dxa" w:w="2400"/>
            <w:shd w:fill="F3F4F6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França</w:t>
            </w:r>
          </w:p>
        </w:tc>
        <w:tc>
          <w:tcPr>
            <w:tcW w:type="dxa" w:w="900"/>
            <w:shd w:fill="F3F4F6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FRA</w:t>
            </w:r>
          </w:p>
        </w:tc>
        <w:tc>
          <w:tcPr>
            <w:tcW w:type="dxa" w:w="3200"/>
            <w:shd w:fill="F3F4F6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Tensão Acelerada</w:t>
            </w:r>
          </w:p>
        </w:tc>
        <w:tc>
          <w:tcPr>
            <w:tcW w:type="dxa" w:w="1000"/>
            <w:shd w:fill="F3F4F6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0,75</w:t>
            </w:r>
          </w:p>
        </w:tc>
        <w:tc>
          <w:tcPr>
            <w:tcW w:type="dxa" w:w="1200"/>
            <w:shd w:fill="F3F4F6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66,5</w:t>
            </w:r>
          </w:p>
        </w:tc>
        <w:tc>
          <w:tcPr>
            <w:tcW w:type="dxa" w:w="1200"/>
            <w:shd w:fill="F3F4F6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68,7</w:t>
            </w:r>
          </w:p>
        </w:tc>
        <w:tc>
          <w:tcPr>
            <w:tcW w:type="dxa" w:w="1100"/>
            <w:shd w:fill="F3F4F6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+2,1</w:t>
            </w:r>
          </w:p>
        </w:tc>
      </w:tr>
      <w:tr>
        <w:tc>
          <w:tcPr>
            <w:tcW w:type="dxa" w:w="2400"/>
            <w:shd w:fill="F3F4F6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Suécia</w:t>
            </w:r>
          </w:p>
        </w:tc>
        <w:tc>
          <w:tcPr>
            <w:tcW w:type="dxa" w:w="900"/>
            <w:shd w:fill="F3F4F6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SWE</w:t>
            </w:r>
          </w:p>
        </w:tc>
        <w:tc>
          <w:tcPr>
            <w:tcW w:type="dxa" w:w="3200"/>
            <w:shd w:fill="F3F4F6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Tensão Acelerada</w:t>
            </w:r>
          </w:p>
        </w:tc>
        <w:tc>
          <w:tcPr>
            <w:tcW w:type="dxa" w:w="1000"/>
            <w:shd w:fill="F3F4F6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0,79</w:t>
            </w:r>
          </w:p>
        </w:tc>
        <w:tc>
          <w:tcPr>
            <w:tcW w:type="dxa" w:w="1200"/>
            <w:shd w:fill="F3F4F6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10,6</w:t>
            </w:r>
          </w:p>
        </w:tc>
        <w:tc>
          <w:tcPr>
            <w:tcW w:type="dxa" w:w="1200"/>
            <w:shd w:fill="F3F4F6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11,0</w:t>
            </w:r>
          </w:p>
        </w:tc>
        <w:tc>
          <w:tcPr>
            <w:tcW w:type="dxa" w:w="1100"/>
            <w:shd w:fill="F3F4F6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+0,4</w:t>
            </w:r>
          </w:p>
        </w:tc>
      </w:tr>
      <w:tr>
        <w:tc>
          <w:tcPr>
            <w:tcW w:type="dxa" w:w="2400"/>
            <w:shd w:fill="F3F4F6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Rússia</w:t>
            </w:r>
          </w:p>
        </w:tc>
        <w:tc>
          <w:tcPr>
            <w:tcW w:type="dxa" w:w="900"/>
            <w:shd w:fill="F3F4F6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RUS</w:t>
            </w:r>
          </w:p>
        </w:tc>
        <w:tc>
          <w:tcPr>
            <w:tcW w:type="dxa" w:w="3200"/>
            <w:shd w:fill="F3F4F6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Tensão Acelerada</w:t>
            </w:r>
          </w:p>
        </w:tc>
        <w:tc>
          <w:tcPr>
            <w:tcW w:type="dxa" w:w="1000"/>
            <w:shd w:fill="F3F4F6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0,79</w:t>
            </w:r>
          </w:p>
        </w:tc>
        <w:tc>
          <w:tcPr>
            <w:tcW w:type="dxa" w:w="1200"/>
            <w:shd w:fill="F3F4F6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144,8</w:t>
            </w:r>
          </w:p>
        </w:tc>
        <w:tc>
          <w:tcPr>
            <w:tcW w:type="dxa" w:w="1200"/>
            <w:shd w:fill="F3F4F6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138,9</w:t>
            </w:r>
          </w:p>
        </w:tc>
        <w:tc>
          <w:tcPr>
            <w:tcW w:type="dxa" w:w="1100"/>
            <w:shd w:fill="F3F4F6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-5,9</w:t>
            </w:r>
          </w:p>
        </w:tc>
      </w:tr>
      <w:tr>
        <w:tc>
          <w:tcPr>
            <w:tcW w:type="dxa" w:w="2400"/>
            <w:shd w:fill="F3F4F6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Reino Unido</w:t>
            </w:r>
          </w:p>
        </w:tc>
        <w:tc>
          <w:tcPr>
            <w:tcW w:type="dxa" w:w="900"/>
            <w:shd w:fill="F3F4F6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GBR</w:t>
            </w:r>
          </w:p>
        </w:tc>
        <w:tc>
          <w:tcPr>
            <w:tcW w:type="dxa" w:w="3200"/>
            <w:shd w:fill="F3F4F6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Tensão Acelerada</w:t>
            </w:r>
          </w:p>
        </w:tc>
        <w:tc>
          <w:tcPr>
            <w:tcW w:type="dxa" w:w="1000"/>
            <w:shd w:fill="F3F4F6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0,80</w:t>
            </w:r>
          </w:p>
        </w:tc>
        <w:tc>
          <w:tcPr>
            <w:tcW w:type="dxa" w:w="1200"/>
            <w:shd w:fill="F3F4F6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69,1</w:t>
            </w:r>
          </w:p>
        </w:tc>
        <w:tc>
          <w:tcPr>
            <w:tcW w:type="dxa" w:w="1200"/>
            <w:shd w:fill="F3F4F6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71,9</w:t>
            </w:r>
          </w:p>
        </w:tc>
        <w:tc>
          <w:tcPr>
            <w:tcW w:type="dxa" w:w="1100"/>
            <w:shd w:fill="F3F4F6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+2,8</w:t>
            </w:r>
          </w:p>
        </w:tc>
      </w:tr>
      <w:tr>
        <w:tc>
          <w:tcPr>
            <w:tcW w:type="dxa" w:w="2400"/>
            <w:shd w:fill="F3F4F6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Chile</w:t>
            </w:r>
          </w:p>
        </w:tc>
        <w:tc>
          <w:tcPr>
            <w:tcW w:type="dxa" w:w="900"/>
            <w:shd w:fill="F3F4F6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CHL</w:t>
            </w:r>
          </w:p>
        </w:tc>
        <w:tc>
          <w:tcPr>
            <w:tcW w:type="dxa" w:w="3200"/>
            <w:shd w:fill="F3F4F6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Tensão Acelerada</w:t>
            </w:r>
          </w:p>
        </w:tc>
        <w:tc>
          <w:tcPr>
            <w:tcW w:type="dxa" w:w="1000"/>
            <w:shd w:fill="F3F4F6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0,81</w:t>
            </w:r>
          </w:p>
        </w:tc>
        <w:tc>
          <w:tcPr>
            <w:tcW w:type="dxa" w:w="1200"/>
            <w:shd w:fill="F3F4F6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19,8</w:t>
            </w:r>
          </w:p>
        </w:tc>
        <w:tc>
          <w:tcPr>
            <w:tcW w:type="dxa" w:w="1200"/>
            <w:shd w:fill="F3F4F6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22,5</w:t>
            </w:r>
          </w:p>
        </w:tc>
        <w:tc>
          <w:tcPr>
            <w:tcW w:type="dxa" w:w="1100"/>
            <w:shd w:fill="F3F4F6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+2,7</w:t>
            </w:r>
          </w:p>
        </w:tc>
      </w:tr>
      <w:tr>
        <w:tc>
          <w:tcPr>
            <w:tcW w:type="dxa" w:w="2400"/>
            <w:shd w:fill="DCEBFB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Estados Unidos</w:t>
            </w:r>
          </w:p>
        </w:tc>
        <w:tc>
          <w:tcPr>
            <w:tcW w:type="dxa" w:w="900"/>
            <w:shd w:fill="DCEBFB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USA</w:t>
            </w:r>
          </w:p>
        </w:tc>
        <w:tc>
          <w:tcPr>
            <w:tcW w:type="dxa" w:w="3200"/>
            <w:shd w:fill="DCEBFB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Equilíbrio Sustentável (PEA)</w:t>
            </w:r>
          </w:p>
        </w:tc>
        <w:tc>
          <w:tcPr>
            <w:tcW w:type="dxa" w:w="1000"/>
            <w:shd w:fill="DCEBFB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0,96</w:t>
            </w:r>
          </w:p>
        </w:tc>
        <w:tc>
          <w:tcPr>
            <w:tcW w:type="dxa" w:w="1200"/>
            <w:shd w:fill="DCEBFB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345,4</w:t>
            </w:r>
          </w:p>
        </w:tc>
        <w:tc>
          <w:tcPr>
            <w:tcW w:type="dxa" w:w="1200"/>
            <w:shd w:fill="DCEBFB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364,4</w:t>
            </w:r>
          </w:p>
        </w:tc>
        <w:tc>
          <w:tcPr>
            <w:tcW w:type="dxa" w:w="1100"/>
            <w:shd w:fill="DCEBFB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+19,0</w:t>
            </w:r>
          </w:p>
        </w:tc>
      </w:tr>
      <w:tr>
        <w:tc>
          <w:tcPr>
            <w:tcW w:type="dxa" w:w="2400"/>
            <w:shd w:fill="DCEBFB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Argentina</w:t>
            </w:r>
          </w:p>
        </w:tc>
        <w:tc>
          <w:tcPr>
            <w:tcW w:type="dxa" w:w="900"/>
            <w:shd w:fill="DCEBFB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ARG</w:t>
            </w:r>
          </w:p>
        </w:tc>
        <w:tc>
          <w:tcPr>
            <w:tcW w:type="dxa" w:w="3200"/>
            <w:shd w:fill="DCEBFB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Equilíbrio Sustentável (PEA)</w:t>
            </w:r>
          </w:p>
        </w:tc>
        <w:tc>
          <w:tcPr>
            <w:tcW w:type="dxa" w:w="1000"/>
            <w:shd w:fill="DCEBFB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1,06</w:t>
            </w:r>
          </w:p>
        </w:tc>
        <w:tc>
          <w:tcPr>
            <w:tcW w:type="dxa" w:w="1200"/>
            <w:shd w:fill="DCEBFB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45,7</w:t>
            </w:r>
          </w:p>
        </w:tc>
        <w:tc>
          <w:tcPr>
            <w:tcW w:type="dxa" w:w="1200"/>
            <w:shd w:fill="DCEBFB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53,2</w:t>
            </w:r>
          </w:p>
        </w:tc>
        <w:tc>
          <w:tcPr>
            <w:tcW w:type="dxa" w:w="1100"/>
            <w:shd w:fill="DCEBFB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+7,5</w:t>
            </w:r>
          </w:p>
        </w:tc>
      </w:tr>
      <w:tr>
        <w:tc>
          <w:tcPr>
            <w:tcW w:type="dxa" w:w="2400"/>
            <w:shd w:fill="DCEBFB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Austrália</w:t>
            </w:r>
          </w:p>
        </w:tc>
        <w:tc>
          <w:tcPr>
            <w:tcW w:type="dxa" w:w="900"/>
            <w:shd w:fill="DCEBFB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AUS</w:t>
            </w:r>
          </w:p>
        </w:tc>
        <w:tc>
          <w:tcPr>
            <w:tcW w:type="dxa" w:w="3200"/>
            <w:shd w:fill="DCEBFB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Equilíbrio Sustentável (PEA)</w:t>
            </w:r>
          </w:p>
        </w:tc>
        <w:tc>
          <w:tcPr>
            <w:tcW w:type="dxa" w:w="1000"/>
            <w:shd w:fill="DCEBFB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1,07</w:t>
            </w:r>
          </w:p>
        </w:tc>
        <w:tc>
          <w:tcPr>
            <w:tcW w:type="dxa" w:w="1200"/>
            <w:shd w:fill="DCEBFB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26,7</w:t>
            </w:r>
          </w:p>
        </w:tc>
        <w:tc>
          <w:tcPr>
            <w:tcW w:type="dxa" w:w="1200"/>
            <w:shd w:fill="DCEBFB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29,3</w:t>
            </w:r>
          </w:p>
        </w:tc>
        <w:tc>
          <w:tcPr>
            <w:tcW w:type="dxa" w:w="1100"/>
            <w:shd w:fill="DCEBFB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+2,6</w:t>
            </w:r>
          </w:p>
        </w:tc>
      </w:tr>
      <w:tr>
        <w:tc>
          <w:tcPr>
            <w:tcW w:type="dxa" w:w="2400"/>
            <w:shd w:fill="DCEBFB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Brasil</w:t>
            </w:r>
          </w:p>
        </w:tc>
        <w:tc>
          <w:tcPr>
            <w:tcW w:type="dxa" w:w="900"/>
            <w:shd w:fill="DCEBFB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BRA</w:t>
            </w:r>
          </w:p>
        </w:tc>
        <w:tc>
          <w:tcPr>
            <w:tcW w:type="dxa" w:w="3200"/>
            <w:shd w:fill="DCEBFB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Equilíbrio Sustentável (PEA)</w:t>
            </w:r>
          </w:p>
        </w:tc>
        <w:tc>
          <w:tcPr>
            <w:tcW w:type="dxa" w:w="1000"/>
            <w:shd w:fill="DCEBFB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1,17</w:t>
            </w:r>
          </w:p>
        </w:tc>
        <w:tc>
          <w:tcPr>
            <w:tcW w:type="dxa" w:w="1200"/>
            <w:shd w:fill="DCEBFB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212,0</w:t>
            </w:r>
          </w:p>
        </w:tc>
        <w:tc>
          <w:tcPr>
            <w:tcW w:type="dxa" w:w="1200"/>
            <w:shd w:fill="DCEBFB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240,2</w:t>
            </w:r>
          </w:p>
        </w:tc>
        <w:tc>
          <w:tcPr>
            <w:tcW w:type="dxa" w:w="1100"/>
            <w:shd w:fill="DCEBFB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+28,2</w:t>
            </w:r>
          </w:p>
        </w:tc>
      </w:tr>
      <w:tr>
        <w:tc>
          <w:tcPr>
            <w:tcW w:type="dxa" w:w="2400"/>
            <w:shd w:fill="DCEBFB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Índia</w:t>
            </w:r>
          </w:p>
        </w:tc>
        <w:tc>
          <w:tcPr>
            <w:tcW w:type="dxa" w:w="900"/>
            <w:shd w:fill="DCEBFB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IND</w:t>
            </w:r>
          </w:p>
        </w:tc>
        <w:tc>
          <w:tcPr>
            <w:tcW w:type="dxa" w:w="3200"/>
            <w:shd w:fill="DCEBFB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Equilíbrio Sustentável (PEA)</w:t>
            </w:r>
          </w:p>
        </w:tc>
        <w:tc>
          <w:tcPr>
            <w:tcW w:type="dxa" w:w="1000"/>
            <w:shd w:fill="DCEBFB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1,37</w:t>
            </w:r>
          </w:p>
        </w:tc>
        <w:tc>
          <w:tcPr>
            <w:tcW w:type="dxa" w:w="1200"/>
            <w:shd w:fill="DCEBFB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1450,9</w:t>
            </w:r>
          </w:p>
        </w:tc>
        <w:tc>
          <w:tcPr>
            <w:tcW w:type="dxa" w:w="1200"/>
            <w:shd w:fill="DCEBFB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1774,2</w:t>
            </w:r>
          </w:p>
        </w:tc>
        <w:tc>
          <w:tcPr>
            <w:tcW w:type="dxa" w:w="1100"/>
            <w:shd w:fill="DCEBFB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+323,3</w:t>
            </w:r>
          </w:p>
        </w:tc>
      </w:tr>
      <w:tr>
        <w:tc>
          <w:tcPr>
            <w:tcW w:type="dxa" w:w="2400"/>
            <w:shd w:fill="F3F4F6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Indonésia</w:t>
            </w:r>
          </w:p>
        </w:tc>
        <w:tc>
          <w:tcPr>
            <w:tcW w:type="dxa" w:w="900"/>
            <w:shd w:fill="F3F4F6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IDN</w:t>
            </w:r>
          </w:p>
        </w:tc>
        <w:tc>
          <w:tcPr>
            <w:tcW w:type="dxa" w:w="3200"/>
            <w:shd w:fill="F3F4F6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Tensão Populacional</w:t>
            </w:r>
          </w:p>
        </w:tc>
        <w:tc>
          <w:tcPr>
            <w:tcW w:type="dxa" w:w="1000"/>
            <w:shd w:fill="F3F4F6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1,45</w:t>
            </w:r>
          </w:p>
        </w:tc>
        <w:tc>
          <w:tcPr>
            <w:tcW w:type="dxa" w:w="1200"/>
            <w:shd w:fill="F3F4F6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283,5</w:t>
            </w:r>
          </w:p>
        </w:tc>
        <w:tc>
          <w:tcPr>
            <w:tcW w:type="dxa" w:w="1200"/>
            <w:shd w:fill="F3F4F6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331,3</w:t>
            </w:r>
          </w:p>
        </w:tc>
        <w:tc>
          <w:tcPr>
            <w:tcW w:type="dxa" w:w="1100"/>
            <w:shd w:fill="F3F4F6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+47,9</w:t>
            </w:r>
          </w:p>
        </w:tc>
      </w:tr>
      <w:tr>
        <w:tc>
          <w:tcPr>
            <w:tcW w:type="dxa" w:w="2400"/>
            <w:shd w:fill="F3F4F6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Vietnã</w:t>
            </w:r>
          </w:p>
        </w:tc>
        <w:tc>
          <w:tcPr>
            <w:tcW w:type="dxa" w:w="900"/>
            <w:shd w:fill="F3F4F6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VNM</w:t>
            </w:r>
          </w:p>
        </w:tc>
        <w:tc>
          <w:tcPr>
            <w:tcW w:type="dxa" w:w="3200"/>
            <w:shd w:fill="F3F4F6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Tensão Populacional</w:t>
            </w:r>
          </w:p>
        </w:tc>
        <w:tc>
          <w:tcPr>
            <w:tcW w:type="dxa" w:w="1000"/>
            <w:shd w:fill="F3F4F6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1,48</w:t>
            </w:r>
          </w:p>
        </w:tc>
        <w:tc>
          <w:tcPr>
            <w:tcW w:type="dxa" w:w="1200"/>
            <w:shd w:fill="F3F4F6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101,0</w:t>
            </w:r>
          </w:p>
        </w:tc>
        <w:tc>
          <w:tcPr>
            <w:tcW w:type="dxa" w:w="1200"/>
            <w:shd w:fill="F3F4F6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117,6</w:t>
            </w:r>
          </w:p>
        </w:tc>
        <w:tc>
          <w:tcPr>
            <w:tcW w:type="dxa" w:w="1100"/>
            <w:shd w:fill="F3F4F6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+16,7</w:t>
            </w:r>
          </w:p>
        </w:tc>
      </w:tr>
      <w:tr>
        <w:tc>
          <w:tcPr>
            <w:tcW w:type="dxa" w:w="2400"/>
            <w:shd w:fill="F3F4F6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Irã</w:t>
            </w:r>
          </w:p>
        </w:tc>
        <w:tc>
          <w:tcPr>
            <w:tcW w:type="dxa" w:w="900"/>
            <w:shd w:fill="F3F4F6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IRN</w:t>
            </w:r>
          </w:p>
        </w:tc>
        <w:tc>
          <w:tcPr>
            <w:tcW w:type="dxa" w:w="3200"/>
            <w:shd w:fill="F3F4F6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Tensão Populacional</w:t>
            </w:r>
          </w:p>
        </w:tc>
        <w:tc>
          <w:tcPr>
            <w:tcW w:type="dxa" w:w="1000"/>
            <w:shd w:fill="F3F4F6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1,66</w:t>
            </w:r>
          </w:p>
        </w:tc>
        <w:tc>
          <w:tcPr>
            <w:tcW w:type="dxa" w:w="1200"/>
            <w:shd w:fill="F3F4F6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91,6</w:t>
            </w:r>
          </w:p>
        </w:tc>
        <w:tc>
          <w:tcPr>
            <w:tcW w:type="dxa" w:w="1200"/>
            <w:shd w:fill="F3F4F6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109,7</w:t>
            </w:r>
          </w:p>
        </w:tc>
        <w:tc>
          <w:tcPr>
            <w:tcW w:type="dxa" w:w="1100"/>
            <w:shd w:fill="F3F4F6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+18,1</w:t>
            </w:r>
          </w:p>
        </w:tc>
      </w:tr>
      <w:tr>
        <w:tc>
          <w:tcPr>
            <w:tcW w:type="dxa" w:w="2400"/>
            <w:shd w:fill="F3F4F6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África do Sul</w:t>
            </w:r>
          </w:p>
        </w:tc>
        <w:tc>
          <w:tcPr>
            <w:tcW w:type="dxa" w:w="900"/>
            <w:shd w:fill="F3F4F6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ZAF</w:t>
            </w:r>
          </w:p>
        </w:tc>
        <w:tc>
          <w:tcPr>
            <w:tcW w:type="dxa" w:w="3200"/>
            <w:shd w:fill="F3F4F6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Tensão Populacional</w:t>
            </w:r>
          </w:p>
        </w:tc>
        <w:tc>
          <w:tcPr>
            <w:tcW w:type="dxa" w:w="1000"/>
            <w:shd w:fill="F3F4F6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1,66</w:t>
            </w:r>
          </w:p>
        </w:tc>
        <w:tc>
          <w:tcPr>
            <w:tcW w:type="dxa" w:w="1200"/>
            <w:shd w:fill="F3F4F6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64,0</w:t>
            </w:r>
          </w:p>
        </w:tc>
        <w:tc>
          <w:tcPr>
            <w:tcW w:type="dxa" w:w="1200"/>
            <w:shd w:fill="F3F4F6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74,5</w:t>
            </w:r>
          </w:p>
        </w:tc>
        <w:tc>
          <w:tcPr>
            <w:tcW w:type="dxa" w:w="1100"/>
            <w:shd w:fill="F3F4F6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+10,5</w:t>
            </w:r>
          </w:p>
        </w:tc>
      </w:tr>
      <w:tr>
        <w:tc>
          <w:tcPr>
            <w:tcW w:type="dxa" w:w="2400"/>
            <w:shd w:fill="F3F4F6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Marrocos</w:t>
            </w:r>
          </w:p>
        </w:tc>
        <w:tc>
          <w:tcPr>
            <w:tcW w:type="dxa" w:w="900"/>
            <w:shd w:fill="F3F4F6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MAR</w:t>
            </w:r>
          </w:p>
        </w:tc>
        <w:tc>
          <w:tcPr>
            <w:tcW w:type="dxa" w:w="3200"/>
            <w:shd w:fill="F3F4F6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Tensão Populacional</w:t>
            </w:r>
          </w:p>
        </w:tc>
        <w:tc>
          <w:tcPr>
            <w:tcW w:type="dxa" w:w="1000"/>
            <w:shd w:fill="F3F4F6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1,66</w:t>
            </w:r>
          </w:p>
        </w:tc>
        <w:tc>
          <w:tcPr>
            <w:tcW w:type="dxa" w:w="1200"/>
            <w:shd w:fill="F3F4F6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38,1</w:t>
            </w:r>
          </w:p>
        </w:tc>
        <w:tc>
          <w:tcPr>
            <w:tcW w:type="dxa" w:w="1200"/>
            <w:shd w:fill="F3F4F6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46,4</w:t>
            </w:r>
          </w:p>
        </w:tc>
        <w:tc>
          <w:tcPr>
            <w:tcW w:type="dxa" w:w="1100"/>
            <w:shd w:fill="F3F4F6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+8,3</w:t>
            </w:r>
          </w:p>
        </w:tc>
      </w:tr>
      <w:tr>
        <w:tc>
          <w:tcPr>
            <w:tcW w:type="dxa" w:w="2400"/>
            <w:shd w:fill="F3F4F6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México</w:t>
            </w:r>
          </w:p>
        </w:tc>
        <w:tc>
          <w:tcPr>
            <w:tcW w:type="dxa" w:w="900"/>
            <w:shd w:fill="F3F4F6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MEX</w:t>
            </w:r>
          </w:p>
        </w:tc>
        <w:tc>
          <w:tcPr>
            <w:tcW w:type="dxa" w:w="3200"/>
            <w:shd w:fill="F3F4F6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Tensão Populacional</w:t>
            </w:r>
          </w:p>
        </w:tc>
        <w:tc>
          <w:tcPr>
            <w:tcW w:type="dxa" w:w="1000"/>
            <w:shd w:fill="F3F4F6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1,67</w:t>
            </w:r>
          </w:p>
        </w:tc>
        <w:tc>
          <w:tcPr>
            <w:tcW w:type="dxa" w:w="1200"/>
            <w:shd w:fill="F3F4F6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130,9</w:t>
            </w:r>
          </w:p>
        </w:tc>
        <w:tc>
          <w:tcPr>
            <w:tcW w:type="dxa" w:w="1200"/>
            <w:shd w:fill="F3F4F6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160,4</w:t>
            </w:r>
          </w:p>
        </w:tc>
        <w:tc>
          <w:tcPr>
            <w:tcW w:type="dxa" w:w="1100"/>
            <w:shd w:fill="F3F4F6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+29,6</w:t>
            </w:r>
          </w:p>
        </w:tc>
      </w:tr>
      <w:tr>
        <w:tc>
          <w:tcPr>
            <w:tcW w:type="dxa" w:w="2400"/>
            <w:shd w:fill="FFF6C9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Nigéria</w:t>
            </w:r>
          </w:p>
        </w:tc>
        <w:tc>
          <w:tcPr>
            <w:tcW w:type="dxa" w:w="900"/>
            <w:shd w:fill="FFF6C9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NGA</w:t>
            </w:r>
          </w:p>
        </w:tc>
        <w:tc>
          <w:tcPr>
            <w:tcW w:type="dxa" w:w="3200"/>
            <w:shd w:fill="FFF6C9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Saturação por Overbirths (PEEC)</w:t>
            </w:r>
          </w:p>
        </w:tc>
        <w:tc>
          <w:tcPr>
            <w:tcW w:type="dxa" w:w="1000"/>
            <w:shd w:fill="FFF6C9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2,58</w:t>
            </w:r>
          </w:p>
        </w:tc>
        <w:tc>
          <w:tcPr>
            <w:tcW w:type="dxa" w:w="1200"/>
            <w:shd w:fill="FFF6C9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232,7</w:t>
            </w:r>
          </w:p>
        </w:tc>
        <w:tc>
          <w:tcPr>
            <w:tcW w:type="dxa" w:w="1200"/>
            <w:shd w:fill="FFF6C9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303,1</w:t>
            </w:r>
          </w:p>
        </w:tc>
        <w:tc>
          <w:tcPr>
            <w:tcW w:type="dxa" w:w="1100"/>
            <w:shd w:fill="FFF6C9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+70,4</w:t>
            </w:r>
          </w:p>
        </w:tc>
      </w:tr>
      <w:tr>
        <w:tc>
          <w:tcPr>
            <w:tcW w:type="dxa" w:w="2400"/>
            <w:shd w:fill="FFF6C9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Egito</w:t>
            </w:r>
          </w:p>
        </w:tc>
        <w:tc>
          <w:tcPr>
            <w:tcW w:type="dxa" w:w="900"/>
            <w:shd w:fill="FFF6C9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EGY</w:t>
            </w:r>
          </w:p>
        </w:tc>
        <w:tc>
          <w:tcPr>
            <w:tcW w:type="dxa" w:w="3200"/>
            <w:shd w:fill="FFF6C9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Saturação por Overbirths (PEEC)</w:t>
            </w:r>
          </w:p>
        </w:tc>
        <w:tc>
          <w:tcPr>
            <w:tcW w:type="dxa" w:w="1000"/>
            <w:shd w:fill="FFF6C9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2,61</w:t>
            </w:r>
          </w:p>
        </w:tc>
        <w:tc>
          <w:tcPr>
            <w:tcW w:type="dxa" w:w="1200"/>
            <w:shd w:fill="FFF6C9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116,5</w:t>
            </w:r>
          </w:p>
        </w:tc>
        <w:tc>
          <w:tcPr>
            <w:tcW w:type="dxa" w:w="1200"/>
            <w:shd w:fill="FFF6C9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150,7</w:t>
            </w:r>
          </w:p>
        </w:tc>
        <w:tc>
          <w:tcPr>
            <w:tcW w:type="dxa" w:w="1100"/>
            <w:shd w:fill="FFF6C9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+34,2</w:t>
            </w:r>
          </w:p>
        </w:tc>
      </w:tr>
      <w:tr>
        <w:tc>
          <w:tcPr>
            <w:tcW w:type="dxa" w:w="2400"/>
            <w:shd w:fill="FFF6C9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Etiópia</w:t>
            </w:r>
          </w:p>
        </w:tc>
        <w:tc>
          <w:tcPr>
            <w:tcW w:type="dxa" w:w="900"/>
            <w:shd w:fill="FFF6C9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ETH</w:t>
            </w:r>
          </w:p>
        </w:tc>
        <w:tc>
          <w:tcPr>
            <w:tcW w:type="dxa" w:w="3200"/>
            <w:shd w:fill="FFF6C9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Saturação por Overbirths (PEEC)</w:t>
            </w:r>
          </w:p>
        </w:tc>
        <w:tc>
          <w:tcPr>
            <w:tcW w:type="dxa" w:w="1000"/>
            <w:shd w:fill="FFF6C9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3,00</w:t>
            </w:r>
          </w:p>
        </w:tc>
        <w:tc>
          <w:tcPr>
            <w:tcW w:type="dxa" w:w="1200"/>
            <w:shd w:fill="FFF6C9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132,1</w:t>
            </w:r>
          </w:p>
        </w:tc>
        <w:tc>
          <w:tcPr>
            <w:tcW w:type="dxa" w:w="1200"/>
            <w:shd w:fill="FFF6C9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183,1</w:t>
            </w:r>
          </w:p>
        </w:tc>
        <w:tc>
          <w:tcPr>
            <w:tcW w:type="dxa" w:w="1100"/>
            <w:shd w:fill="FFF6C9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+51,0</w:t>
            </w:r>
          </w:p>
        </w:tc>
      </w:tr>
      <w:tr>
        <w:tc>
          <w:tcPr>
            <w:tcW w:type="dxa" w:w="2400"/>
            <w:shd w:fill="FFF6C9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Arábia Saudita</w:t>
            </w:r>
          </w:p>
        </w:tc>
        <w:tc>
          <w:tcPr>
            <w:tcW w:type="dxa" w:w="900"/>
            <w:shd w:fill="FFF6C9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SAU</w:t>
            </w:r>
          </w:p>
        </w:tc>
        <w:tc>
          <w:tcPr>
            <w:tcW w:type="dxa" w:w="3200"/>
            <w:shd w:fill="FFF6C9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Saturação por Overbirths (PEEC)</w:t>
            </w:r>
          </w:p>
        </w:tc>
        <w:tc>
          <w:tcPr>
            <w:tcW w:type="dxa" w:w="1000"/>
            <w:shd w:fill="FFF6C9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3,05</w:t>
            </w:r>
          </w:p>
        </w:tc>
        <w:tc>
          <w:tcPr>
            <w:tcW w:type="dxa" w:w="1200"/>
            <w:shd w:fill="FFF6C9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34,0</w:t>
            </w:r>
          </w:p>
        </w:tc>
        <w:tc>
          <w:tcPr>
            <w:tcW w:type="dxa" w:w="1200"/>
            <w:shd w:fill="FFF6C9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43,2</w:t>
            </w:r>
          </w:p>
        </w:tc>
        <w:tc>
          <w:tcPr>
            <w:tcW w:type="dxa" w:w="1100"/>
            <w:shd w:fill="FFF6C9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+9,3</w:t>
            </w:r>
          </w:p>
        </w:tc>
      </w:tr>
      <w:tr>
        <w:tc>
          <w:tcPr>
            <w:tcW w:type="dxa" w:w="2400"/>
            <w:shd w:fill="FFF6C9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Rep. Dem. do Congo</w:t>
            </w:r>
          </w:p>
        </w:tc>
        <w:tc>
          <w:tcPr>
            <w:tcW w:type="dxa" w:w="900"/>
            <w:shd w:fill="FFF6C9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COD</w:t>
            </w:r>
          </w:p>
        </w:tc>
        <w:tc>
          <w:tcPr>
            <w:tcW w:type="dxa" w:w="3200"/>
            <w:shd w:fill="FFF6C9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Saturação por Overbirths (PEEC)</w:t>
            </w:r>
          </w:p>
        </w:tc>
        <w:tc>
          <w:tcPr>
            <w:tcW w:type="dxa" w:w="1000"/>
            <w:shd w:fill="FFF6C9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3,41</w:t>
            </w:r>
          </w:p>
        </w:tc>
        <w:tc>
          <w:tcPr>
            <w:tcW w:type="dxa" w:w="1200"/>
            <w:shd w:fill="FFF6C9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109,3</w:t>
            </w:r>
          </w:p>
        </w:tc>
        <w:tc>
          <w:tcPr>
            <w:tcW w:type="dxa" w:w="1200"/>
            <w:shd w:fill="FFF6C9" w:val="clea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147,1</w:t>
            </w:r>
          </w:p>
        </w:tc>
        <w:tc>
          <w:tcPr>
            <w:tcW w:type="dxa" w:w="1100"/>
            <w:shd w:fill="FFF6C9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+37,8</w:t>
            </w:r>
          </w:p>
        </w:tc>
      </w:tr>
    </w:tbl>
    <w:p>
      <w:pPr>
        <w:spacing w:before="200"/>
      </w:pPr>
    </w:p>
    <w:p>
      <w:pPr>
        <w:spacing w:after="180"/>
      </w:pPr>
      <w:r>
        <w:rPr>
          <w:b w:val="false"/>
          <w:bCs w:val="false"/>
          <w:i/>
          <w:iCs/>
          <w:sz w:val="22"/>
          <w:szCs w:val="22"/>
        </w:rPr>
        <w:t xml:space="preserve">Leitura: países da zona Colapso de Narayama (PEC) continuam encolhendo (Δ negativo) mesmo neste cenário ideal de recuperação instantânea da fecundidade — Japão perde 11,3 milhões de pessoas, Alemanha 4,6 milhões, Itália 3,2 milhões — evidenciando a inércia etária: décadas de fecundidade abaixo da reposição já reduziram permanentemente o número de mulheres em idade reprodutiva, e isso não se reverte só porque a TFR volta a 2,1. Países da zona Saturação por Overbirths (PEEC) continuam crescendo substancialmente (Nigéria +70,4 milhões, Etiópia +51,0 milhões) pelo motivo inverso: a estrutura etária jovem já garante mais nascimentos futuros do que óbitos, independentemente da TFR recuar exatamente para 2,1.</w:t>
      </w:r>
    </w:p>
    <w:p>
      <w:pPr>
        <w:spacing w:after="18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Duas exceções na zona PEC valem nota: Tailândia (Δ = +2,5) e China (Δ = +59,2) ainda crescem sob este cenário apesar de classificadas como Colapso de Narayama pelo N* — porque o N* mede a razão de reposição geracional (NGII × Fator_Geracional), não diretamente o momentum de curto prazo da estrutura etária atual. Os dois indicadores são complementares, não substitutos.</w:t>
      </w:r>
    </w:p>
    <w:p>
      <w:pPr>
        <w:pStyle w:val="Heading1"/>
      </w:pPr>
      <w:r>
        <w:t xml:space="preserve">5. Reorganização do narayama.live</w:t>
      </w:r>
    </w:p>
    <w:p>
      <w:pPr>
        <w:spacing w:after="18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pedido do autor ("a tabela geracional de narayama deve encabeçar a página"), a Tabela Geracional foi movida para o topo do narayama.live — logo após o título e a legenda "Como ler o N*", antes da tabela minimalista e do gráfico de barras (que agora funcionam como detalhe de apoio). Nenhuma lógica de cálculo foi alterada nessa mudança — só a ordem de exibição em app/narayama_live/app.py.</w:t>
      </w:r>
    </w:p>
    <w:p>
      <w:pPr>
        <w:pStyle w:val="Heading1"/>
      </w:pPr>
      <w:r>
        <w:t xml:space="preserve">6. Limitações explícitas e próximos passos</w:t>
      </w:r>
    </w:p>
    <w:p>
      <w:pPr>
        <w:spacing w:after="180"/>
      </w:pPr>
      <w:r>
        <w:rPr>
          <w:b/>
          <w:bCs/>
          <w:i w:val="false"/>
          <w:iCs w:val="false"/>
          <w:sz w:val="22"/>
          <w:szCs w:val="22"/>
        </w:rPr>
        <w:t xml:space="preserve">Esta implementação é uma primeira versão ("v1, cenário instantâneo"), com uma simplificação deliberada e documentada nos próprios cards e em docs/definitions.md (seção 8-B):</w:t>
      </w:r>
    </w:p>
    <w:p>
      <w:pPr>
        <w:spacing w:after="18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A variante da UN WPP usada assume que a TFR salta para o nível de reposição IMEDIATAMENTE (T_2.1 = 0), não gradualmente. P_2.1 e P_eq respondem "que tamanho a população teria SE a TFR já estivesse em reposição hoje" — não "quanto tempo a sociedade realmente vai levar para atingir TFR = 2,1".</w:t>
      </w:r>
    </w:p>
    <w:p>
      <w:pPr>
        <w:spacing w:after="18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T_2.1 gradual/realista (o parâmetro definido na seção 2.5) continua em aberto. Uma implementação futura poderia estimá-lo por extrapolação da tendência histórica de TFR já coletada em data/raw/un_wpp_historico.csv (série quinquenal 1990-2024) — decisão ainda não tomada.</w:t>
      </w:r>
    </w:p>
    <w:p>
      <w:pPr>
        <w:spacing w:after="18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P_X (processos exógenos / migração, seção 2.4) não está implementado — o Framework Narayama usa só P_E, mas a plataforma AINU ainda não oferece simulação de cenários com migração.</w:t>
      </w:r>
    </w:p>
    <w:p>
      <w:pPr>
        <w:spacing w:after="18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Decisão do autor (2026-07-16): implementar o cenário instantâneo agora, com dado real e sem inventar metodologia, e tratar o cenário gradual como uma iteração seguinte — "por que não os dois", sem bloquear a entrega do primeiro pela ausência do segundo.</w:t>
      </w:r>
    </w:p>
    <w:p>
      <w:pPr>
        <w:pStyle w:val="Heading1"/>
      </w:pPr>
      <w:r>
        <w:t xml:space="preserve">7. Arquivos alterados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c>
          <w:tcPr>
            <w:tcW w:type="dxa" w:w="3200"/>
            <w:shd w:fill="F3F4F6" w:val="clear"/>
          </w:tcPr>
          <w:p>
            <w:r>
              <w:rPr>
                <w:b/>
                <w:bCs/>
                <w:sz w:val="18"/>
                <w:szCs w:val="18"/>
              </w:rPr>
              <w:t xml:space="preserve">Arquivo</w:t>
            </w:r>
          </w:p>
        </w:tc>
        <w:tc>
          <w:tcPr>
            <w:tcW w:type="dxa" w:w="6200"/>
            <w:shd w:fill="F3F4F6" w:val="clear"/>
          </w:tcPr>
          <w:p>
            <w:r>
              <w:rPr>
                <w:b/>
                <w:bCs/>
                <w:sz w:val="18"/>
                <w:szCs w:val="18"/>
              </w:rPr>
              <w:t xml:space="preserve">Mudança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scripts/build_convergencia_raw.py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Novo. Coleta P_2.1/P_eq da UN WPP.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data/raw/convergencia_un.csv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Novo. 28 linhas, colunas pais_codigo/ano_2_1/p_2_1/tfr_2_1/ano_eq/p_eq/tfr_eq.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app/ainu_systems/app.py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Carrega e mescla p_eq; card mostra "pop atual → P_eq" em vez de "→ pendente"; legenda atualizada.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app/narayama_live/app.py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Mesma mudança de cards; Tabela Geracional movida para o topo da página.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docs/definitions.md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Nova seção 8-B: formalização completa de P_E/P_2.1/P_eq/P_obs/T_2.1 e a decisão metodológica.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.github/workflows/atualizar_dados.yml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Roda build_convergencia_raw.py no bot mensal; corrigido bug pré-existente (git add da série histórica).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.github/workflows/ci.yml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Nova checagem de regressão: 28 países, p_eq não-nulo e positivo.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README.md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"Estado atual" e passo 2 ("Obter dados") atualizados.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.gitignore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Exceção para data/raw/convergencia_un.csv.</w:t>
            </w:r>
          </w:p>
        </w:tc>
      </w:tr>
    </w:tbl>
    <w:p>
      <w:pPr>
        <w:spacing w:before="400"/>
      </w:pPr>
      <w:r>
        <w:rPr>
          <w:i/>
          <w:iCs/>
          <w:sz w:val="18"/>
          <w:szCs w:val="18"/>
        </w:rPr>
        <w:t xml:space="preserve">Fontes: "tabela geracional - formula.docx" (autor, 2026-07-16); UN World Population Prospects 2024 Revision, WPP2024_Demographic_Indicators_OtherVariants.csv.gz; docs/definitions.md, seção 8-B; commit db78d9a do repositório AINU-Narayama.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2026-07-16T03:00:26.972Z</dcterms:created>
  <dcterms:modified xsi:type="dcterms:W3CDTF">2026-07-16T03:00:26.973Z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