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Что делать если ожидаемый результат не соответствувет тест-кейсу?</w:t>
      </w:r>
      <w:r>
        <w:rPr>
          <w:rFonts w:hint="default"/>
          <w:highlight w:val="yellow"/>
          <w:lang w:val="en-US"/>
        </w:rPr>
        <w:t xml:space="preserve"> - </w:t>
      </w:r>
      <w:r>
        <w:rPr>
          <w:rFonts w:hint="default"/>
          <w:highlight w:val="yellow"/>
          <w:lang w:val="ru-RU"/>
        </w:rPr>
        <w:t>решение сам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Есть ли ещё какая информация по требованиям? Например как должна выглядеть страница «Корзина»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Нужно ли писать проверки на непокрытие кейсами требования?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4DBAC2"/>
    <w:multiLevelType w:val="singleLevel"/>
    <w:tmpl w:val="E54DBAC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A7EFF"/>
    <w:rsid w:val="7204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2024-02-22T13:53:00Z</dcterms:created>
  <dc:creator>anduser</dc:creator>
  <cp:lastModifiedBy>Игорь Тиханский</cp:lastModifiedBy>
  <dcterms:modified xsi:type="dcterms:W3CDTF">2024-02-26T19:47:30Z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41805223CA77401891C43D93AB720B61_12</vt:lpwstr>
  </property>
</Properties>
</file>