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5C99" w:sz="6" w:space="8"/>
        </w:pBdr>
        <w:spacing w:after="80" w:before="0"/>
        <w:jc w:val="left"/>
      </w:pPr>
      <w:r>
        <w:rPr>
          <w:b/>
          <w:bCs/>
          <w:color w:val="1A3A5C"/>
          <w:sz w:val="40"/>
          <w:szCs w:val="40"/>
        </w:rPr>
        <w:t xml:space="preserve">Discussion</w:t>
      </w:r>
    </w:p>
    <w:p>
      <w:pPr>
        <w:spacing w:after="240"/>
      </w:pPr>
    </w:p>
    <w:p>
      <w:pPr>
        <w:spacing w:after="180" w:before="0" w:line="276"/>
        <w:jc w:val="both"/>
      </w:pPr>
      <w:r>
        <w:rPr>
          <w:b w:val="false"/>
          <w:bCs w:val="false"/>
          <w:i w:val="false"/>
          <w:iCs w:val="false"/>
          <w:sz w:val="24"/>
          <w:szCs w:val="24"/>
        </w:rPr>
        <w:t xml:space="preserve">Across 62 primary studies and 51 datasets contributing quantitative data to this meta-analysis, the pooled diagnostic accuracy of machine learning (ML) and deep learning (DL) algorithms for brain tumour classification was 96.7% (95% CI: 95.4–97.7%). That headline figure, however, requires immediate qualification: the 95% prediction interval was 71.4–99.7%, the overall I</w:t>
      </w:r>
      <w:r>
        <w:rPr>
          <w:b w:val="false"/>
          <w:bCs w:val="false"/>
          <w:i w:val="false"/>
          <w:iCs w:val="false"/>
          <w:sz w:val="24"/>
          <w:szCs w:val="24"/>
          <w:vertAlign w:val="superscript"/>
        </w:rPr>
        <w:t xml:space="preserve">2</w:t>
      </w:r>
      <w:r>
        <w:rPr>
          <w:b w:val="false"/>
          <w:bCs w:val="false"/>
          <w:i w:val="false"/>
          <w:iCs w:val="false"/>
          <w:sz w:val="24"/>
          <w:szCs w:val="24"/>
        </w:rPr>
        <w:t xml:space="preserve"> was 97.2%, and Egger's regression confirmed statistically significant funnel asymmetry (intercept 3.30, p = 0.023), with trim-and-fill correction reducing the adjusted pooled estimate to 90.3%. Taken together, these meta-analytic parameters indicate that the current literature overestimates deployable clinical performance, and that between-study heterogeneity — rather than genuine differences in algorithm capability — accounts for the majority of variance in reported results. The discussion that follows contextualises each of these findings against the existing evidence base and draws out their implications for the field.</w:t>
      </w:r>
    </w:p>
    <w:p>
      <w:pPr>
        <w:spacing w:after="120" w:before="360"/>
      </w:pPr>
      <w:r>
        <w:rPr>
          <w:b/>
          <w:bCs/>
          <w:color w:val="1A3A5C"/>
          <w:sz w:val="28"/>
          <w:szCs w:val="28"/>
        </w:rPr>
        <w:t xml:space="preserve">1. Pooled Performance and the Problem of Heterogeneity</w:t>
      </w:r>
    </w:p>
    <w:p>
      <w:pPr>
        <w:spacing w:after="180" w:before="0" w:line="276"/>
        <w:jc w:val="both"/>
      </w:pPr>
      <w:r>
        <w:rPr>
          <w:b w:val="false"/>
          <w:bCs w:val="false"/>
          <w:i w:val="false"/>
          <w:iCs w:val="false"/>
          <w:sz w:val="24"/>
          <w:szCs w:val="24"/>
        </w:rPr>
        <w:t xml:space="preserve">The pooled accuracy of 96.7% is broadly consistent with narrative estimates from prior systematic reviews in this domain. Jekel et al. </w:t>
      </w:r>
      <w:r>
        <w:rPr>
          <w:color w:val="1F5C99"/>
          <w:sz w:val="20"/>
          <w:szCs w:val="20"/>
          <w:vertAlign w:val="superscript"/>
        </w:rPr>
        <w:t xml:space="preserve">[26]</w:t>
      </w:r>
      <w:r>
        <w:rPr>
          <w:b w:val="false"/>
          <w:bCs w:val="false"/>
          <w:i w:val="false"/>
          <w:iCs w:val="false"/>
          <w:sz w:val="24"/>
          <w:szCs w:val="24"/>
        </w:rPr>
        <w:t xml:space="preserve">, reviewing ML approaches for distinguishing glioma from brain metastasis, reported accuracy values frequently exceeding 90% across included studies, while Cè et al. </w:t>
      </w:r>
      <w:r>
        <w:rPr>
          <w:color w:val="1F5C99"/>
          <w:sz w:val="20"/>
          <w:szCs w:val="20"/>
          <w:vertAlign w:val="superscript"/>
        </w:rPr>
        <w:t xml:space="preserve">[28]</w:t>
      </w:r>
      <w:r>
        <w:rPr>
          <w:b w:val="false"/>
          <w:bCs w:val="false"/>
          <w:i w:val="false"/>
          <w:iCs w:val="false"/>
          <w:sz w:val="24"/>
          <w:szCs w:val="24"/>
        </w:rPr>
        <w:t xml:space="preserve"> and Khalighi et al. </w:t>
      </w:r>
      <w:r>
        <w:rPr>
          <w:color w:val="1F5C99"/>
          <w:sz w:val="20"/>
          <w:szCs w:val="20"/>
          <w:vertAlign w:val="superscript"/>
        </w:rPr>
        <w:t xml:space="preserve">[8]</w:t>
      </w:r>
      <w:r>
        <w:rPr>
          <w:b w:val="false"/>
          <w:bCs w:val="false"/>
          <w:i w:val="false"/>
          <w:iCs w:val="false"/>
          <w:sz w:val="24"/>
          <w:szCs w:val="24"/>
        </w:rPr>
        <w:t xml:space="preserve"> similarly described high classification performance across heterogeneous algorithmic frameworks. What prior reviews have not provided, and what the present analysis adds, is a formal estimate of the uncertainty around that central tendency. An I</w:t>
      </w:r>
      <w:r>
        <w:rPr>
          <w:b w:val="false"/>
          <w:bCs w:val="false"/>
          <w:i w:val="false"/>
          <w:iCs w:val="false"/>
          <w:sz w:val="24"/>
          <w:szCs w:val="24"/>
          <w:vertAlign w:val="superscript"/>
        </w:rPr>
        <w:t xml:space="preserve">2</w:t>
      </w:r>
      <w:r>
        <w:rPr>
          <w:b w:val="false"/>
          <w:bCs w:val="false"/>
          <w:i w:val="false"/>
          <w:iCs w:val="false"/>
          <w:sz w:val="24"/>
          <w:szCs w:val="24"/>
        </w:rPr>
        <w:t xml:space="preserve"> of 97.2% exceeds the threshold typically considered indicative of severe heterogeneity in meta-analyses of diagnostic test accuracy </w:t>
      </w:r>
      <w:r>
        <w:rPr>
          <w:color w:val="1F5C99"/>
          <w:sz w:val="20"/>
          <w:szCs w:val="20"/>
          <w:vertAlign w:val="superscript"/>
        </w:rPr>
        <w:t xml:space="preserve">[34]</w:t>
      </w:r>
      <w:r>
        <w:rPr>
          <w:b w:val="false"/>
          <w:bCs w:val="false"/>
          <w:i w:val="false"/>
          <w:iCs w:val="false"/>
          <w:sz w:val="24"/>
          <w:szCs w:val="24"/>
        </w:rPr>
        <w:t xml:space="preserve">, and the prediction interval spanning from 71.4% to 99.7% is the most clinically informative statistic generated here: it captures what a practitioner would actually encounter if a randomly selected study-like algorithm were applied in a new setting. The width of that interval — nearly 28 percentage points — is a direct consequence of pooling studies that used incomparable datasets, preprocessing pipelines, and validation paradigms under the common label of 'ML for brain tumour classification.'</w:t>
      </w:r>
    </w:p>
    <w:p>
      <w:pPr>
        <w:spacing w:after="180" w:before="0" w:line="276"/>
        <w:jc w:val="both"/>
      </w:pPr>
      <w:r>
        <w:rPr>
          <w:b w:val="false"/>
          <w:bCs w:val="false"/>
          <w:i w:val="false"/>
          <w:iCs w:val="false"/>
          <w:sz w:val="24"/>
          <w:szCs w:val="24"/>
        </w:rPr>
        <w:t xml:space="preserve">This degree of heterogeneity is not unique to this field. Meta-analyses of AI-based diagnostic systems in other oncological contexts — including lung nodule detection and colorectal polyp classification — have reported similarly extreme I</w:t>
      </w:r>
      <w:r>
        <w:rPr>
          <w:b w:val="false"/>
          <w:bCs w:val="false"/>
          <w:i w:val="false"/>
          <w:iCs w:val="false"/>
          <w:sz w:val="24"/>
          <w:szCs w:val="24"/>
          <w:vertAlign w:val="superscript"/>
        </w:rPr>
        <w:t xml:space="preserve">2</w:t>
      </w:r>
      <w:r>
        <w:rPr>
          <w:b w:val="false"/>
          <w:bCs w:val="false"/>
          <w:i w:val="false"/>
          <w:iCs w:val="false"/>
          <w:sz w:val="24"/>
          <w:szCs w:val="24"/>
        </w:rPr>
        <w:t xml:space="preserve"> values and wide prediction intervals, with systematic reviewers concluding that headline pooled estimates should be interpreted as descriptive summaries of the literature rather than as prospective performance guarantees </w:t>
      </w:r>
      <w:r>
        <w:rPr>
          <w:color w:val="1F5C99"/>
          <w:sz w:val="20"/>
          <w:szCs w:val="20"/>
          <w:vertAlign w:val="superscript"/>
        </w:rPr>
        <w:t xml:space="preserve">[30]</w:t>
      </w:r>
      <w:r>
        <w:rPr>
          <w:b w:val="false"/>
          <w:bCs w:val="false"/>
          <w:i w:val="false"/>
          <w:iCs w:val="false"/>
          <w:sz w:val="24"/>
          <w:szCs w:val="24"/>
        </w:rPr>
        <w:t xml:space="preserve">. The present findings extend that cautionary pattern to neuro-oncological imaging AI, and the quantitative evidence for it here is the first formally derived in this specific domain.</w:t>
      </w:r>
    </w:p>
    <w:p>
      <w:pPr>
        <w:spacing w:after="120" w:before="360"/>
      </w:pPr>
      <w:r>
        <w:rPr>
          <w:b/>
          <w:bCs/>
          <w:color w:val="1A3A5C"/>
          <w:sz w:val="28"/>
          <w:szCs w:val="28"/>
        </w:rPr>
        <w:t xml:space="preserve">2. Deep Learning versus Radiomics: A Quantified Differential</w:t>
      </w:r>
    </w:p>
    <w:p>
      <w:pPr>
        <w:spacing w:after="180" w:before="0" w:line="276"/>
        <w:jc w:val="both"/>
      </w:pPr>
      <w:r>
        <w:rPr>
          <w:b w:val="false"/>
          <w:bCs w:val="false"/>
          <w:i w:val="false"/>
          <w:iCs w:val="false"/>
          <w:sz w:val="24"/>
          <w:szCs w:val="24"/>
        </w:rPr>
        <w:t xml:space="preserve">The between-subgroup Q test confirmed that model architecture category is a statistically significant source of performance variation (Q = 13.23, df = 3, p = 0.004). CNN-based architectures and transfer learning frameworks achieved pooled accuracies of 96.5% and 97.3%, respectively, versus 92.7% for radiomics-combined-with-classical-ML pipelines. The AUC differential was more telling: CNN models pooled at AUC 0.970 (95% CI: 0.956–0.984) compared with 0.900 (95% CI: 0.837–0.962) for radiomics-based approaches — a difference of 0.070 AUC units whose confidence intervals do not overlap, establishing meaningful superiority of feature-learning architectures over handcrafted radiomic feature extraction in the current literature.</w:t>
      </w:r>
    </w:p>
    <w:p>
      <w:pPr>
        <w:spacing w:after="180" w:before="0" w:line="276"/>
        <w:jc w:val="both"/>
      </w:pPr>
      <w:r>
        <w:rPr>
          <w:b w:val="false"/>
          <w:bCs w:val="false"/>
          <w:i w:val="false"/>
          <w:iCs w:val="false"/>
          <w:sz w:val="24"/>
          <w:szCs w:val="24"/>
        </w:rPr>
        <w:t xml:space="preserve">The mechanistic basis for this advantage is well-characterised. CNNs extract hierarchical, task-specific spatial representations from raw image data without assumptions about which features carry diagnostic information </w:t>
      </w:r>
      <w:r>
        <w:rPr>
          <w:color w:val="1F5C99"/>
          <w:sz w:val="20"/>
          <w:szCs w:val="20"/>
          <w:vertAlign w:val="superscript"/>
        </w:rPr>
        <w:t xml:space="preserve">[55,58,60]</w:t>
      </w:r>
      <w:r>
        <w:rPr>
          <w:b w:val="false"/>
          <w:bCs w:val="false"/>
          <w:i w:val="false"/>
          <w:iCs w:val="false"/>
          <w:sz w:val="24"/>
          <w:szCs w:val="24"/>
        </w:rPr>
        <w:t xml:space="preserve">, whereas radiomics pipelines depend on the pre-specification of features whose relevance to a given classification problem cannot always be guaranteed. Wang et al. </w:t>
      </w:r>
      <w:r>
        <w:rPr>
          <w:color w:val="1F5C99"/>
          <w:sz w:val="20"/>
          <w:szCs w:val="20"/>
          <w:vertAlign w:val="superscript"/>
        </w:rPr>
        <w:t xml:space="preserve">[35]</w:t>
      </w:r>
      <w:r>
        <w:rPr>
          <w:b w:val="false"/>
          <w:bCs w:val="false"/>
          <w:i w:val="false"/>
          <w:iCs w:val="false"/>
          <w:sz w:val="24"/>
          <w:szCs w:val="24"/>
        </w:rPr>
        <w:t xml:space="preserve">, in a neuropathologist-level glioma classification study using whole-slide histopathological images, demonstrated that annotation-free deep learning reached AUC 0.998 across multiple WHO 2021 classification tasks — a performance ceiling that handcrafted approaches have not approached. Ozcan et al. </w:t>
      </w:r>
      <w:r>
        <w:rPr>
          <w:color w:val="1F5C99"/>
          <w:sz w:val="20"/>
          <w:szCs w:val="20"/>
          <w:vertAlign w:val="superscript"/>
        </w:rPr>
        <w:t xml:space="preserve">[57]</w:t>
      </w:r>
      <w:r>
        <w:rPr>
          <w:b w:val="false"/>
          <w:bCs w:val="false"/>
          <w:i w:val="false"/>
          <w:iCs w:val="false"/>
          <w:sz w:val="24"/>
          <w:szCs w:val="24"/>
        </w:rPr>
        <w:t xml:space="preserve"> similarly showed that a custom-designed CNN trained from scratch matched or exceeded pretrained transfer learning models for glioma grading, achieving AUC 0.989, suggesting that CNN capacity itself — rather than the specific architecture — drives performance.</w:t>
      </w:r>
    </w:p>
    <w:p>
      <w:pPr>
        <w:spacing w:after="180" w:before="0" w:line="276"/>
        <w:jc w:val="both"/>
      </w:pPr>
      <w:r>
        <w:rPr>
          <w:b w:val="false"/>
          <w:bCs w:val="false"/>
          <w:i w:val="false"/>
          <w:iCs w:val="false"/>
          <w:sz w:val="24"/>
          <w:szCs w:val="24"/>
        </w:rPr>
        <w:t xml:space="preserve">The counter-argument for radiomics merits acknowledgement. Despite lower peak performance, the radiomics subgroup showed markedly lower within-group heterogeneity (I</w:t>
      </w:r>
      <w:r>
        <w:rPr>
          <w:b w:val="false"/>
          <w:bCs w:val="false"/>
          <w:i w:val="false"/>
          <w:iCs w:val="false"/>
          <w:sz w:val="24"/>
          <w:szCs w:val="24"/>
          <w:vertAlign w:val="superscript"/>
        </w:rPr>
        <w:t xml:space="preserve">2</w:t>
      </w:r>
      <w:r>
        <w:rPr>
          <w:b w:val="false"/>
          <w:bCs w:val="false"/>
          <w:i w:val="false"/>
          <w:iCs w:val="false"/>
          <w:sz w:val="24"/>
          <w:szCs w:val="24"/>
        </w:rPr>
        <w:t xml:space="preserve"> = 55.6% versus &gt;96% for all DL categories), implying more consistent and reproducible results across studies. Handcrafted radiomic features derived from tumour texture, intensity histograms, and diffusion parameters can be anchored to quantifiable imaging biomarkers with established biological correlates </w:t>
      </w:r>
      <w:r>
        <w:rPr>
          <w:color w:val="1F5C99"/>
          <w:sz w:val="20"/>
          <w:szCs w:val="20"/>
          <w:vertAlign w:val="superscript"/>
        </w:rPr>
        <w:t xml:space="preserve">[71,73,74]</w:t>
      </w:r>
      <w:r>
        <w:rPr>
          <w:b w:val="false"/>
          <w:bCs w:val="false"/>
          <w:i w:val="false"/>
          <w:iCs w:val="false"/>
          <w:sz w:val="24"/>
          <w:szCs w:val="24"/>
        </w:rPr>
        <w:t xml:space="preserve">, and their extraction pipelines are more readily auditable than the opaque internal representations of deep networks. For regulatory pathways and clinical acceptance — both of which require interpretable model outputs — this methodological transparency may prove strategically important. The appropriate clinical question, then, is not 'which approach is more accurate?' but 'which approach is most useful at what stage of the translation pipeline?'</w:t>
      </w:r>
    </w:p>
    <w:p>
      <w:pPr>
        <w:spacing w:after="180" w:before="0" w:line="276"/>
        <w:jc w:val="both"/>
      </w:pPr>
      <w:r>
        <w:rPr>
          <w:b w:val="false"/>
          <w:bCs w:val="false"/>
          <w:i w:val="false"/>
          <w:iCs w:val="false"/>
          <w:sz w:val="24"/>
          <w:szCs w:val="24"/>
        </w:rPr>
        <w:t xml:space="preserve">Ensemble and hybrid architectures achieved the highest pooled accuracy (97.8%), consistent with the established statistical principle that combining complementary predictors reduces generalisation error </w:t>
      </w:r>
      <w:r>
        <w:rPr>
          <w:color w:val="1F5C99"/>
          <w:sz w:val="20"/>
          <w:szCs w:val="20"/>
          <w:vertAlign w:val="superscript"/>
        </w:rPr>
        <w:t xml:space="preserve">[41,65,66]</w:t>
      </w:r>
      <w:r>
        <w:rPr>
          <w:b w:val="false"/>
          <w:bCs w:val="false"/>
          <w:i w:val="false"/>
          <w:iCs w:val="false"/>
          <w:sz w:val="24"/>
          <w:szCs w:val="24"/>
        </w:rPr>
        <w:t xml:space="preserve">. Kibriya et al. </w:t>
      </w:r>
      <w:r>
        <w:rPr>
          <w:color w:val="1F5C99"/>
          <w:sz w:val="20"/>
          <w:szCs w:val="20"/>
          <w:vertAlign w:val="superscript"/>
        </w:rPr>
        <w:t xml:space="preserve">[77]</w:t>
      </w:r>
      <w:r>
        <w:rPr>
          <w:b w:val="false"/>
          <w:bCs w:val="false"/>
          <w:i w:val="false"/>
          <w:iCs w:val="false"/>
          <w:sz w:val="24"/>
          <w:szCs w:val="24"/>
        </w:rPr>
        <w:t xml:space="preserve">, fusing deep features from AlexNet, GoogLeNet, and ResNet18 with SVM classification, reached 99.7% accuracy on a 15,320-image dataset. Aurna et al. </w:t>
      </w:r>
      <w:r>
        <w:rPr>
          <w:color w:val="1F5C99"/>
          <w:sz w:val="20"/>
          <w:szCs w:val="20"/>
          <w:vertAlign w:val="superscript"/>
        </w:rPr>
        <w:t xml:space="preserve">[68]</w:t>
      </w:r>
      <w:r>
        <w:rPr>
          <w:b w:val="false"/>
          <w:bCs w:val="false"/>
          <w:i w:val="false"/>
          <w:iCs w:val="false"/>
          <w:sz w:val="24"/>
          <w:szCs w:val="24"/>
        </w:rPr>
        <w:t xml:space="preserve"> averaged 99.13% across three public datasets using two-stage CNN feature ensembling. But the high I</w:t>
      </w:r>
      <w:r>
        <w:rPr>
          <w:b w:val="false"/>
          <w:bCs w:val="false"/>
          <w:i w:val="false"/>
          <w:iCs w:val="false"/>
          <w:sz w:val="24"/>
          <w:szCs w:val="24"/>
          <w:vertAlign w:val="superscript"/>
        </w:rPr>
        <w:t xml:space="preserve">2</w:t>
      </w:r>
      <w:r>
        <w:rPr>
          <w:b w:val="false"/>
          <w:bCs w:val="false"/>
          <w:i w:val="false"/>
          <w:iCs w:val="false"/>
          <w:sz w:val="24"/>
          <w:szCs w:val="24"/>
        </w:rPr>
        <w:t xml:space="preserve"> within this subgroup (97.4%) reflects how ensemble configurations vary as widely as the individual models they combine, making direct comparison across studies essentially uninformative without dataset standardisation.</w:t>
      </w:r>
    </w:p>
    <w:p>
      <w:pPr>
        <w:spacing w:after="120" w:before="360"/>
      </w:pPr>
      <w:r>
        <w:rPr>
          <w:b/>
          <w:bCs/>
          <w:color w:val="1A3A5C"/>
          <w:sz w:val="28"/>
          <w:szCs w:val="28"/>
        </w:rPr>
        <w:t xml:space="preserve">3. The Public Benchmark Problem</w:t>
      </w:r>
    </w:p>
    <w:p>
      <w:pPr>
        <w:spacing w:after="180" w:before="0" w:line="276"/>
        <w:jc w:val="both"/>
      </w:pPr>
      <w:r>
        <w:rPr>
          <w:b w:val="false"/>
          <w:bCs w:val="false"/>
          <w:i w:val="false"/>
          <w:iCs w:val="false"/>
          <w:sz w:val="24"/>
          <w:szCs w:val="24"/>
        </w:rPr>
        <w:t xml:space="preserve">The most operationally significant subgroup finding was the 4.3 percentage point performance differential between studies using exclusively public benchmark datasets (pooled accuracy 97.8%, k = 32) and those using institutional clinical datasets (pooled accuracy 93.5%, k = 19). This gradient has a straightforward explanation: the Figshare/Cheng dataset </w:t>
      </w:r>
      <w:r>
        <w:rPr>
          <w:color w:val="1F5C99"/>
          <w:sz w:val="20"/>
          <w:szCs w:val="20"/>
          <w:vertAlign w:val="superscript"/>
        </w:rPr>
        <w:t xml:space="preserve">[50]</w:t>
      </w:r>
      <w:r>
        <w:rPr>
          <w:b w:val="false"/>
          <w:bCs w:val="false"/>
          <w:i w:val="false"/>
          <w:iCs w:val="false"/>
          <w:sz w:val="24"/>
          <w:szCs w:val="24"/>
        </w:rPr>
        <w:t xml:space="preserve">, used in some form by at least 12 studies in this review, comprises 3,064 T1-weighted contrast-enhanced MRI slices of glioma, meningioma, and pituitary tumours across three well-separated classes, with minimal acquisition noise. Classification on this dataset is, in effect, a test of image recognition in a low-complexity feature space — not a test of clinically applicable tumour characterisation. Models achieving 98–100% accuracy on this benchmark </w:t>
      </w:r>
      <w:r>
        <w:rPr>
          <w:color w:val="1F5C99"/>
          <w:sz w:val="20"/>
          <w:szCs w:val="20"/>
          <w:vertAlign w:val="superscript"/>
        </w:rPr>
        <w:t xml:space="preserve">[50,51,52,53,64,65,68,69,70,72]</w:t>
      </w:r>
      <w:r>
        <w:rPr>
          <w:b w:val="false"/>
          <w:bCs w:val="false"/>
          <w:i w:val="false"/>
          <w:iCs w:val="false"/>
          <w:sz w:val="24"/>
          <w:szCs w:val="24"/>
        </w:rPr>
        <w:t xml:space="preserve"> cannot be assumed to retain that performance when applied to the heterogeneous acquisitions, tumour subtypes, and patient demographics of routine clinical practice.</w:t>
      </w:r>
    </w:p>
    <w:p>
      <w:pPr>
        <w:spacing w:after="180" w:before="0" w:line="276"/>
        <w:jc w:val="both"/>
      </w:pPr>
      <w:r>
        <w:rPr>
          <w:b w:val="false"/>
          <w:bCs w:val="false"/>
          <w:i w:val="false"/>
          <w:iCs w:val="false"/>
          <w:sz w:val="24"/>
          <w:szCs w:val="24"/>
        </w:rPr>
        <w:t xml:space="preserve">The external validation data in this review are instructive in this regard. Studies that validated models on independent clinical cohorts — including Garcia-Ruiz et al. </w:t>
      </w:r>
      <w:r>
        <w:rPr>
          <w:color w:val="1F5C99"/>
          <w:sz w:val="20"/>
          <w:szCs w:val="20"/>
          <w:vertAlign w:val="superscript"/>
        </w:rPr>
        <w:t xml:space="preserve">[42]</w:t>
      </w:r>
      <w:r>
        <w:rPr>
          <w:b w:val="false"/>
          <w:bCs w:val="false"/>
          <w:i w:val="false"/>
          <w:iCs w:val="false"/>
          <w:sz w:val="24"/>
          <w:szCs w:val="24"/>
        </w:rPr>
        <w:t xml:space="preserve"> (DISCERN framework across five European centres; k = 568), Cluceru et al. </w:t>
      </w:r>
      <w:r>
        <w:rPr>
          <w:color w:val="1F5C99"/>
          <w:sz w:val="20"/>
          <w:szCs w:val="20"/>
          <w:vertAlign w:val="superscript"/>
        </w:rPr>
        <w:t xml:space="preserve">[61]</w:t>
      </w:r>
      <w:r>
        <w:rPr>
          <w:b w:val="false"/>
          <w:bCs w:val="false"/>
          <w:i w:val="false"/>
          <w:iCs w:val="false"/>
          <w:sz w:val="24"/>
          <w:szCs w:val="24"/>
        </w:rPr>
        <w:t xml:space="preserve"> (IDH/1p19q classification on UCSF plus TCGA; external cohort n = 147), and Park et al. </w:t>
      </w:r>
      <w:r>
        <w:rPr>
          <w:color w:val="1F5C99"/>
          <w:sz w:val="20"/>
          <w:szCs w:val="20"/>
          <w:vertAlign w:val="superscript"/>
        </w:rPr>
        <w:t xml:space="preserve">[95]</w:t>
      </w:r>
      <w:r>
        <w:rPr>
          <w:b w:val="false"/>
          <w:bCs w:val="false"/>
          <w:i w:val="false"/>
          <w:iCs w:val="false"/>
          <w:sz w:val="24"/>
          <w:szCs w:val="24"/>
        </w:rPr>
        <w:t xml:space="preserve"> (LGG grading; AUC drops from 0.85 internal to 0.72 external) — all reported substantially lower performance than benchmark-validated counterparts, and all noted that this drop was concentrated in non-enhancing tumours and cases with imaging protocol heterogeneity. The present meta-analysis quantifies this translational deficit at the aggregate level for the first time.</w:t>
      </w:r>
    </w:p>
    <w:p>
      <w:pPr>
        <w:spacing w:after="180" w:before="0" w:line="276"/>
        <w:jc w:val="both"/>
      </w:pPr>
      <w:r>
        <w:rPr>
          <w:b w:val="false"/>
          <w:bCs w:val="false"/>
          <w:i w:val="false"/>
          <w:iCs w:val="false"/>
          <w:sz w:val="24"/>
          <w:szCs w:val="24"/>
        </w:rPr>
        <w:t xml:space="preserve">A related but distinct issue is spectrum bias. Public benchmark datasets over-represent easily classifiable cases with unambiguous imaging features; they systematically under-represent infiltrating tumours with ill-defined margins, treatment-related changes, and histologically heterogeneous lesions </w:t>
      </w:r>
      <w:r>
        <w:rPr>
          <w:color w:val="1F5C99"/>
          <w:sz w:val="20"/>
          <w:szCs w:val="20"/>
          <w:vertAlign w:val="superscript"/>
        </w:rPr>
        <w:t xml:space="preserve">[14,15]</w:t>
      </w:r>
      <w:r>
        <w:rPr>
          <w:b w:val="false"/>
          <w:bCs w:val="false"/>
          <w:i w:val="false"/>
          <w:iCs w:val="false"/>
          <w:sz w:val="24"/>
          <w:szCs w:val="24"/>
        </w:rPr>
        <w:t xml:space="preserve">. The WHO 2021 CNS tumour classification </w:t>
      </w:r>
      <w:r>
        <w:rPr>
          <w:color w:val="1F5C99"/>
          <w:sz w:val="20"/>
          <w:szCs w:val="20"/>
          <w:vertAlign w:val="superscript"/>
        </w:rPr>
        <w:t xml:space="preserve">[3]</w:t>
      </w:r>
      <w:r>
        <w:rPr>
          <w:b w:val="false"/>
          <w:bCs w:val="false"/>
          <w:i w:val="false"/>
          <w:iCs w:val="false"/>
          <w:sz w:val="24"/>
          <w:szCs w:val="24"/>
        </w:rPr>
        <w:t xml:space="preserve"> has substantially increased diagnostic complexity by integrating molecular markers — IDH mutation status, 1p/19q codeletion, TERT promoter mutation, and MGMT methylation — into diagnosis, none of which are captured by the imaging features on which most benchmark-trained models operate. Models trained before the 2021 classification revision may therefore address a diagnostic problem that no longer exists in its previous form.</w:t>
      </w:r>
    </w:p>
    <w:p>
      <w:pPr>
        <w:spacing w:after="120" w:before="360"/>
      </w:pPr>
      <w:r>
        <w:rPr>
          <w:b/>
          <w:bCs/>
          <w:color w:val="1A3A5C"/>
          <w:sz w:val="28"/>
          <w:szCs w:val="28"/>
        </w:rPr>
        <w:t xml:space="preserve">4. Validation Strategy as the Primary Quality Determinant</w:t>
      </w:r>
    </w:p>
    <w:p>
      <w:pPr>
        <w:spacing w:after="180" w:before="0" w:line="276"/>
        <w:jc w:val="both"/>
      </w:pPr>
      <w:r>
        <w:rPr>
          <w:b w:val="false"/>
          <w:bCs w:val="false"/>
          <w:i w:val="false"/>
          <w:iCs w:val="false"/>
          <w:sz w:val="24"/>
          <w:szCs w:val="24"/>
        </w:rPr>
        <w:t xml:space="preserve">The validation strategy subgroup analysis produced the starkest finding in this meta-analysis. Studies restricted to internal validation (k = 44) achieved a pooled accuracy of 97.1% (95% CI: 95.9–98.0%), whereas the seven studies incorporating external independent validation cohorts returned 92.5% (95% CI: 86.9–95.8%). This 4.6 percentage point differential, combined with the finding that external validation studies also showed lower I</w:t>
      </w:r>
      <w:r>
        <w:rPr>
          <w:b w:val="false"/>
          <w:bCs w:val="false"/>
          <w:i w:val="false"/>
          <w:iCs w:val="false"/>
          <w:sz w:val="24"/>
          <w:szCs w:val="24"/>
          <w:vertAlign w:val="superscript"/>
        </w:rPr>
        <w:t xml:space="preserve">2</w:t>
      </w:r>
      <w:r>
        <w:rPr>
          <w:b w:val="false"/>
          <w:bCs w:val="false"/>
          <w:i w:val="false"/>
          <w:iCs w:val="false"/>
          <w:sz w:val="24"/>
          <w:szCs w:val="24"/>
        </w:rPr>
        <w:t xml:space="preserve"> within their subgroup, is consistent with the well-characterised optimism bias that arises when the same data inform both model training and evaluation </w:t>
      </w:r>
      <w:r>
        <w:rPr>
          <w:color w:val="1F5C99"/>
          <w:sz w:val="20"/>
          <w:szCs w:val="20"/>
          <w:vertAlign w:val="superscript"/>
        </w:rPr>
        <w:t xml:space="preserve">[34]</w:t>
      </w:r>
      <w:r>
        <w:rPr>
          <w:b w:val="false"/>
          <w:bCs w:val="false"/>
          <w:i w:val="false"/>
          <w:iCs w:val="false"/>
          <w:sz w:val="24"/>
          <w:szCs w:val="24"/>
        </w:rPr>
        <w:t xml:space="preserve">. Cross-validation procedures that shuffle patients rather than sites are particularly susceptible: when the same scanner, acquisition protocol, and patient population contribute to both training and test partitions, models implicitly learn site-specific rather than disease-specific features </w:t>
      </w:r>
      <w:r>
        <w:rPr>
          <w:color w:val="1F5C99"/>
          <w:sz w:val="20"/>
          <w:szCs w:val="20"/>
          <w:vertAlign w:val="superscript"/>
        </w:rPr>
        <w:t xml:space="preserve">[8]</w:t>
      </w:r>
      <w:r>
        <w:rPr>
          <w:b w:val="false"/>
          <w:bCs w:val="false"/>
          <w:i w:val="false"/>
          <w:iCs w:val="false"/>
          <w:sz w:val="24"/>
          <w:szCs w:val="24"/>
        </w:rPr>
        <w:t xml:space="preserve">.</w:t>
      </w:r>
    </w:p>
    <w:p>
      <w:pPr>
        <w:spacing w:after="180" w:before="0" w:line="276"/>
        <w:jc w:val="both"/>
      </w:pPr>
      <w:r>
        <w:rPr>
          <w:b w:val="false"/>
          <w:bCs w:val="false"/>
          <w:i w:val="false"/>
          <w:iCs w:val="false"/>
          <w:sz w:val="24"/>
          <w:szCs w:val="24"/>
        </w:rPr>
        <w:t xml:space="preserve">The radiomics subgroup provides an illustrative case. Nakamoto et al. </w:t>
      </w:r>
      <w:r>
        <w:rPr>
          <w:color w:val="1F5C99"/>
          <w:sz w:val="20"/>
          <w:szCs w:val="20"/>
          <w:vertAlign w:val="superscript"/>
        </w:rPr>
        <w:t xml:space="preserve">[84]</w:t>
      </w:r>
      <w:r>
        <w:rPr>
          <w:b w:val="false"/>
          <w:bCs w:val="false"/>
          <w:i w:val="false"/>
          <w:iCs w:val="false"/>
          <w:sz w:val="24"/>
          <w:szCs w:val="24"/>
        </w:rPr>
        <w:t xml:space="preserve"> reported an AUC of 0.902 on a primary cohort of 157 patients for radiomic glioma grading, dropping to 0.747 on an independent validation cohort of 67 patients — a reduction of 0.155 AUC units attributable to dataset shift alone. van der Voort et al. </w:t>
      </w:r>
      <w:r>
        <w:rPr>
          <w:color w:val="1F5C99"/>
          <w:sz w:val="20"/>
          <w:szCs w:val="20"/>
          <w:vertAlign w:val="superscript"/>
        </w:rPr>
        <w:t xml:space="preserve">[96]</w:t>
      </w:r>
      <w:r>
        <w:rPr>
          <w:b w:val="false"/>
          <w:bCs w:val="false"/>
          <w:i w:val="false"/>
          <w:iCs w:val="false"/>
          <w:sz w:val="24"/>
          <w:szCs w:val="24"/>
        </w:rPr>
        <w:t xml:space="preserve"> similarly reported external AUC of 0.72 for 1p/19q codeletion prediction versus stronger internal performance. These individual examples, now quantifiable in aggregate through the present meta-analysis, underline that robust external validation is not a desirable addition to a study's methods section: it is a prerequisite for any performance claim that is intended to inform clinical decision-making.</w:t>
      </w:r>
    </w:p>
    <w:p>
      <w:pPr>
        <w:spacing w:after="120" w:before="360"/>
      </w:pPr>
      <w:r>
        <w:rPr>
          <w:b/>
          <w:bCs/>
          <w:color w:val="1A3A5C"/>
          <w:sz w:val="28"/>
          <w:szCs w:val="28"/>
        </w:rPr>
        <w:t xml:space="preserve">5. Publication Bias and the Adjusted Performance Estimate</w:t>
      </w:r>
    </w:p>
    <w:p>
      <w:pPr>
        <w:spacing w:after="180" w:before="0" w:line="276"/>
        <w:jc w:val="both"/>
      </w:pPr>
      <w:r>
        <w:rPr>
          <w:b w:val="false"/>
          <w:bCs w:val="false"/>
          <w:i w:val="false"/>
          <w:iCs w:val="false"/>
          <w:sz w:val="24"/>
          <w:szCs w:val="24"/>
        </w:rPr>
        <w:t xml:space="preserve">Significant funnel plot asymmetry (Egger's p = 0.023), combined with an estimated 23 missing studies from trim-and-fill analysis, produces a bias-adjusted pooled accuracy of 90.3% — 6.4 percentage points below the unadjusted estimate. This is consistent with the known selective reporting dynamics of computational medicine: studies that fail to reach performance benchmarks are substantially less likely to reach peer review, and the prevalence of retrospective single-site benchmarking studies in this literature makes selective reporting especially difficult to detect through conventional means </w:t>
      </w:r>
      <w:r>
        <w:rPr>
          <w:color w:val="1F5C99"/>
          <w:sz w:val="20"/>
          <w:szCs w:val="20"/>
          <w:vertAlign w:val="superscript"/>
        </w:rPr>
        <w:t xml:space="preserve">[8,28]</w:t>
      </w:r>
      <w:r>
        <w:rPr>
          <w:b w:val="false"/>
          <w:bCs w:val="false"/>
          <w:i w:val="false"/>
          <w:iCs w:val="false"/>
          <w:sz w:val="24"/>
          <w:szCs w:val="24"/>
        </w:rPr>
        <w:t xml:space="preserve">. The 90.3% adjusted figure should be interpreted as a lower-bound approximation; it does not account for all sources of bias and may itself overestimate performance if the majority of suppressed studies showed accuracy below 80%.</w:t>
      </w:r>
    </w:p>
    <w:p>
      <w:pPr>
        <w:spacing w:after="180" w:before="0" w:line="276"/>
        <w:jc w:val="both"/>
      </w:pPr>
      <w:r>
        <w:rPr>
          <w:b w:val="false"/>
          <w:bCs w:val="false"/>
          <w:i w:val="false"/>
          <w:iCs w:val="false"/>
          <w:sz w:val="24"/>
          <w:szCs w:val="24"/>
        </w:rPr>
        <w:t xml:space="preserve">Encouragingly, two findings from this review place that adjusted estimate in a clinically appropriate frame. First, even conservative sensitivity analyses — restricting to externally validated studies or applying the trim-and-fill adjustment — still return pooled accuracy at or above 90%, which exceeds reported inter-radiologist agreement rates for brain tumour classification tasks on MRI in several studies. Muenzel et al. </w:t>
      </w:r>
      <w:r>
        <w:rPr>
          <w:color w:val="1F5C99"/>
          <w:sz w:val="20"/>
          <w:szCs w:val="20"/>
          <w:vertAlign w:val="superscript"/>
        </w:rPr>
        <w:t xml:space="preserve">[14]</w:t>
      </w:r>
      <w:r>
        <w:rPr>
          <w:b w:val="false"/>
          <w:bCs w:val="false"/>
          <w:i w:val="false"/>
          <w:iCs w:val="false"/>
          <w:sz w:val="24"/>
          <w:szCs w:val="24"/>
        </w:rPr>
        <w:t xml:space="preserve"> documented inter-observer variability in lesion measurement of 15–20% in routine settings, and Karera et al. </w:t>
      </w:r>
      <w:r>
        <w:rPr>
          <w:color w:val="1F5C99"/>
          <w:sz w:val="20"/>
          <w:szCs w:val="20"/>
          <w:vertAlign w:val="superscript"/>
        </w:rPr>
        <w:t xml:space="preserve">[13]</w:t>
      </w:r>
      <w:r>
        <w:rPr>
          <w:b w:val="false"/>
          <w:bCs w:val="false"/>
          <w:i w:val="false"/>
          <w:iCs w:val="false"/>
          <w:sz w:val="24"/>
          <w:szCs w:val="24"/>
        </w:rPr>
        <w:t xml:space="preserve"> noted that radiologist availability and expertise vary substantially across care settings globally. At 90–93%, ML-assisted classification could plausibly add diagnostic value, particularly in resource-limited environments. Second, the pooled AUC of 0.954 (95% CI: 0.940–0.967) for studies reporting receiver operating characteristic data is less susceptible to threshold-dependent optimism than accuracy, and its prediction interval (0.907–1.000) is narrower — suggesting that the discrimination capacity of these models is more consistent across settings than their absolute accuracy values imply.</w:t>
      </w:r>
    </w:p>
    <w:p>
      <w:pPr>
        <w:spacing w:after="120" w:before="360"/>
      </w:pPr>
      <w:r>
        <w:rPr>
          <w:b/>
          <w:bCs/>
          <w:color w:val="1A3A5C"/>
          <w:sz w:val="28"/>
          <w:szCs w:val="28"/>
        </w:rPr>
        <w:t xml:space="preserve">6. Absence of Temporal Improvement in Reported Performance</w:t>
      </w:r>
    </w:p>
    <w:p>
      <w:pPr>
        <w:spacing w:after="180" w:before="0" w:line="276"/>
        <w:jc w:val="both"/>
      </w:pPr>
      <w:r>
        <w:rPr>
          <w:b w:val="false"/>
          <w:bCs w:val="false"/>
          <w:i w:val="false"/>
          <w:iCs w:val="false"/>
          <w:sz w:val="24"/>
          <w:szCs w:val="24"/>
        </w:rPr>
        <w:t xml:space="preserve">One of the less expected findings from the meta-regression analysis was the absence of a statistically significant temporal trend in reported accuracy across the 2017–2025 publication period (Pearson r = 0.08, p = 0.57). On the surface, this appears counterintuitive: EfficientNet architectures, vision transformers, and graph neural networks have materially expanded the representational capacity available to researchers since 2019. Tummala et al. </w:t>
      </w:r>
      <w:r>
        <w:rPr>
          <w:color w:val="1F5C99"/>
          <w:sz w:val="20"/>
          <w:szCs w:val="20"/>
          <w:vertAlign w:val="superscript"/>
        </w:rPr>
        <w:t xml:space="preserve">[49]</w:t>
      </w:r>
      <w:r>
        <w:rPr>
          <w:b w:val="false"/>
          <w:bCs w:val="false"/>
          <w:i w:val="false"/>
          <w:iCs w:val="false"/>
          <w:sz w:val="24"/>
          <w:szCs w:val="24"/>
        </w:rPr>
        <w:t xml:space="preserve">, evaluating vision transformer ensembles in 2022, achieved 98.7%; Balamurugan et al. </w:t>
      </w:r>
      <w:r>
        <w:rPr>
          <w:color w:val="1F5C99"/>
          <w:sz w:val="20"/>
          <w:szCs w:val="20"/>
          <w:vertAlign w:val="superscript"/>
        </w:rPr>
        <w:t xml:space="preserve">[63]</w:t>
      </w:r>
      <w:r>
        <w:rPr>
          <w:b w:val="false"/>
          <w:bCs w:val="false"/>
          <w:i w:val="false"/>
          <w:iCs w:val="false"/>
          <w:sz w:val="24"/>
          <w:szCs w:val="24"/>
        </w:rPr>
        <w:t xml:space="preserve">, using ResNet101 with channel-wise attention in 2024, reported 99.83%. Yet these advances do not appear as a temporal signal in aggregate performance, because any gains in architectural sophistication are offset by two countervailing trends: the progressive shift toward more biologically complex classification tasks (molecular subtype prediction has replaced simple tumor-vs-no-tumor benchmarking in recent studies), and — paradoxically — the continuing use of the same public benchmark datasets that were already saturated above 95% accuracy by 2019.</w:t>
      </w:r>
    </w:p>
    <w:p>
      <w:pPr>
        <w:spacing w:after="180" w:before="0" w:line="276"/>
        <w:jc w:val="both"/>
      </w:pPr>
      <w:r>
        <w:rPr>
          <w:b w:val="false"/>
          <w:bCs w:val="false"/>
          <w:i w:val="false"/>
          <w:iCs w:val="false"/>
          <w:sz w:val="24"/>
          <w:szCs w:val="24"/>
        </w:rPr>
        <w:t xml:space="preserve">This saturation problem is not trivial. When multiple architectures achieve &gt;99% accuracy on the same 3,064-image Figshare dataset, marginal architectural improvements become invisible to the metric, and the apparent absence of progress accurately reflects the absence of more challenging evaluation environments rather than a genuine stagnation of algorithmic capability. The field needs harder benchmarks, not faster networks.</w:t>
      </w:r>
    </w:p>
    <w:p>
      <w:pPr>
        <w:spacing w:after="120" w:before="360"/>
      </w:pPr>
      <w:r>
        <w:rPr>
          <w:b/>
          <w:bCs/>
          <w:color w:val="1A3A5C"/>
          <w:sz w:val="28"/>
          <w:szCs w:val="28"/>
        </w:rPr>
        <w:t xml:space="preserve">7. Classification Task and Clinical Applicability</w:t>
      </w:r>
    </w:p>
    <w:p>
      <w:pPr>
        <w:spacing w:after="180" w:before="0" w:line="276"/>
        <w:jc w:val="both"/>
      </w:pPr>
      <w:r>
        <w:rPr>
          <w:b w:val="false"/>
          <w:bCs w:val="false"/>
          <w:i w:val="false"/>
          <w:iCs w:val="false"/>
          <w:sz w:val="24"/>
          <w:szCs w:val="24"/>
        </w:rPr>
        <w:t xml:space="preserve">Tumour type classification (pooled accuracy 98.0%, I</w:t>
      </w:r>
      <w:r>
        <w:rPr>
          <w:b w:val="false"/>
          <w:bCs w:val="false"/>
          <w:i w:val="false"/>
          <w:iCs w:val="false"/>
          <w:sz w:val="24"/>
          <w:szCs w:val="24"/>
          <w:vertAlign w:val="superscript"/>
        </w:rPr>
        <w:t xml:space="preserve">2</w:t>
      </w:r>
      <w:r>
        <w:rPr>
          <w:b w:val="false"/>
          <w:bCs w:val="false"/>
          <w:i w:val="false"/>
          <w:iCs w:val="false"/>
          <w:sz w:val="24"/>
          <w:szCs w:val="24"/>
        </w:rPr>
        <w:t xml:space="preserve"> = 98.4%) and binary classification tasks (95.2%, I</w:t>
      </w:r>
      <w:r>
        <w:rPr>
          <w:b w:val="false"/>
          <w:bCs w:val="false"/>
          <w:i w:val="false"/>
          <w:iCs w:val="false"/>
          <w:sz w:val="24"/>
          <w:szCs w:val="24"/>
          <w:vertAlign w:val="superscript"/>
        </w:rPr>
        <w:t xml:space="preserve">2</w:t>
      </w:r>
      <w:r>
        <w:rPr>
          <w:b w:val="false"/>
          <w:bCs w:val="false"/>
          <w:i w:val="false"/>
          <w:iCs w:val="false"/>
          <w:sz w:val="24"/>
          <w:szCs w:val="24"/>
        </w:rPr>
        <w:t xml:space="preserve"> = 85.4%) consistently outperformed glioma grading tasks (94.3%, I</w:t>
      </w:r>
      <w:r>
        <w:rPr>
          <w:b w:val="false"/>
          <w:bCs w:val="false"/>
          <w:i w:val="false"/>
          <w:iCs w:val="false"/>
          <w:sz w:val="24"/>
          <w:szCs w:val="24"/>
          <w:vertAlign w:val="superscript"/>
        </w:rPr>
        <w:t xml:space="preserve">2</w:t>
      </w:r>
      <w:r>
        <w:rPr>
          <w:b w:val="false"/>
          <w:bCs w:val="false"/>
          <w:i w:val="false"/>
          <w:iCs w:val="false"/>
          <w:sz w:val="24"/>
          <w:szCs w:val="24"/>
        </w:rPr>
        <w:t xml:space="preserve"> = 87.3%). This task-dependent gradient reflects both the complexity of the underlying biological problem and the quality of the ground truth. Glioma grading under the WHO 2021 framework requires integration of morphological and molecular data </w:t>
      </w:r>
      <w:r>
        <w:rPr>
          <w:color w:val="1F5C99"/>
          <w:sz w:val="20"/>
          <w:szCs w:val="20"/>
          <w:vertAlign w:val="superscript"/>
        </w:rPr>
        <w:t xml:space="preserve">[3,19]</w:t>
      </w:r>
      <w:r>
        <w:rPr>
          <w:b w:val="false"/>
          <w:bCs w:val="false"/>
          <w:i w:val="false"/>
          <w:iCs w:val="false"/>
          <w:sz w:val="24"/>
          <w:szCs w:val="24"/>
        </w:rPr>
        <w:t xml:space="preserve">; an imaging-only model is therefore attempting to predict a composite biomarker rather than a visual phenotype, and performance decrements relative to simpler classification benchmarks are expected. Cluceru et al. </w:t>
      </w:r>
      <w:r>
        <w:rPr>
          <w:color w:val="1F5C99"/>
          <w:sz w:val="20"/>
          <w:szCs w:val="20"/>
          <w:vertAlign w:val="superscript"/>
        </w:rPr>
        <w:t xml:space="preserve">[61]</w:t>
      </w:r>
      <w:r>
        <w:rPr>
          <w:b w:val="false"/>
          <w:bCs w:val="false"/>
          <w:i w:val="false"/>
          <w:iCs w:val="false"/>
          <w:sz w:val="24"/>
          <w:szCs w:val="24"/>
        </w:rPr>
        <w:t xml:space="preserve"> found that a 3-class IDH/1p19q molecular classification CNN trained with diffusion-weighted ADC sequences achieved 85.7% accuracy on an external TCGA/BraTS cohort — substantially below same-team internal estimates and below the headline accuracy of any benchmark study in this review. The gap between what is achievable on annotated public datasets and what is achievable when predicting WHO 2021 molecular classification from standard clinical MRI is likely to be the defining challenge for the next decade of neuro-oncological AI development.</w:t>
      </w:r>
    </w:p>
    <w:p>
      <w:pPr>
        <w:spacing w:after="180" w:before="0" w:line="276"/>
        <w:jc w:val="both"/>
      </w:pPr>
      <w:r>
        <w:rPr>
          <w:b w:val="false"/>
          <w:bCs w:val="false"/>
          <w:i w:val="false"/>
          <w:iCs w:val="false"/>
          <w:sz w:val="24"/>
          <w:szCs w:val="24"/>
        </w:rPr>
        <w:t xml:space="preserve">Molecular characterisation tasks — IDH mutation, 1p/19q codeletion, MGMT methylation — were addressed in a minority of included studies (k = 9 for accuracy pooling), limiting statistical power for subgroup analysis. The available data, however, show consistently lower performance than morphological classification tasks, with AUCs for 1p/19q prediction hovering around 0.72–0.85 in external cohorts </w:t>
      </w:r>
      <w:r>
        <w:rPr>
          <w:color w:val="1F5C99"/>
          <w:sz w:val="20"/>
          <w:szCs w:val="20"/>
          <w:vertAlign w:val="superscript"/>
        </w:rPr>
        <w:t xml:space="preserve">[61,96]</w:t>
      </w:r>
      <w:r>
        <w:rPr>
          <w:b w:val="false"/>
          <w:bCs w:val="false"/>
          <w:i w:val="false"/>
          <w:iCs w:val="false"/>
          <w:sz w:val="24"/>
          <w:szCs w:val="24"/>
        </w:rPr>
        <w:t xml:space="preserve">. This is particularly relevant given that these molecular markers now determine treatment eligibility — distinguishing oligodendroglioma from astrocytoma has direct therapeutic consequences under both WHO 2021 </w:t>
      </w:r>
      <w:r>
        <w:rPr>
          <w:color w:val="1F5C99"/>
          <w:sz w:val="20"/>
          <w:szCs w:val="20"/>
          <w:vertAlign w:val="superscript"/>
        </w:rPr>
        <w:t xml:space="preserve">[3]</w:t>
      </w:r>
      <w:r>
        <w:rPr>
          <w:b w:val="false"/>
          <w:bCs w:val="false"/>
          <w:i w:val="false"/>
          <w:iCs w:val="false"/>
          <w:sz w:val="24"/>
          <w:szCs w:val="24"/>
        </w:rPr>
        <w:t xml:space="preserve"> and current ESMO/ASCO chemotherapy guidelines. Models performing at AUC 0.72–0.85 for these tasks fall short of the performance thresholds that would justify replacing tissue-based molecular diagnosis, though they may have a role in pre-surgical risk stratification and in guiding biopsy targeting.</w:t>
      </w:r>
    </w:p>
    <w:p>
      <w:pPr>
        <w:spacing w:after="120" w:before="360"/>
      </w:pPr>
      <w:r>
        <w:rPr>
          <w:b/>
          <w:bCs/>
          <w:color w:val="1A3A5C"/>
          <w:sz w:val="28"/>
          <w:szCs w:val="28"/>
        </w:rPr>
        <w:t xml:space="preserve">8. Explainability, Clinical Integration, and Human-AI Collaboration</w:t>
      </w:r>
    </w:p>
    <w:p>
      <w:pPr>
        <w:spacing w:after="180" w:before="0" w:line="276"/>
        <w:jc w:val="both"/>
      </w:pPr>
      <w:r>
        <w:rPr>
          <w:b w:val="false"/>
          <w:bCs w:val="false"/>
          <w:i w:val="false"/>
          <w:iCs w:val="false"/>
          <w:sz w:val="24"/>
          <w:szCs w:val="24"/>
        </w:rPr>
        <w:t xml:space="preserve">Several studies in this review incorporated explainable AI (XAI) methodologies — saliency maps, LIME, SHAP, and SmoothGrad — alongside their classification models </w:t>
      </w:r>
      <w:r>
        <w:rPr>
          <w:color w:val="1F5C99"/>
          <w:sz w:val="20"/>
          <w:szCs w:val="20"/>
          <w:vertAlign w:val="superscript"/>
        </w:rPr>
        <w:t xml:space="preserve">[72,82,83,88]</w:t>
      </w:r>
      <w:r>
        <w:rPr>
          <w:b w:val="false"/>
          <w:bCs w:val="false"/>
          <w:i w:val="false"/>
          <w:iCs w:val="false"/>
          <w:sz w:val="24"/>
          <w:szCs w:val="24"/>
        </w:rPr>
        <w:t xml:space="preserve">. Jin et al. </w:t>
      </w:r>
      <w:r>
        <w:rPr>
          <w:color w:val="1F5C99"/>
          <w:sz w:val="20"/>
          <w:szCs w:val="20"/>
          <w:vertAlign w:val="superscript"/>
        </w:rPr>
        <w:t xml:space="preserve">[85]</w:t>
      </w:r>
      <w:r>
        <w:rPr>
          <w:b w:val="false"/>
          <w:bCs w:val="false"/>
          <w:i w:val="false"/>
          <w:iCs w:val="false"/>
          <w:sz w:val="24"/>
          <w:szCs w:val="24"/>
        </w:rPr>
        <w:t xml:space="preserve">, in a Phase II clinical evaluation study, assessed whether AI assistance — with and without SmoothGrad explanations — improved neurosurgeon glioma grading accuracy across 35 participants and 25 MRI cases per participant. AI-assisted interpretation improved physician accuracy from a baseline of approximately 80% to 87.7%; the addition of gradient-based explanations did not produce further gains. This finding is consistent with evidence from other radiology AI contexts suggesting that clinicians adapt their cognitive integration of AI output based on perceived reliability, and that visual saliency maps may provide limited additional signal when the classification itself is already informative </w:t>
      </w:r>
      <w:r>
        <w:rPr>
          <w:color w:val="1F5C99"/>
          <w:sz w:val="20"/>
          <w:szCs w:val="20"/>
          <w:vertAlign w:val="superscript"/>
        </w:rPr>
        <w:t xml:space="preserve">[8,28]</w:t>
      </w:r>
      <w:r>
        <w:rPr>
          <w:b w:val="false"/>
          <w:bCs w:val="false"/>
          <w:i w:val="false"/>
          <w:iCs w:val="false"/>
          <w:sz w:val="24"/>
          <w:szCs w:val="24"/>
        </w:rPr>
        <w:t xml:space="preserve">.</w:t>
      </w:r>
    </w:p>
    <w:p>
      <w:pPr>
        <w:spacing w:after="180" w:before="0" w:line="276"/>
        <w:jc w:val="both"/>
      </w:pPr>
      <w:r>
        <w:rPr>
          <w:b w:val="false"/>
          <w:bCs w:val="false"/>
          <w:i w:val="false"/>
          <w:iCs w:val="false"/>
          <w:sz w:val="24"/>
          <w:szCs w:val="24"/>
        </w:rPr>
        <w:t xml:space="preserve">The practical implication is that the most defensible near-term deployment model for ML in neuro-oncological imaging is decision support rather than decision replacement. Khalighi et al. </w:t>
      </w:r>
      <w:r>
        <w:rPr>
          <w:color w:val="1F5C99"/>
          <w:sz w:val="20"/>
          <w:szCs w:val="20"/>
          <w:vertAlign w:val="superscript"/>
        </w:rPr>
        <w:t xml:space="preserve">[8]</w:t>
      </w:r>
      <w:r>
        <w:rPr>
          <w:b w:val="false"/>
          <w:bCs w:val="false"/>
          <w:i w:val="false"/>
          <w:iCs w:val="false"/>
          <w:sz w:val="24"/>
          <w:szCs w:val="24"/>
        </w:rPr>
        <w:t xml:space="preserve"> have articulated this as a 'human-in-the-loop' paradigm in which AI flags cases exceeding a confidence threshold, routes ambiguous cases to specialist review, and provides quantitative imaging biomarkers to supplement — not substitute — radiologist and neuropathologist assessment. Pinto-Coelho </w:t>
      </w:r>
      <w:r>
        <w:rPr>
          <w:color w:val="1F5C99"/>
          <w:sz w:val="20"/>
          <w:szCs w:val="20"/>
          <w:vertAlign w:val="superscript"/>
        </w:rPr>
        <w:t xml:space="preserve">[22]</w:t>
      </w:r>
      <w:r>
        <w:rPr>
          <w:b w:val="false"/>
          <w:bCs w:val="false"/>
          <w:i w:val="false"/>
          <w:iCs w:val="false"/>
          <w:sz w:val="24"/>
          <w:szCs w:val="24"/>
        </w:rPr>
        <w:t xml:space="preserve"> reached a similar conclusion across a broader survey of AI in medical imaging: the incremental clinical value of AI systems is greatest when they extend access to specialist-level analysis in low-resource settings, rather than when deployed as stand-alone diagnostics in tertiary centres already operating at high accuracy.</w:t>
      </w:r>
    </w:p>
    <w:p>
      <w:pPr>
        <w:spacing w:after="120" w:before="360"/>
      </w:pPr>
      <w:r>
        <w:rPr>
          <w:b/>
          <w:bCs/>
          <w:color w:val="1A3A5C"/>
          <w:sz w:val="28"/>
          <w:szCs w:val="28"/>
        </w:rPr>
        <w:t xml:space="preserve">9. Methodological Limitations of the Reviewed Literature</w:t>
      </w:r>
    </w:p>
    <w:p>
      <w:pPr>
        <w:spacing w:after="180" w:before="0" w:line="276"/>
        <w:jc w:val="both"/>
      </w:pPr>
      <w:r>
        <w:rPr>
          <w:b w:val="false"/>
          <w:bCs w:val="false"/>
          <w:i w:val="false"/>
          <w:iCs w:val="false"/>
          <w:sz w:val="24"/>
          <w:szCs w:val="24"/>
        </w:rPr>
        <w:t xml:space="preserve">The QUADAS-2 assessment revealed moderate to high risk of bias across most included studies, predominantly driven by inadequate reporting of patient selection criteria, absence of prospectively defined index test thresholds, and reliance on histopathological reference standards that were not always blind to imaging data </w:t>
      </w:r>
      <w:r>
        <w:rPr>
          <w:color w:val="1F5C99"/>
          <w:sz w:val="20"/>
          <w:szCs w:val="20"/>
          <w:vertAlign w:val="superscript"/>
        </w:rPr>
        <w:t xml:space="preserve">[34]</w:t>
      </w:r>
      <w:r>
        <w:rPr>
          <w:b w:val="false"/>
          <w:bCs w:val="false"/>
          <w:i w:val="false"/>
          <w:iCs w:val="false"/>
          <w:sz w:val="24"/>
          <w:szCs w:val="24"/>
        </w:rPr>
        <w:t xml:space="preserve">. Patient selection bias deserves particular attention: studies using publicly available datasets with unstated demographic composition — including the widespread Kaggle and Figshare repositories — cannot report selection bias because they do not have access to the information needed to assess it. This is a structural limitation of the dependency on public repositories, not merely a reporting failure by individual authors.</w:t>
      </w:r>
    </w:p>
    <w:p>
      <w:pPr>
        <w:spacing w:after="180" w:before="0" w:line="276"/>
        <w:jc w:val="both"/>
      </w:pPr>
      <w:r>
        <w:rPr>
          <w:b w:val="false"/>
          <w:bCs w:val="false"/>
          <w:i w:val="false"/>
          <w:iCs w:val="false"/>
          <w:sz w:val="24"/>
          <w:szCs w:val="24"/>
        </w:rPr>
        <w:t xml:space="preserve">Three additional methodological concerns were consistent across studies. First, class imbalance — with glioma, meningioma, and pituitary tumour categories frequently unequal in size — was handled inconsistently, with some studies applying SMOTE augmentation </w:t>
      </w:r>
      <w:r>
        <w:rPr>
          <w:color w:val="1F5C99"/>
          <w:sz w:val="20"/>
          <w:szCs w:val="20"/>
          <w:vertAlign w:val="superscript"/>
        </w:rPr>
        <w:t xml:space="preserve">[71]</w:t>
      </w:r>
      <w:r>
        <w:rPr>
          <w:b w:val="false"/>
          <w:bCs w:val="false"/>
          <w:i w:val="false"/>
          <w:iCs w:val="false"/>
          <w:sz w:val="24"/>
          <w:szCs w:val="24"/>
        </w:rPr>
        <w:t xml:space="preserve">, others using GAN-based oversampling </w:t>
      </w:r>
      <w:r>
        <w:rPr>
          <w:color w:val="1F5C99"/>
          <w:sz w:val="20"/>
          <w:szCs w:val="20"/>
          <w:vertAlign w:val="superscript"/>
        </w:rPr>
        <w:t xml:space="preserve">[87,88]</w:t>
      </w:r>
      <w:r>
        <w:rPr>
          <w:b w:val="false"/>
          <w:bCs w:val="false"/>
          <w:i w:val="false"/>
          <w:iCs w:val="false"/>
          <w:sz w:val="24"/>
          <w:szCs w:val="24"/>
        </w:rPr>
        <w:t xml:space="preserve">, and many applying no correction at all. Accuracy metrics computed on imbalanced test sets systematically overestimate performance for the majority class; studies reporting only accuracy without sensitivity, specificity, or macro-averaged F1 scores should be interpreted with corresponding caution. Second, preprocessing heterogeneity — differences in MRI normalisation, skull-stripping, registration, and slice selection — introduces an underappreciated source of performance variance that is independent of architecture. Ubaldi et al. </w:t>
      </w:r>
      <w:r>
        <w:rPr>
          <w:color w:val="1F5C99"/>
          <w:sz w:val="20"/>
          <w:szCs w:val="20"/>
          <w:vertAlign w:val="superscript"/>
        </w:rPr>
        <w:t xml:space="preserve">[91]</w:t>
      </w:r>
      <w:r>
        <w:rPr>
          <w:b w:val="false"/>
          <w:bCs w:val="false"/>
          <w:i w:val="false"/>
          <w:iCs w:val="false"/>
          <w:sz w:val="24"/>
          <w:szCs w:val="24"/>
        </w:rPr>
        <w:t xml:space="preserve"> demonstrated directly that proper image normalisation and discretisation improved radiomic model AUC from 0.84 to 0.93 on the same dataset, suggesting that preprocessing choices alone can account for performance differences larger than the reported AUC gap between model categories in this review. Third, confidence intervals were reported by a minority of studies, making it difficult to distinguish genuine between-study performance differences from within-study estimation noise.</w:t>
      </w:r>
    </w:p>
    <w:p>
      <w:pPr>
        <w:spacing w:after="120" w:before="360"/>
      </w:pPr>
      <w:r>
        <w:rPr>
          <w:b/>
          <w:bCs/>
          <w:color w:val="1A3A5C"/>
          <w:sz w:val="28"/>
          <w:szCs w:val="28"/>
        </w:rPr>
        <w:t xml:space="preserve">10. Strengths and Limitations of This Meta-Analysis</w:t>
      </w:r>
    </w:p>
    <w:p>
      <w:pPr>
        <w:spacing w:after="180" w:before="0" w:line="276"/>
        <w:jc w:val="both"/>
      </w:pPr>
      <w:r>
        <w:rPr>
          <w:b w:val="false"/>
          <w:bCs w:val="false"/>
          <w:i w:val="false"/>
          <w:iCs w:val="false"/>
          <w:sz w:val="24"/>
          <w:szCs w:val="24"/>
        </w:rPr>
        <w:t xml:space="preserve">This is the first meta-analysis to apply formal DerSimonian-Laird random-effects pooling to the diagnostic accuracy literature for ML-based brain tumour classification, generating the first quantitative estimates of pooled accuracy, AUC, between-study heterogeneity, and publication bias in this domain. The stratified subgroup analyses by model category, dataset source, classification task, and validation strategy provide actionable evidence that prior qualitative reviews — including those by Khalighi et al. </w:t>
      </w:r>
      <w:r>
        <w:rPr>
          <w:color w:val="1F5C99"/>
          <w:sz w:val="20"/>
          <w:szCs w:val="20"/>
          <w:vertAlign w:val="superscript"/>
        </w:rPr>
        <w:t xml:space="preserve">[8]</w:t>
      </w:r>
      <w:r>
        <w:rPr>
          <w:b w:val="false"/>
          <w:bCs w:val="false"/>
          <w:i w:val="false"/>
          <w:iCs w:val="false"/>
          <w:sz w:val="24"/>
          <w:szCs w:val="24"/>
        </w:rPr>
        <w:t xml:space="preserve">, Cè et al. </w:t>
      </w:r>
      <w:r>
        <w:rPr>
          <w:color w:val="1F5C99"/>
          <w:sz w:val="20"/>
          <w:szCs w:val="20"/>
          <w:vertAlign w:val="superscript"/>
        </w:rPr>
        <w:t xml:space="preserve">[28]</w:t>
      </w:r>
      <w:r>
        <w:rPr>
          <w:b w:val="false"/>
          <w:bCs w:val="false"/>
          <w:i w:val="false"/>
          <w:iCs w:val="false"/>
          <w:sz w:val="24"/>
          <w:szCs w:val="24"/>
        </w:rPr>
        <w:t xml:space="preserve">, and Musthafa et al. </w:t>
      </w:r>
      <w:r>
        <w:rPr>
          <w:color w:val="1F5C99"/>
          <w:sz w:val="20"/>
          <w:szCs w:val="20"/>
          <w:vertAlign w:val="superscript"/>
        </w:rPr>
        <w:t xml:space="preserve">[7]</w:t>
      </w:r>
      <w:r>
        <w:rPr>
          <w:b w:val="false"/>
          <w:bCs w:val="false"/>
          <w:i w:val="false"/>
          <w:iCs w:val="false"/>
          <w:sz w:val="24"/>
          <w:szCs w:val="24"/>
        </w:rPr>
        <w:t xml:space="preserve"> — could not. The leave-one-out analysis demonstrated that pooled estimates are not driven by outliers; the trim-and-fill correction provides a bias-conservative lower bound for planning purposes.</w:t>
      </w:r>
    </w:p>
    <w:p>
      <w:pPr>
        <w:spacing w:after="180" w:before="0" w:line="276"/>
        <w:jc w:val="both"/>
      </w:pPr>
      <w:r>
        <w:rPr>
          <w:b w:val="false"/>
          <w:bCs w:val="false"/>
          <w:i w:val="false"/>
          <w:iCs w:val="false"/>
          <w:sz w:val="24"/>
          <w:szCs w:val="24"/>
        </w:rPr>
        <w:t xml:space="preserve">Several limitations must be acknowledged. Within-study variance estimates for accuracy pooling depended on sample size imputation for 19 studies (37%) that did not report n, using the cohort median of 284 as a conservative substitute; studies with unreported — and potentially very small — samples may carry more estimation uncertainty than this imputation reflects. The SROC analysis is an approximation derived from the binormal model parameterised at the pooled AUC rather than from individual sensitivity/specificity pairs, as fewer than 20 studies reported the full two-by-two contingency data required for a formal Reitsma bivariate model. Molecular classification tasks were too sparsely represented to support stable subgroup meta-regression, and the transformer/GCN subgroup (k = 3 for accuracy) remained below the minimum threshold for reliable pooled estimation. Finally, the reference citation numbering used throughout this review follows the sequential ordering in the original systematic review manuscript; readers should cross-reference the full reference list accordingly.</w:t>
      </w:r>
    </w:p>
    <w:p>
      <w:pPr>
        <w:spacing w:after="120" w:before="360"/>
      </w:pPr>
      <w:r>
        <w:rPr>
          <w:b/>
          <w:bCs/>
          <w:color w:val="1A3A5C"/>
          <w:sz w:val="28"/>
          <w:szCs w:val="28"/>
        </w:rPr>
        <w:t xml:space="preserve">11. Priorities for Future Research</w:t>
      </w:r>
    </w:p>
    <w:p>
      <w:pPr>
        <w:spacing w:after="180" w:before="0" w:line="276"/>
        <w:jc w:val="both"/>
      </w:pPr>
      <w:r>
        <w:rPr>
          <w:b w:val="false"/>
          <w:bCs w:val="false"/>
          <w:i w:val="false"/>
          <w:iCs w:val="false"/>
          <w:sz w:val="24"/>
          <w:szCs w:val="24"/>
        </w:rPr>
        <w:t xml:space="preserve">Three directions follow directly from the meta-analytic evidence. First, the field needs prospective multicentre validation studies — not more retrospective benchmark comparisons. The 4.6 percentage point accuracy penalty for external validation demonstrates unambiguously that real-world performance cannot be reliably predicted from internal benchmark results; studies that do not incorporate independent validation cohorts should be considered hypothesis-generating rather than evidence-generating. The TRIPOD+AI reporting guideline </w:t>
      </w:r>
      <w:r>
        <w:rPr>
          <w:color w:val="1F5C99"/>
          <w:sz w:val="20"/>
          <w:szCs w:val="20"/>
          <w:vertAlign w:val="superscript"/>
        </w:rPr>
        <w:t xml:space="preserve">[30]</w:t>
      </w:r>
      <w:r>
        <w:rPr>
          <w:b w:val="false"/>
          <w:bCs w:val="false"/>
          <w:i w:val="false"/>
          <w:iCs w:val="false"/>
          <w:sz w:val="24"/>
          <w:szCs w:val="24"/>
        </w:rPr>
        <w:t xml:space="preserve"> and the proposed CLAIM checklist provide minimum standards that journals should mandate before peer review of ML diagnostic studies.</w:t>
      </w:r>
    </w:p>
    <w:p>
      <w:pPr>
        <w:spacing w:after="180" w:before="0" w:line="276"/>
        <w:jc w:val="both"/>
      </w:pPr>
      <w:r>
        <w:rPr>
          <w:b w:val="false"/>
          <w:bCs w:val="false"/>
          <w:i w:val="false"/>
          <w:iCs w:val="false"/>
          <w:sz w:val="24"/>
          <w:szCs w:val="24"/>
        </w:rPr>
        <w:t xml:space="preserve">Second, the plateau in reported accuracy since 2017 on public benchmark datasets indicates that more discriminating evaluation environments are needed. Benchmark datasets incorporating WHO 2021 molecular subtypes, multi-scanner acquisitions, post-treatment imaging, and paediatric tumour spectra would test model capabilities that the current Figshare/Kaggle/BraTS ecosystem cannot. The Cancer Imaging Archive </w:t>
      </w:r>
      <w:r>
        <w:rPr>
          <w:color w:val="1F5C99"/>
          <w:sz w:val="20"/>
          <w:szCs w:val="20"/>
          <w:vertAlign w:val="superscript"/>
        </w:rPr>
        <w:t xml:space="preserve">[35,61]</w:t>
      </w:r>
      <w:r>
        <w:rPr>
          <w:b w:val="false"/>
          <w:bCs w:val="false"/>
          <w:i w:val="false"/>
          <w:iCs w:val="false"/>
          <w:sz w:val="24"/>
          <w:szCs w:val="24"/>
        </w:rPr>
        <w:t xml:space="preserve"> and TCGA-associated imaging collections offer richer clinical annotations, but their use remains proportionally low (19 of 62 studies in this review used clinical institutional data). TCIA-linked prospective imaging biobank development — analogous to the UK Biobank for neurological disease — represents the infrastructure investment most likely to advance the field.</w:t>
      </w:r>
    </w:p>
    <w:p>
      <w:pPr>
        <w:spacing w:after="180" w:before="0" w:line="276"/>
        <w:jc w:val="both"/>
      </w:pPr>
      <w:r>
        <w:rPr>
          <w:b w:val="false"/>
          <w:bCs w:val="false"/>
          <w:i w:val="false"/>
          <w:iCs w:val="false"/>
          <w:sz w:val="24"/>
          <w:szCs w:val="24"/>
        </w:rPr>
        <w:t xml:space="preserve">Third, the interpretability evidence reviewed here — particularly the Jin et al. </w:t>
      </w:r>
      <w:r>
        <w:rPr>
          <w:color w:val="1F5C99"/>
          <w:sz w:val="20"/>
          <w:szCs w:val="20"/>
          <w:vertAlign w:val="superscript"/>
        </w:rPr>
        <w:t xml:space="preserve">[85]</w:t>
      </w:r>
      <w:r>
        <w:rPr>
          <w:b w:val="false"/>
          <w:bCs w:val="false"/>
          <w:i w:val="false"/>
          <w:iCs w:val="false"/>
          <w:sz w:val="24"/>
          <w:szCs w:val="24"/>
        </w:rPr>
        <w:t xml:space="preserve"> Phase II clinical study — suggests that human-AI interface design deserves at least as much methodological attention as architectural development. A model achieving AUC 0.97 that neurosurgeons do not trust or integrate appropriately contributes nothing to patient outcomes. Prospective evaluation of AI decision-support tools using patient-level endpoints — not just AUC on held-out imaging datasets — is the standard that the field must ultimately meet. The present meta-analysis establishes the quantitative baseline against which those prospective evaluations should be measured.</w:t>
      </w:r>
    </w:p>
    <w:p>
      <w:pPr>
        <w:spacing w:after="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2026-04-23T20:50:28.528Z</dcterms:created>
  <dcterms:modified xsi:type="dcterms:W3CDTF">2026-04-23T20:50:28.529Z</dcterms:modified>
</cp:coreProperties>
</file>

<file path=docProps/custom.xml><?xml version="1.0" encoding="utf-8"?>
<Properties xmlns="http://schemas.openxmlformats.org/officeDocument/2006/custom-properties" xmlns:vt="http://schemas.openxmlformats.org/officeDocument/2006/docPropsVTypes"/>
</file>