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A15AB" w14:textId="77777777" w:rsidR="00F5773D" w:rsidRDefault="00B227C8">
      <w:pPr>
        <w:pBdr>
          <w:bottom w:val="single" w:sz="8" w:space="8" w:color="1F5C99"/>
        </w:pBdr>
        <w:spacing w:after="160"/>
        <w:jc w:val="center"/>
      </w:pPr>
      <w:r>
        <w:rPr>
          <w:b/>
          <w:bCs/>
          <w:color w:val="1A3A5C"/>
          <w:sz w:val="40"/>
          <w:szCs w:val="40"/>
        </w:rPr>
        <w:t>Meta-Analysis Results</w:t>
      </w:r>
    </w:p>
    <w:p w14:paraId="44DE41EC" w14:textId="77777777" w:rsidR="00F5773D" w:rsidRDefault="00B227C8">
      <w:pPr>
        <w:spacing w:before="60" w:after="60"/>
        <w:jc w:val="center"/>
      </w:pPr>
      <w:r>
        <w:rPr>
          <w:b/>
          <w:bCs/>
          <w:color w:val="1F5C99"/>
          <w:sz w:val="26"/>
          <w:szCs w:val="26"/>
        </w:rPr>
        <w:t>Diagnostic Accuracy of Machine Learning Algorithms in Brain Tumor Classification</w:t>
      </w:r>
    </w:p>
    <w:p w14:paraId="1D93DDDE" w14:textId="77777777" w:rsidR="00F5773D" w:rsidRDefault="00B227C8">
      <w:pPr>
        <w:spacing w:before="60" w:after="400"/>
        <w:jc w:val="center"/>
      </w:pPr>
      <w:r>
        <w:rPr>
          <w:i/>
          <w:iCs/>
          <w:color w:val="888888"/>
          <w:sz w:val="20"/>
          <w:szCs w:val="20"/>
        </w:rPr>
        <w:t>A Systematic Review and Meta-</w:t>
      </w:r>
      <w:proofErr w:type="gramStart"/>
      <w:r>
        <w:rPr>
          <w:i/>
          <w:iCs/>
          <w:color w:val="888888"/>
          <w:sz w:val="20"/>
          <w:szCs w:val="20"/>
        </w:rPr>
        <w:t>Analysis  |</w:t>
      </w:r>
      <w:proofErr w:type="gramEnd"/>
      <w:r>
        <w:rPr>
          <w:i/>
          <w:iCs/>
          <w:color w:val="888888"/>
          <w:sz w:val="20"/>
          <w:szCs w:val="20"/>
        </w:rPr>
        <w:t xml:space="preserve">  Yaqinuddin Laboratory, Alfaisal University</w:t>
      </w:r>
    </w:p>
    <w:p w14:paraId="4CB34D0A" w14:textId="77777777" w:rsidR="00F5773D" w:rsidRDefault="00B227C8">
      <w:pPr>
        <w:pStyle w:val="Heading1"/>
      </w:pPr>
      <w:r>
        <w:t>1. Study Characteristics and Quantitative Synthesis Overview</w:t>
      </w:r>
    </w:p>
    <w:p w14:paraId="159F45BD" w14:textId="77777777" w:rsidR="00F5773D" w:rsidRDefault="00B227C8">
      <w:pPr>
        <w:spacing w:before="80" w:after="80"/>
        <w:jc w:val="both"/>
      </w:pPr>
      <w:r>
        <w:rPr>
          <w:b/>
          <w:bCs/>
        </w:rPr>
        <w:t xml:space="preserve">Study Corpus. </w:t>
      </w:r>
      <w:r>
        <w:t xml:space="preserve">Sixty-two primary studies were included in the systematic review, of which 51 reported sufficient accuracy data and 17 reported AUC values suitable for quantitative meta-analysis using </w:t>
      </w:r>
      <w:proofErr w:type="spellStart"/>
      <w:r>
        <w:t>DerSimonian</w:t>
      </w:r>
      <w:proofErr w:type="spellEnd"/>
      <w:r>
        <w:t>-Laird (DSL) random-effects pooling. The remaining studies were retained in qualitative synthesis. Of the 51 accuracy-reporting studies, 22 employed convolutional neural network (CNN)-based architectures, 10 used transfer learning approaches, 10 ensemble or hybrid methods, 9 radiomics-based classical machine learni</w:t>
      </w:r>
      <w:r>
        <w:t xml:space="preserve">ng pipelines, and 3 </w:t>
      </w:r>
      <w:proofErr w:type="gramStart"/>
      <w:r>
        <w:t>transformer</w:t>
      </w:r>
      <w:proofErr w:type="gramEnd"/>
      <w:r>
        <w:t xml:space="preserve"> or graph-based architectures. Thirty-two studies used exclusively public benchmark datasets (</w:t>
      </w:r>
      <w:proofErr w:type="spellStart"/>
      <w:r>
        <w:t>Figshare</w:t>
      </w:r>
      <w:proofErr w:type="spellEnd"/>
      <w:r>
        <w:t xml:space="preserve">, Kaggle, </w:t>
      </w:r>
      <w:proofErr w:type="spellStart"/>
      <w:r>
        <w:t>BraTS</w:t>
      </w:r>
      <w:proofErr w:type="spellEnd"/>
      <w:r>
        <w:t>), whereas 19 used institutional clinical datasets. Seven studies (13.7%) incorporated external independent validation cohorts.</w:t>
      </w:r>
    </w:p>
    <w:p w14:paraId="1A43139E" w14:textId="77777777" w:rsidR="00F5773D" w:rsidRDefault="00F5773D">
      <w:pPr>
        <w:spacing w:after="120"/>
      </w:pPr>
    </w:p>
    <w:p w14:paraId="1A545178" w14:textId="77777777" w:rsidR="00F5773D" w:rsidRDefault="00B227C8">
      <w:pPr>
        <w:pStyle w:val="Heading1"/>
      </w:pPr>
      <w:r>
        <w:t>2. Overall Pooled Diagnostic Accuracy</w:t>
      </w:r>
    </w:p>
    <w:p w14:paraId="2FC61D7F" w14:textId="77777777" w:rsidR="00F5773D" w:rsidRDefault="00B227C8">
      <w:pPr>
        <w:spacing w:before="80" w:after="80"/>
        <w:jc w:val="both"/>
      </w:pPr>
      <w:r>
        <w:rPr>
          <w:b/>
          <w:bCs/>
        </w:rPr>
        <w:t xml:space="preserve">Pooled Estimate. </w:t>
      </w:r>
      <w:r>
        <w:t xml:space="preserve">Across 51 studies (k = 51), the overall pooled diagnostic accuracy under the </w:t>
      </w:r>
      <w:proofErr w:type="spellStart"/>
      <w:r>
        <w:t>DerSimonian</w:t>
      </w:r>
      <w:proofErr w:type="spellEnd"/>
      <w:r>
        <w:t xml:space="preserve">-Laird random-effects model was </w:t>
      </w:r>
      <w:r>
        <w:rPr>
          <w:b/>
          <w:bCs/>
        </w:rPr>
        <w:t>96.7% (95% CI: 95.4–97.7%)</w:t>
      </w:r>
      <w:r>
        <w:t xml:space="preserve">. The 95% prediction interval, which estimates the expected range of true effect sizes in a new study drawn from the same population, was substantially wider at </w:t>
      </w:r>
      <w:r>
        <w:rPr>
          <w:b/>
          <w:bCs/>
        </w:rPr>
        <w:t>71.4–99.7%</w:t>
      </w:r>
      <w:r>
        <w:t xml:space="preserve">, reflecting the considerable between-study heterogeneity. The Cochran Q statistic was 1799.84 (p &lt; 0.0001), and the I² statistic was </w:t>
      </w:r>
      <w:r>
        <w:rPr>
          <w:b/>
          <w:bCs/>
        </w:rPr>
        <w:t>97.2%</w:t>
      </w:r>
      <w:r>
        <w:t>, indicating that the vast majority of variance in repor</w:t>
      </w:r>
      <w:r>
        <w:t>ted accuracy is attributable to between-study heterogeneity rather than within-study sampling error. The between-study variance parameter τ² was 1.479.</w:t>
      </w:r>
    </w:p>
    <w:p w14:paraId="5E664DC1" w14:textId="77777777" w:rsidR="00F5773D" w:rsidRDefault="00F5773D">
      <w:pPr>
        <w:spacing w:after="100"/>
      </w:pPr>
    </w:p>
    <w:p w14:paraId="15C1BCEF" w14:textId="77777777" w:rsidR="00F5773D" w:rsidRDefault="00B227C8">
      <w:pPr>
        <w:spacing w:before="80" w:after="80"/>
        <w:jc w:val="both"/>
      </w:pPr>
      <w:r>
        <w:t xml:space="preserve">The wide prediction interval (71.4–99.7%) is of critical clinical significance: although the </w:t>
      </w:r>
      <w:r>
        <w:rPr>
          <w:i/>
          <w:iCs/>
        </w:rPr>
        <w:t>pooled</w:t>
      </w:r>
      <w:r>
        <w:t xml:space="preserve"> accuracy estimate is high, a future study could plausibly report accuracy as low as 71.4% under real-world conditions, underscoring that the headline figures are substantially inflated by the predominance of benchmark dataset studies with limited clinical representativeness.</w:t>
      </w:r>
    </w:p>
    <w:p w14:paraId="4479CBCE" w14:textId="77777777" w:rsidR="00F5773D" w:rsidRDefault="00F5773D">
      <w:pPr>
        <w:spacing w:after="120"/>
      </w:pPr>
    </w:p>
    <w:p w14:paraId="0F8C7368" w14:textId="77777777" w:rsidR="00F5773D" w:rsidRDefault="00B227C8">
      <w:pPr>
        <w:spacing w:before="200" w:after="80"/>
        <w:jc w:val="center"/>
      </w:pPr>
      <w:r>
        <w:rPr>
          <w:noProof/>
        </w:rPr>
        <w:lastRenderedPageBreak/>
        <w:drawing>
          <wp:inline distT="0" distB="0" distL="0" distR="0" wp14:anchorId="7CD08457" wp14:editId="6671F57D">
            <wp:extent cx="5629275" cy="749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29275" cy="7496175"/>
                    </a:xfrm>
                    <a:prstGeom prst="rect">
                      <a:avLst/>
                    </a:prstGeom>
                  </pic:spPr>
                </pic:pic>
              </a:graphicData>
            </a:graphic>
          </wp:inline>
        </w:drawing>
      </w:r>
    </w:p>
    <w:p w14:paraId="1A3420E5" w14:textId="77777777" w:rsidR="00F5773D" w:rsidRDefault="00B227C8">
      <w:pPr>
        <w:spacing w:before="40" w:after="200"/>
        <w:jc w:val="center"/>
      </w:pPr>
      <w:r>
        <w:rPr>
          <w:i/>
          <w:iCs/>
          <w:color w:val="555555"/>
          <w:sz w:val="18"/>
          <w:szCs w:val="18"/>
        </w:rPr>
        <w:t xml:space="preserve">Figure 1. Forest plot of all 51 studies contributing to the overall pooled accuracy meta-analysis. Studies are sorted by accuracy. Square size reflects random-effects weight. The diamond at bottom represents the pooled estimate (96.7%, 95% CI: 95.4–97.7%). The grey band indicates the 95% prediction interval (71.4–99.7%). </w:t>
      </w:r>
      <w:proofErr w:type="spellStart"/>
      <w:r>
        <w:rPr>
          <w:i/>
          <w:iCs/>
          <w:color w:val="555555"/>
          <w:sz w:val="18"/>
          <w:szCs w:val="18"/>
        </w:rPr>
        <w:t>Colour</w:t>
      </w:r>
      <w:proofErr w:type="spellEnd"/>
      <w:r>
        <w:rPr>
          <w:i/>
          <w:iCs/>
          <w:color w:val="555555"/>
          <w:sz w:val="18"/>
          <w:szCs w:val="18"/>
        </w:rPr>
        <w:t xml:space="preserve"> denotes model category.</w:t>
      </w:r>
    </w:p>
    <w:p w14:paraId="5CDEA8F0" w14:textId="77777777" w:rsidR="00F5773D" w:rsidRDefault="00B227C8">
      <w:pPr>
        <w:pStyle w:val="Heading1"/>
      </w:pPr>
      <w:r>
        <w:t>3. Subgroup Meta-Analyses</w:t>
      </w:r>
    </w:p>
    <w:p w14:paraId="6503DE6B" w14:textId="77777777" w:rsidR="00F5773D" w:rsidRDefault="00B227C8">
      <w:pPr>
        <w:pStyle w:val="Heading2"/>
      </w:pPr>
      <w:r>
        <w:lastRenderedPageBreak/>
        <w:t>3.1 Model Architecture Category</w:t>
      </w:r>
    </w:p>
    <w:p w14:paraId="6078A9E7" w14:textId="77777777" w:rsidR="00F5773D" w:rsidRDefault="00B227C8">
      <w:pPr>
        <w:spacing w:before="80" w:after="80"/>
        <w:jc w:val="both"/>
      </w:pPr>
      <w:r>
        <w:t xml:space="preserve">Statistically </w:t>
      </w:r>
      <w:proofErr w:type="gramStart"/>
      <w:r>
        <w:t>significant between-</w:t>
      </w:r>
      <w:proofErr w:type="gramEnd"/>
      <w:r>
        <w:t>subgroup heterogeneity was detected across model categories (</w:t>
      </w:r>
      <w:proofErr w:type="spellStart"/>
      <w:r>
        <w:t>Q</w:t>
      </w:r>
      <w:r>
        <w:rPr>
          <w:sz w:val="16"/>
          <w:szCs w:val="16"/>
          <w:vertAlign w:val="superscript"/>
        </w:rPr>
        <w:t>between</w:t>
      </w:r>
      <w:proofErr w:type="spellEnd"/>
      <w:r>
        <w:t xml:space="preserve"> = 13.23, </w:t>
      </w:r>
      <w:proofErr w:type="spellStart"/>
      <w:r>
        <w:t>df</w:t>
      </w:r>
      <w:proofErr w:type="spellEnd"/>
      <w:r>
        <w:t xml:space="preserve"> = 3, p = 0.004). Radiomics-based approaches yielded a significantly lower pooled accuracy than deep learning architectures (92.7% [95% CI: 89.8–94.8%]) and showed markedly less within-subgroup heterogeneity (I² = 55.6%, τ² = 0.133), suggesting greater methodological consistency among radiomics studies. By contrast, CNN-based (I² = 96.3%), transfer learning (I² = 97.3%), and ensemble models (I² = 97.4%) all </w:t>
      </w:r>
      <w:r>
        <w:t xml:space="preserve">demonstrated very high heterogeneity, reflecting the diversity of architectures, datasets, and evaluation strategies within each category. Table 1 </w:t>
      </w:r>
      <w:proofErr w:type="spellStart"/>
      <w:r>
        <w:t>summarises</w:t>
      </w:r>
      <w:proofErr w:type="spellEnd"/>
      <w:r>
        <w:t xml:space="preserve"> results by model category.</w:t>
      </w:r>
    </w:p>
    <w:p w14:paraId="101AE680" w14:textId="77777777" w:rsidR="00F5773D" w:rsidRDefault="00F5773D">
      <w:pPr>
        <w:spacing w:after="100"/>
      </w:pPr>
    </w:p>
    <w:p w14:paraId="73097F55" w14:textId="77777777" w:rsidR="00F5773D" w:rsidRDefault="00B227C8">
      <w:pPr>
        <w:pStyle w:val="Heading3"/>
        <w:spacing w:before="200"/>
      </w:pPr>
      <w:r>
        <w:t>Table 1. Subgroup Meta-Analysis Results by Model Architecture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20"/>
        <w:gridCol w:w="1300"/>
        <w:gridCol w:w="1340"/>
        <w:gridCol w:w="1340"/>
        <w:gridCol w:w="1400"/>
        <w:gridCol w:w="1560"/>
      </w:tblGrid>
      <w:tr w:rsidR="00F5773D" w14:paraId="70FFCC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4E66E0FB" w14:textId="77777777" w:rsidR="00F5773D" w:rsidRDefault="00B227C8">
            <w:pPr>
              <w:jc w:val="center"/>
            </w:pPr>
            <w:r>
              <w:rPr>
                <w:b/>
                <w:bCs/>
                <w:color w:val="FFFFFF"/>
                <w:sz w:val="18"/>
                <w:szCs w:val="18"/>
              </w:rPr>
              <w:t>Model Category</w:t>
            </w:r>
          </w:p>
        </w:tc>
        <w:tc>
          <w:tcPr>
            <w:tcW w:w="6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5BD1D5D3" w14:textId="77777777" w:rsidR="00F5773D" w:rsidRDefault="00B227C8">
            <w:pPr>
              <w:jc w:val="center"/>
            </w:pPr>
            <w:r>
              <w:rPr>
                <w:b/>
                <w:bCs/>
                <w:color w:val="FFFFFF"/>
                <w:sz w:val="18"/>
                <w:szCs w:val="18"/>
              </w:rPr>
              <w:t>k</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1C04D4EC" w14:textId="77777777" w:rsidR="00F5773D" w:rsidRDefault="00B227C8">
            <w:pPr>
              <w:jc w:val="center"/>
            </w:pPr>
            <w:r>
              <w:rPr>
                <w:b/>
                <w:bCs/>
                <w:color w:val="FFFFFF"/>
                <w:sz w:val="18"/>
                <w:szCs w:val="18"/>
              </w:rPr>
              <w:t>Pooled Acc (%)</w:t>
            </w:r>
          </w:p>
        </w:tc>
        <w:tc>
          <w:tcPr>
            <w:tcW w:w="1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00693057" w14:textId="77777777" w:rsidR="00F5773D" w:rsidRDefault="00B227C8">
            <w:pPr>
              <w:jc w:val="center"/>
            </w:pPr>
            <w:r>
              <w:rPr>
                <w:b/>
                <w:bCs/>
                <w:color w:val="FFFFFF"/>
                <w:sz w:val="18"/>
                <w:szCs w:val="18"/>
              </w:rPr>
              <w:t>95% CI</w:t>
            </w:r>
          </w:p>
        </w:tc>
        <w:tc>
          <w:tcPr>
            <w:tcW w:w="1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5E701B79" w14:textId="77777777" w:rsidR="00F5773D" w:rsidRDefault="00B227C8">
            <w:pPr>
              <w:jc w:val="center"/>
            </w:pPr>
            <w:r>
              <w:rPr>
                <w:b/>
                <w:bCs/>
                <w:color w:val="FFFFFF"/>
                <w:sz w:val="18"/>
                <w:szCs w:val="18"/>
              </w:rPr>
              <w:t>Prediction Interval</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0DDACEB2" w14:textId="77777777" w:rsidR="00F5773D" w:rsidRDefault="00B227C8">
            <w:pPr>
              <w:jc w:val="center"/>
            </w:pPr>
            <w:r>
              <w:rPr>
                <w:b/>
                <w:bCs/>
                <w:color w:val="FFFFFF"/>
                <w:sz w:val="18"/>
                <w:szCs w:val="18"/>
              </w:rPr>
              <w:t>I² (%)</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1E384D72" w14:textId="77777777" w:rsidR="00F5773D" w:rsidRDefault="00B227C8">
            <w:pPr>
              <w:jc w:val="center"/>
            </w:pPr>
            <w:r>
              <w:rPr>
                <w:b/>
                <w:bCs/>
                <w:color w:val="FFFFFF"/>
                <w:sz w:val="18"/>
                <w:szCs w:val="18"/>
              </w:rPr>
              <w:t>τ²</w:t>
            </w:r>
          </w:p>
        </w:tc>
      </w:tr>
      <w:tr w:rsidR="00F5773D" w14:paraId="52478C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564723" w14:textId="77777777" w:rsidR="00F5773D" w:rsidRDefault="00B227C8">
            <w:r>
              <w:rPr>
                <w:sz w:val="18"/>
                <w:szCs w:val="18"/>
              </w:rPr>
              <w:t>CNN</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F3D95E" w14:textId="77777777" w:rsidR="00F5773D" w:rsidRDefault="00B227C8">
            <w:pPr>
              <w:jc w:val="center"/>
            </w:pPr>
            <w:r>
              <w:rPr>
                <w:sz w:val="18"/>
                <w:szCs w:val="18"/>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E6A1D9" w14:textId="77777777" w:rsidR="00F5773D" w:rsidRDefault="00B227C8">
            <w:pPr>
              <w:jc w:val="center"/>
            </w:pPr>
            <w:r>
              <w:rPr>
                <w:sz w:val="18"/>
                <w:szCs w:val="18"/>
              </w:rPr>
              <w:t>96.5</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DBCC3D" w14:textId="77777777" w:rsidR="00F5773D" w:rsidRDefault="00B227C8">
            <w:pPr>
              <w:jc w:val="center"/>
            </w:pPr>
            <w:r>
              <w:rPr>
                <w:sz w:val="18"/>
                <w:szCs w:val="18"/>
              </w:rPr>
              <w:t>94.4–97.8</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3701CD" w14:textId="77777777" w:rsidR="00F5773D" w:rsidRDefault="00B227C8">
            <w:pPr>
              <w:jc w:val="center"/>
            </w:pPr>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4CCD72" w14:textId="77777777" w:rsidR="00F5773D" w:rsidRDefault="00B227C8">
            <w:pPr>
              <w:jc w:val="center"/>
            </w:pPr>
            <w:r>
              <w:rPr>
                <w:sz w:val="18"/>
                <w:szCs w:val="18"/>
              </w:rPr>
              <w:t>96.3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725C31" w14:textId="77777777" w:rsidR="00F5773D" w:rsidRDefault="00B227C8">
            <w:pPr>
              <w:jc w:val="center"/>
            </w:pPr>
            <w:r>
              <w:rPr>
                <w:sz w:val="18"/>
                <w:szCs w:val="18"/>
              </w:rPr>
              <w:t>1.044</w:t>
            </w:r>
          </w:p>
        </w:tc>
      </w:tr>
      <w:tr w:rsidR="00F5773D" w14:paraId="70C3F5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DD6CC84" w14:textId="77777777" w:rsidR="00F5773D" w:rsidRDefault="00B227C8">
            <w:r>
              <w:rPr>
                <w:sz w:val="18"/>
                <w:szCs w:val="18"/>
              </w:rPr>
              <w:t>Transfer Learning</w:t>
            </w:r>
          </w:p>
        </w:tc>
        <w:tc>
          <w:tcPr>
            <w:tcW w:w="6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4709C39" w14:textId="77777777" w:rsidR="00F5773D" w:rsidRDefault="00B227C8">
            <w:pPr>
              <w:jc w:val="center"/>
            </w:pPr>
            <w:r>
              <w:rPr>
                <w:sz w:val="18"/>
                <w:szCs w:val="18"/>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F26205A" w14:textId="77777777" w:rsidR="00F5773D" w:rsidRDefault="00B227C8">
            <w:pPr>
              <w:jc w:val="center"/>
            </w:pPr>
            <w:r>
              <w:rPr>
                <w:sz w:val="18"/>
                <w:szCs w:val="18"/>
              </w:rPr>
              <w:t>97.3</w:t>
            </w:r>
          </w:p>
        </w:tc>
        <w:tc>
          <w:tcPr>
            <w:tcW w:w="1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4B4213E" w14:textId="77777777" w:rsidR="00F5773D" w:rsidRDefault="00B227C8">
            <w:pPr>
              <w:jc w:val="center"/>
            </w:pPr>
            <w:r>
              <w:rPr>
                <w:sz w:val="18"/>
                <w:szCs w:val="18"/>
              </w:rPr>
              <w:t>94.2–98.8</w:t>
            </w:r>
          </w:p>
        </w:tc>
        <w:tc>
          <w:tcPr>
            <w:tcW w:w="1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D6C2DCD" w14:textId="77777777" w:rsidR="00F5773D" w:rsidRDefault="00B227C8">
            <w:pPr>
              <w:jc w:val="center"/>
            </w:pPr>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A25E910" w14:textId="77777777" w:rsidR="00F5773D" w:rsidRDefault="00B227C8">
            <w:pPr>
              <w:jc w:val="center"/>
            </w:pPr>
            <w:r>
              <w:rPr>
                <w:sz w:val="18"/>
                <w:szCs w:val="18"/>
              </w:rPr>
              <w:t>97.3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B6AF19E" w14:textId="77777777" w:rsidR="00F5773D" w:rsidRDefault="00B227C8">
            <w:pPr>
              <w:jc w:val="center"/>
            </w:pPr>
            <w:r>
              <w:rPr>
                <w:sz w:val="18"/>
                <w:szCs w:val="18"/>
              </w:rPr>
              <w:t>1.488</w:t>
            </w:r>
          </w:p>
        </w:tc>
      </w:tr>
      <w:tr w:rsidR="00F5773D" w14:paraId="3A32D0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BFEE15" w14:textId="77777777" w:rsidR="00F5773D" w:rsidRDefault="00B227C8">
            <w:r>
              <w:rPr>
                <w:sz w:val="18"/>
                <w:szCs w:val="18"/>
              </w:rPr>
              <w:t>Ensemble/Hybrid</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1D5E17" w14:textId="77777777" w:rsidR="00F5773D" w:rsidRDefault="00B227C8">
            <w:pPr>
              <w:jc w:val="center"/>
            </w:pPr>
            <w:r>
              <w:rPr>
                <w:sz w:val="18"/>
                <w:szCs w:val="18"/>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AF769E" w14:textId="77777777" w:rsidR="00F5773D" w:rsidRDefault="00B227C8">
            <w:pPr>
              <w:jc w:val="center"/>
            </w:pPr>
            <w:r>
              <w:rPr>
                <w:sz w:val="18"/>
                <w:szCs w:val="18"/>
              </w:rPr>
              <w:t>97.8</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665234" w14:textId="77777777" w:rsidR="00F5773D" w:rsidRDefault="00B227C8">
            <w:pPr>
              <w:jc w:val="center"/>
            </w:pPr>
            <w:r>
              <w:rPr>
                <w:sz w:val="18"/>
                <w:szCs w:val="18"/>
              </w:rPr>
              <w:t>94.9–99.1</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6C87AE" w14:textId="77777777" w:rsidR="00F5773D" w:rsidRDefault="00B227C8">
            <w:pPr>
              <w:jc w:val="center"/>
            </w:pPr>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9E028A" w14:textId="77777777" w:rsidR="00F5773D" w:rsidRDefault="00B227C8">
            <w:pPr>
              <w:jc w:val="center"/>
            </w:pPr>
            <w:r>
              <w:rPr>
                <w:sz w:val="18"/>
                <w:szCs w:val="18"/>
              </w:rPr>
              <w:t>97.4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D44A4B" w14:textId="77777777" w:rsidR="00F5773D" w:rsidRDefault="00B227C8">
            <w:pPr>
              <w:jc w:val="center"/>
            </w:pPr>
            <w:r>
              <w:rPr>
                <w:sz w:val="18"/>
                <w:szCs w:val="18"/>
              </w:rPr>
              <w:t>1.896</w:t>
            </w:r>
          </w:p>
        </w:tc>
      </w:tr>
      <w:tr w:rsidR="00F5773D" w14:paraId="4DDB4F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A85D7FB" w14:textId="77777777" w:rsidR="00F5773D" w:rsidRDefault="00B227C8">
            <w:r>
              <w:rPr>
                <w:sz w:val="18"/>
                <w:szCs w:val="18"/>
              </w:rPr>
              <w:t>Radiomics + ML</w:t>
            </w:r>
          </w:p>
        </w:tc>
        <w:tc>
          <w:tcPr>
            <w:tcW w:w="6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BBBA7C1" w14:textId="77777777" w:rsidR="00F5773D" w:rsidRDefault="00B227C8">
            <w:pPr>
              <w:jc w:val="center"/>
            </w:pPr>
            <w:r>
              <w:rPr>
                <w:sz w:val="18"/>
                <w:szCs w:val="18"/>
              </w:rPr>
              <w:t>9</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91F5C59" w14:textId="77777777" w:rsidR="00F5773D" w:rsidRDefault="00B227C8">
            <w:pPr>
              <w:jc w:val="center"/>
            </w:pPr>
            <w:r>
              <w:rPr>
                <w:sz w:val="18"/>
                <w:szCs w:val="18"/>
              </w:rPr>
              <w:t>92.7</w:t>
            </w:r>
          </w:p>
        </w:tc>
        <w:tc>
          <w:tcPr>
            <w:tcW w:w="1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32695E2" w14:textId="77777777" w:rsidR="00F5773D" w:rsidRDefault="00B227C8">
            <w:pPr>
              <w:jc w:val="center"/>
            </w:pPr>
            <w:r>
              <w:rPr>
                <w:sz w:val="18"/>
                <w:szCs w:val="18"/>
              </w:rPr>
              <w:t>89.8–94.8</w:t>
            </w:r>
          </w:p>
        </w:tc>
        <w:tc>
          <w:tcPr>
            <w:tcW w:w="1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A50A084" w14:textId="77777777" w:rsidR="00F5773D" w:rsidRDefault="00B227C8">
            <w:pPr>
              <w:jc w:val="center"/>
            </w:pPr>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22AE89D" w14:textId="77777777" w:rsidR="00F5773D" w:rsidRDefault="00B227C8">
            <w:pPr>
              <w:jc w:val="center"/>
            </w:pPr>
            <w:r>
              <w:rPr>
                <w:sz w:val="18"/>
                <w:szCs w:val="18"/>
              </w:rPr>
              <w:t>55.6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32A6E6E" w14:textId="77777777" w:rsidR="00F5773D" w:rsidRDefault="00B227C8">
            <w:pPr>
              <w:jc w:val="center"/>
            </w:pPr>
            <w:r>
              <w:rPr>
                <w:sz w:val="18"/>
                <w:szCs w:val="18"/>
              </w:rPr>
              <w:t>0.133</w:t>
            </w:r>
          </w:p>
        </w:tc>
      </w:tr>
      <w:tr w:rsidR="00F5773D" w14:paraId="225769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7195F908" w14:textId="77777777" w:rsidR="00F5773D" w:rsidRDefault="00B227C8">
            <w:r>
              <w:rPr>
                <w:sz w:val="18"/>
                <w:szCs w:val="18"/>
              </w:rPr>
              <w:t>Overall (all)</w:t>
            </w:r>
          </w:p>
        </w:tc>
        <w:tc>
          <w:tcPr>
            <w:tcW w:w="6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217FA21E" w14:textId="77777777" w:rsidR="00F5773D" w:rsidRDefault="00B227C8">
            <w:pPr>
              <w:jc w:val="center"/>
            </w:pPr>
            <w:r>
              <w:rPr>
                <w:sz w:val="18"/>
                <w:szCs w:val="18"/>
              </w:rPr>
              <w:t>51</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387B1644" w14:textId="77777777" w:rsidR="00F5773D" w:rsidRDefault="00B227C8">
            <w:pPr>
              <w:jc w:val="center"/>
            </w:pPr>
            <w:r>
              <w:rPr>
                <w:sz w:val="18"/>
                <w:szCs w:val="18"/>
              </w:rPr>
              <w:t>96.7</w:t>
            </w:r>
          </w:p>
        </w:tc>
        <w:tc>
          <w:tcPr>
            <w:tcW w:w="1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6511FF79" w14:textId="77777777" w:rsidR="00F5773D" w:rsidRDefault="00B227C8">
            <w:pPr>
              <w:jc w:val="center"/>
            </w:pPr>
            <w:r>
              <w:rPr>
                <w:sz w:val="18"/>
                <w:szCs w:val="18"/>
              </w:rPr>
              <w:t>95.4–97.7</w:t>
            </w:r>
          </w:p>
        </w:tc>
        <w:tc>
          <w:tcPr>
            <w:tcW w:w="1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7E82BDD0" w14:textId="77777777" w:rsidR="00F5773D" w:rsidRDefault="00B227C8">
            <w:pPr>
              <w:jc w:val="center"/>
            </w:pPr>
            <w:r>
              <w:rPr>
                <w:sz w:val="18"/>
                <w:szCs w:val="18"/>
              </w:rPr>
              <w:t>71.4–99.7</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78B8D43D" w14:textId="77777777" w:rsidR="00F5773D" w:rsidRDefault="00B227C8">
            <w:pPr>
              <w:jc w:val="center"/>
            </w:pPr>
            <w:r>
              <w:rPr>
                <w:sz w:val="18"/>
                <w:szCs w:val="18"/>
              </w:rPr>
              <w:t>97.2</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65B315C7" w14:textId="77777777" w:rsidR="00F5773D" w:rsidRDefault="00B227C8">
            <w:pPr>
              <w:jc w:val="center"/>
            </w:pPr>
            <w:r>
              <w:rPr>
                <w:sz w:val="18"/>
                <w:szCs w:val="18"/>
              </w:rPr>
              <w:t>1.479</w:t>
            </w:r>
          </w:p>
        </w:tc>
      </w:tr>
    </w:tbl>
    <w:p w14:paraId="0E7B31E2" w14:textId="77777777" w:rsidR="00F5773D" w:rsidRDefault="00B227C8">
      <w:pPr>
        <w:spacing w:before="60" w:after="200"/>
      </w:pPr>
      <w:r>
        <w:rPr>
          <w:i/>
          <w:iCs/>
          <w:color w:val="666666"/>
          <w:sz w:val="18"/>
          <w:szCs w:val="18"/>
        </w:rPr>
        <w:t xml:space="preserve">CNN: convolutional neural network; CI: confidence interval; PI: prediction interval; I²: heterogeneity statistic; τ²: between-study variance. Between-subgroup Q = 13.23, </w:t>
      </w:r>
      <w:proofErr w:type="spellStart"/>
      <w:r>
        <w:rPr>
          <w:i/>
          <w:iCs/>
          <w:color w:val="666666"/>
          <w:sz w:val="18"/>
          <w:szCs w:val="18"/>
        </w:rPr>
        <w:t>df</w:t>
      </w:r>
      <w:proofErr w:type="spellEnd"/>
      <w:r>
        <w:rPr>
          <w:i/>
          <w:iCs/>
          <w:color w:val="666666"/>
          <w:sz w:val="18"/>
          <w:szCs w:val="18"/>
        </w:rPr>
        <w:t xml:space="preserve"> = 3, p = 0.004.</w:t>
      </w:r>
    </w:p>
    <w:p w14:paraId="27356506" w14:textId="77777777" w:rsidR="00F5773D" w:rsidRDefault="00B227C8">
      <w:pPr>
        <w:pStyle w:val="Heading2"/>
      </w:pPr>
      <w:r>
        <w:t>3.2 Dataset Source: Public Benchmark vs. Clinical Institutional</w:t>
      </w:r>
    </w:p>
    <w:p w14:paraId="46715A51" w14:textId="77777777" w:rsidR="00F5773D" w:rsidRDefault="00B227C8">
      <w:pPr>
        <w:spacing w:before="80" w:after="80"/>
        <w:jc w:val="both"/>
      </w:pPr>
      <w:r>
        <w:rPr>
          <w:b/>
          <w:bCs/>
        </w:rPr>
        <w:t>This is the most clinically important subgroup finding.</w:t>
      </w:r>
      <w:r>
        <w:t xml:space="preserve"> Studies using exclusively public benchmark datasets (k = 32) yielded a pooled accuracy of </w:t>
      </w:r>
      <w:r>
        <w:rPr>
          <w:b/>
          <w:bCs/>
        </w:rPr>
        <w:t>97.8% (95% CI: 96.5–98.6%)</w:t>
      </w:r>
      <w:r>
        <w:t xml:space="preserve">, compared with 93.5% (95% CI: 90.7–95.5%) for studies using institutional clinical datasets (k = 19) — a mean difference of </w:t>
      </w:r>
      <w:r>
        <w:rPr>
          <w:b/>
          <w:bCs/>
        </w:rPr>
        <w:t>4.3 percentage points</w:t>
      </w:r>
      <w:r>
        <w:t xml:space="preserve">. Both subgroups demonstrated high within-group heterogeneity (I² = 97.5% and 91.5%, respectively). This performance gradient likely reflects several systematic differences between dataset types: public benchmark datasets are </w:t>
      </w:r>
      <w:proofErr w:type="spellStart"/>
      <w:r>
        <w:t>standardised</w:t>
      </w:r>
      <w:proofErr w:type="spellEnd"/>
      <w:r>
        <w:t>, pre-proce</w:t>
      </w:r>
      <w:r>
        <w:t xml:space="preserve">ssed, and well-curated, whereas clinical datasets incorporate the full spectrum of acquisition variability, protocol heterogeneity, scanner differences, and clinical spectrum bias that </w:t>
      </w:r>
      <w:proofErr w:type="spellStart"/>
      <w:r>
        <w:t>characterise</w:t>
      </w:r>
      <w:proofErr w:type="spellEnd"/>
      <w:r>
        <w:t xml:space="preserve"> real-world neuro-oncology practice.</w:t>
      </w:r>
    </w:p>
    <w:p w14:paraId="05A2A5AE" w14:textId="77777777" w:rsidR="00F5773D" w:rsidRDefault="00F5773D">
      <w:pPr>
        <w:spacing w:after="100"/>
      </w:pPr>
    </w:p>
    <w:p w14:paraId="4BBAA5EE" w14:textId="77777777" w:rsidR="00F5773D" w:rsidRDefault="00B227C8">
      <w:pPr>
        <w:pStyle w:val="Heading2"/>
      </w:pPr>
      <w:r>
        <w:t>3.3 Classification Task</w:t>
      </w:r>
    </w:p>
    <w:p w14:paraId="527C6B42" w14:textId="77777777" w:rsidR="00F5773D" w:rsidRDefault="00B227C8">
      <w:pPr>
        <w:spacing w:before="80" w:after="80"/>
        <w:jc w:val="both"/>
      </w:pPr>
      <w:r>
        <w:t xml:space="preserve">Performance differed systematically by diagnostic task. Tumor type classification studies (k = 23) achieved the highest pooled accuracy at </w:t>
      </w:r>
      <w:r>
        <w:rPr>
          <w:b/>
          <w:bCs/>
        </w:rPr>
        <w:t>98.0% (95% CI: 96.4–98.9%)</w:t>
      </w:r>
      <w:r>
        <w:t xml:space="preserve">, reflecting the relative simplicity of distinguishing broad tumor categories in curated datasets. Glioma grading studies (k = 15) yielded a lower pooled accuracy of </w:t>
      </w:r>
      <w:r>
        <w:rPr>
          <w:b/>
          <w:bCs/>
        </w:rPr>
        <w:t>94.3% (95% CI: 91.9–96.1%)</w:t>
      </w:r>
      <w:r>
        <w:t xml:space="preserve">, consistent with the greater biological heterogeneity of the grading task and the predominantly clinical datasets used. Binary classification tasks (k = 11) produced a pooled accuracy of </w:t>
      </w:r>
      <w:r>
        <w:rPr>
          <w:b/>
          <w:bCs/>
        </w:rPr>
        <w:t>95.2% (95% CI: 92.0–97.1%)</w:t>
      </w:r>
    </w:p>
    <w:p w14:paraId="0A2BADFA" w14:textId="77777777" w:rsidR="00F5773D" w:rsidRDefault="00F5773D">
      <w:pPr>
        <w:spacing w:after="100"/>
      </w:pPr>
    </w:p>
    <w:p w14:paraId="48BE11FB" w14:textId="77777777" w:rsidR="00F5773D" w:rsidRDefault="00B227C8">
      <w:pPr>
        <w:pStyle w:val="Heading2"/>
      </w:pPr>
      <w:r>
        <w:t>3.4 External Validation Status</w:t>
      </w:r>
    </w:p>
    <w:p w14:paraId="3EC4B2EF" w14:textId="77777777" w:rsidR="00F5773D" w:rsidRDefault="00B227C8">
      <w:pPr>
        <w:spacing w:before="80" w:after="80"/>
        <w:jc w:val="both"/>
      </w:pPr>
      <w:r>
        <w:t>Studies incorporating external independent validation (k = 7) reported substantially lower pooled accuracy (</w:t>
      </w:r>
      <w:r>
        <w:rPr>
          <w:b/>
          <w:bCs/>
        </w:rPr>
        <w:t>92.5%, 95% CI: 86.9–95.8%</w:t>
      </w:r>
      <w:r>
        <w:t xml:space="preserve">) compared with studies relying exclusively on internal validation or cross-validation (k = 44; pooled = </w:t>
      </w:r>
      <w:r>
        <w:rPr>
          <w:b/>
          <w:bCs/>
        </w:rPr>
        <w:t>97.1%, 95% CI: 95.9–98.0%</w:t>
      </w:r>
      <w:r>
        <w:t xml:space="preserve">). This 4.6 percentage point differential provides direct empirical evidence that performance estimates in this literature are </w:t>
      </w:r>
      <w:r>
        <w:lastRenderedPageBreak/>
        <w:t>substantially inflated by the predominance of internal-only validation strategies, a pattern consistent with well-established overfitting concerns in machine learning applied to medical imaging.</w:t>
      </w:r>
    </w:p>
    <w:p w14:paraId="1B11521E" w14:textId="77777777" w:rsidR="00F5773D" w:rsidRDefault="00F5773D">
      <w:pPr>
        <w:spacing w:after="100"/>
      </w:pPr>
    </w:p>
    <w:p w14:paraId="028813D5" w14:textId="77777777" w:rsidR="00F5773D" w:rsidRDefault="00B227C8">
      <w:pPr>
        <w:spacing w:before="200" w:after="80"/>
        <w:jc w:val="center"/>
      </w:pPr>
      <w:r>
        <w:rPr>
          <w:noProof/>
        </w:rPr>
        <w:drawing>
          <wp:inline distT="0" distB="0" distL="0" distR="0" wp14:anchorId="3CE3AE3A" wp14:editId="059FBD8B">
            <wp:extent cx="6753225" cy="4124325"/>
            <wp:effectExtent l="0" t="0" r="0" b="0"/>
            <wp:docPr id="1678794052" name="Picture 167879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753225" cy="4124325"/>
                    </a:xfrm>
                    <a:prstGeom prst="rect">
                      <a:avLst/>
                    </a:prstGeom>
                  </pic:spPr>
                </pic:pic>
              </a:graphicData>
            </a:graphic>
          </wp:inline>
        </w:drawing>
      </w:r>
    </w:p>
    <w:p w14:paraId="396D7812" w14:textId="77777777" w:rsidR="00F5773D" w:rsidRDefault="00B227C8">
      <w:pPr>
        <w:spacing w:before="40" w:after="200"/>
        <w:jc w:val="center"/>
      </w:pPr>
      <w:r>
        <w:rPr>
          <w:i/>
          <w:iCs/>
          <w:color w:val="555555"/>
          <w:sz w:val="18"/>
          <w:szCs w:val="18"/>
        </w:rPr>
        <w:t>Figure 2. Subgroup forest plots showing pooled accuracy by (left) model architecture category, (</w:t>
      </w:r>
      <w:proofErr w:type="spellStart"/>
      <w:r>
        <w:rPr>
          <w:i/>
          <w:iCs/>
          <w:color w:val="555555"/>
          <w:sz w:val="18"/>
          <w:szCs w:val="18"/>
        </w:rPr>
        <w:t>centre</w:t>
      </w:r>
      <w:proofErr w:type="spellEnd"/>
      <w:r>
        <w:rPr>
          <w:i/>
          <w:iCs/>
          <w:color w:val="555555"/>
          <w:sz w:val="18"/>
          <w:szCs w:val="18"/>
        </w:rPr>
        <w:t>) dataset source, and (right) classification task. Diamonds represent pooled estimates per subgroup; grey dashed line indicates overall pooled accuracy. Squares are sized by random-effects weight within each subgroup.</w:t>
      </w:r>
    </w:p>
    <w:p w14:paraId="37A40C08" w14:textId="77777777" w:rsidR="00F5773D" w:rsidRDefault="00B227C8">
      <w:pPr>
        <w:pStyle w:val="Heading1"/>
      </w:pPr>
      <w:r>
        <w:t>4. Pooled AUC and Summary ROC Analysis</w:t>
      </w:r>
    </w:p>
    <w:p w14:paraId="2B6E4FF2" w14:textId="77777777" w:rsidR="00F5773D" w:rsidRDefault="00B227C8">
      <w:pPr>
        <w:spacing w:before="80" w:after="80"/>
        <w:jc w:val="both"/>
      </w:pPr>
      <w:r>
        <w:t xml:space="preserve">Seventeen studies reported AUC values suitable for pooling. The overall pooled AUC under random-effects meta-analysis was </w:t>
      </w:r>
      <w:r>
        <w:rPr>
          <w:b/>
          <w:bCs/>
        </w:rPr>
        <w:t>0.954 (95% CI: 0.940–0.967)</w:t>
      </w:r>
      <w:r>
        <w:t>, indicating strong overall discrimination. The 95% prediction interval (0.907–1.000) was narrower than that for accuracy, and I² was 92.7% (τ² = 0.000433), indicating substantial between-study heterogeneity in AUC estimates as well.</w:t>
      </w:r>
    </w:p>
    <w:p w14:paraId="41FDC3DE" w14:textId="77777777" w:rsidR="00F5773D" w:rsidRDefault="00F5773D">
      <w:pPr>
        <w:spacing w:after="100"/>
      </w:pPr>
    </w:p>
    <w:p w14:paraId="3F4FE408" w14:textId="77777777" w:rsidR="00F5773D" w:rsidRDefault="00B227C8">
      <w:pPr>
        <w:spacing w:before="80" w:after="80"/>
        <w:jc w:val="both"/>
      </w:pPr>
      <w:r>
        <w:t xml:space="preserve">AUC subgroup analysis demonstrated a clinically meaningful difference between CNN-based models (pooled AUC = </w:t>
      </w:r>
      <w:r>
        <w:rPr>
          <w:b/>
          <w:bCs/>
        </w:rPr>
        <w:t>0.970, 95% CI: 0.956–0.984</w:t>
      </w:r>
      <w:r>
        <w:t xml:space="preserve">, I² = 93.5%) and radiomics-based models (pooled AUC = </w:t>
      </w:r>
      <w:r>
        <w:rPr>
          <w:b/>
          <w:bCs/>
        </w:rPr>
        <w:t>0.900, 95% CI: 0.837–0.962</w:t>
      </w:r>
      <w:r>
        <w:t>, I² = 89.5%). This differential of 0.070 AUC units (approximately 7 percentage points in discrimination) suggests that deep learning architectures achieve meaningfully superior area-based discrimination compared with classical radiomics pipelines, though both exceed the conventional 0.90 threshold for excellent diagnostic performance.</w:t>
      </w:r>
    </w:p>
    <w:p w14:paraId="76EBCC36" w14:textId="77777777" w:rsidR="00F5773D" w:rsidRDefault="00F5773D">
      <w:pPr>
        <w:spacing w:after="100"/>
      </w:pPr>
    </w:p>
    <w:p w14:paraId="4F06347E" w14:textId="77777777" w:rsidR="00F5773D" w:rsidRDefault="00B227C8">
      <w:pPr>
        <w:spacing w:before="80" w:after="80"/>
        <w:jc w:val="both"/>
      </w:pPr>
      <w:r>
        <w:t xml:space="preserve">The approximate Summary ROC (SROC) curve, derived using the binormal model </w:t>
      </w:r>
      <w:proofErr w:type="spellStart"/>
      <w:r>
        <w:t>parameterised</w:t>
      </w:r>
      <w:proofErr w:type="spellEnd"/>
      <w:r>
        <w:t xml:space="preserve"> from the pooled AUC, demonstrates the expected high-sensitivity/high-specificity operating region. The 95% </w:t>
      </w:r>
      <w:r>
        <w:lastRenderedPageBreak/>
        <w:t>confidence and prediction bands are displayed. Subgroup SROC curves for CNN and radiomics categories are overlaid to facilitate visual comparison of discriminative performance.</w:t>
      </w:r>
    </w:p>
    <w:p w14:paraId="3C18AFCC" w14:textId="77777777" w:rsidR="00F5773D" w:rsidRDefault="00F5773D">
      <w:pPr>
        <w:spacing w:after="100"/>
      </w:pPr>
    </w:p>
    <w:p w14:paraId="1A1CFFC6" w14:textId="77777777" w:rsidR="00F5773D" w:rsidRDefault="00B227C8">
      <w:pPr>
        <w:pStyle w:val="Heading3"/>
        <w:spacing w:before="200"/>
      </w:pPr>
      <w:r>
        <w:t>Table 2. AUC Subgroup Analysis by Model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
        <w:gridCol w:w="1480"/>
        <w:gridCol w:w="1680"/>
        <w:gridCol w:w="1700"/>
        <w:gridCol w:w="1800"/>
      </w:tblGrid>
      <w:tr w:rsidR="00F5773D" w14:paraId="1276D2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658D2086" w14:textId="77777777" w:rsidR="00F5773D" w:rsidRDefault="00B227C8">
            <w:pPr>
              <w:jc w:val="center"/>
            </w:pPr>
            <w:r>
              <w:rPr>
                <w:b/>
                <w:bCs/>
                <w:color w:val="FFFFFF"/>
                <w:sz w:val="18"/>
                <w:szCs w:val="18"/>
              </w:rPr>
              <w:t>Category</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7225AD76" w14:textId="77777777" w:rsidR="00F5773D" w:rsidRDefault="00B227C8">
            <w:pPr>
              <w:jc w:val="center"/>
            </w:pPr>
            <w:r>
              <w:rPr>
                <w:b/>
                <w:bCs/>
                <w:color w:val="FFFFFF"/>
                <w:sz w:val="18"/>
                <w:szCs w:val="18"/>
              </w:rPr>
              <w:t>k</w:t>
            </w:r>
          </w:p>
        </w:tc>
        <w:tc>
          <w:tcPr>
            <w:tcW w:w="14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2A7C8094" w14:textId="77777777" w:rsidR="00F5773D" w:rsidRDefault="00B227C8">
            <w:pPr>
              <w:jc w:val="center"/>
            </w:pPr>
            <w:r>
              <w:rPr>
                <w:b/>
                <w:bCs/>
                <w:color w:val="FFFFFF"/>
                <w:sz w:val="18"/>
                <w:szCs w:val="18"/>
              </w:rPr>
              <w:t>Pooled AUC</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055D7939" w14:textId="77777777" w:rsidR="00F5773D" w:rsidRDefault="00B227C8">
            <w:pPr>
              <w:jc w:val="center"/>
            </w:pPr>
            <w:r>
              <w:rPr>
                <w:b/>
                <w:bCs/>
                <w:color w:val="FFFFFF"/>
                <w:sz w:val="18"/>
                <w:szCs w:val="18"/>
              </w:rPr>
              <w:t>95% CI</w:t>
            </w:r>
          </w:p>
        </w:tc>
        <w:tc>
          <w:tcPr>
            <w:tcW w:w="1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6E002FCF" w14:textId="77777777" w:rsidR="00F5773D" w:rsidRDefault="00B227C8">
            <w:pPr>
              <w:jc w:val="center"/>
            </w:pPr>
            <w:r>
              <w:rPr>
                <w:b/>
                <w:bCs/>
                <w:color w:val="FFFFFF"/>
                <w:sz w:val="18"/>
                <w:szCs w:val="18"/>
              </w:rPr>
              <w:t>Prediction Interval</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18370992" w14:textId="77777777" w:rsidR="00F5773D" w:rsidRDefault="00B227C8">
            <w:pPr>
              <w:jc w:val="center"/>
            </w:pPr>
            <w:r>
              <w:rPr>
                <w:b/>
                <w:bCs/>
                <w:color w:val="FFFFFF"/>
                <w:sz w:val="18"/>
                <w:szCs w:val="18"/>
              </w:rPr>
              <w:t>I² (%)</w:t>
            </w:r>
          </w:p>
        </w:tc>
      </w:tr>
      <w:tr w:rsidR="00F5773D" w14:paraId="13EDE4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80BA43" w14:textId="77777777" w:rsidR="00F5773D" w:rsidRDefault="00B227C8">
            <w:r>
              <w:rPr>
                <w:sz w:val="18"/>
                <w:szCs w:val="18"/>
              </w:rPr>
              <w:t>CNN-based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768F5B" w14:textId="77777777" w:rsidR="00F5773D" w:rsidRDefault="00B227C8">
            <w:pPr>
              <w:jc w:val="center"/>
            </w:pPr>
            <w:r>
              <w:rPr>
                <w:sz w:val="18"/>
                <w:szCs w:val="18"/>
              </w:rPr>
              <w:t>8</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666901" w14:textId="77777777" w:rsidR="00F5773D" w:rsidRDefault="00B227C8">
            <w:pPr>
              <w:jc w:val="center"/>
            </w:pPr>
            <w:r>
              <w:rPr>
                <w:sz w:val="18"/>
                <w:szCs w:val="18"/>
              </w:rPr>
              <w:t>0.970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D72821" w14:textId="77777777" w:rsidR="00F5773D" w:rsidRDefault="00B227C8">
            <w:pPr>
              <w:jc w:val="center"/>
            </w:pPr>
            <w:r>
              <w:rPr>
                <w:sz w:val="18"/>
                <w:szCs w:val="18"/>
              </w:rPr>
              <w:t>0.956–0.984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2B2886" w14:textId="77777777" w:rsidR="00F5773D" w:rsidRDefault="00B227C8">
            <w:pPr>
              <w:jc w:val="center"/>
            </w:pPr>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BE4870" w14:textId="77777777" w:rsidR="00F5773D" w:rsidRDefault="00B227C8">
            <w:pPr>
              <w:jc w:val="center"/>
            </w:pPr>
            <w:r>
              <w:rPr>
                <w:sz w:val="18"/>
                <w:szCs w:val="18"/>
              </w:rPr>
              <w:t>93.5</w:t>
            </w:r>
          </w:p>
        </w:tc>
      </w:tr>
      <w:tr w:rsidR="00F5773D" w14:paraId="74DA58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864E1FE" w14:textId="77777777" w:rsidR="00F5773D" w:rsidRDefault="00B227C8">
            <w:r>
              <w:rPr>
                <w:sz w:val="18"/>
                <w:szCs w:val="18"/>
              </w:rPr>
              <w:t>Radiomics + ML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13E83AC" w14:textId="77777777" w:rsidR="00F5773D" w:rsidRDefault="00B227C8">
            <w:pPr>
              <w:jc w:val="center"/>
            </w:pPr>
            <w:r>
              <w:rPr>
                <w:sz w:val="18"/>
                <w:szCs w:val="18"/>
              </w:rPr>
              <w:t>7</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4E3262" w14:textId="77777777" w:rsidR="00F5773D" w:rsidRDefault="00B227C8">
            <w:pPr>
              <w:jc w:val="center"/>
            </w:pPr>
            <w:r>
              <w:rPr>
                <w:sz w:val="18"/>
                <w:szCs w:val="18"/>
              </w:rPr>
              <w:t>0.900</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0EF855C" w14:textId="77777777" w:rsidR="00F5773D" w:rsidRDefault="00B227C8">
            <w:pPr>
              <w:jc w:val="center"/>
            </w:pPr>
            <w:r>
              <w:rPr>
                <w:sz w:val="18"/>
                <w:szCs w:val="18"/>
              </w:rPr>
              <w:t>0.837–0.962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FDBF743" w14:textId="77777777" w:rsidR="00F5773D" w:rsidRDefault="00B227C8">
            <w:pPr>
              <w:jc w:val="center"/>
            </w:pPr>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4A97AD8" w14:textId="77777777" w:rsidR="00F5773D" w:rsidRDefault="00B227C8">
            <w:pPr>
              <w:jc w:val="center"/>
            </w:pPr>
            <w:r>
              <w:rPr>
                <w:sz w:val="18"/>
                <w:szCs w:val="18"/>
              </w:rPr>
              <w:t>89.5</w:t>
            </w:r>
          </w:p>
        </w:tc>
      </w:tr>
      <w:tr w:rsidR="00F5773D" w14:paraId="1F35DF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7772E104" w14:textId="77777777" w:rsidR="00F5773D" w:rsidRDefault="00B227C8">
            <w:r>
              <w:rPr>
                <w:sz w:val="18"/>
                <w:szCs w:val="18"/>
              </w:rPr>
              <w:t>Overall (all)</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0D2F5529" w14:textId="77777777" w:rsidR="00F5773D" w:rsidRDefault="00B227C8">
            <w:pPr>
              <w:jc w:val="center"/>
            </w:pPr>
            <w:r>
              <w:rPr>
                <w:sz w:val="18"/>
                <w:szCs w:val="18"/>
              </w:rPr>
              <w:t>17</w:t>
            </w:r>
          </w:p>
        </w:tc>
        <w:tc>
          <w:tcPr>
            <w:tcW w:w="14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6BE2BF5D" w14:textId="77777777" w:rsidR="00F5773D" w:rsidRDefault="00B227C8">
            <w:pPr>
              <w:jc w:val="center"/>
            </w:pPr>
            <w:r>
              <w:rPr>
                <w:sz w:val="18"/>
                <w:szCs w:val="18"/>
              </w:rPr>
              <w:t>0.954</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74D438D6" w14:textId="77777777" w:rsidR="00F5773D" w:rsidRDefault="00B227C8">
            <w:pPr>
              <w:jc w:val="center"/>
            </w:pPr>
            <w:r>
              <w:rPr>
                <w:sz w:val="18"/>
                <w:szCs w:val="18"/>
              </w:rPr>
              <w:t>0.940–0.967</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0C9552DF" w14:textId="77777777" w:rsidR="00F5773D" w:rsidRDefault="00B227C8">
            <w:pPr>
              <w:jc w:val="center"/>
            </w:pPr>
            <w:r>
              <w:rPr>
                <w:sz w:val="18"/>
                <w:szCs w:val="18"/>
              </w:rPr>
              <w:t>0.907–1.000</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5798E27E" w14:textId="77777777" w:rsidR="00F5773D" w:rsidRDefault="00B227C8">
            <w:pPr>
              <w:jc w:val="center"/>
            </w:pPr>
            <w:r>
              <w:rPr>
                <w:sz w:val="18"/>
                <w:szCs w:val="18"/>
              </w:rPr>
              <w:t>92.7</w:t>
            </w:r>
          </w:p>
        </w:tc>
      </w:tr>
    </w:tbl>
    <w:p w14:paraId="70C948C3" w14:textId="77777777" w:rsidR="00F5773D" w:rsidRDefault="00B227C8">
      <w:pPr>
        <w:spacing w:before="60" w:after="200"/>
      </w:pPr>
      <w:r>
        <w:rPr>
          <w:i/>
          <w:iCs/>
          <w:color w:val="666666"/>
          <w:sz w:val="18"/>
          <w:szCs w:val="18"/>
        </w:rPr>
        <w:t xml:space="preserve">AUC: area under receiver operating characteristic curve. Pooled using </w:t>
      </w:r>
      <w:proofErr w:type="spellStart"/>
      <w:r>
        <w:rPr>
          <w:i/>
          <w:iCs/>
          <w:color w:val="666666"/>
          <w:sz w:val="18"/>
          <w:szCs w:val="18"/>
        </w:rPr>
        <w:t>DerSimonian</w:t>
      </w:r>
      <w:proofErr w:type="spellEnd"/>
      <w:r>
        <w:rPr>
          <w:i/>
          <w:iCs/>
          <w:color w:val="666666"/>
          <w:sz w:val="18"/>
          <w:szCs w:val="18"/>
        </w:rPr>
        <w:t xml:space="preserve">-Laird random-effects method (Hanley-McNeil variance approximation). </w:t>
      </w:r>
      <w:proofErr w:type="gramStart"/>
      <w:r>
        <w:rPr>
          <w:i/>
          <w:iCs/>
          <w:color w:val="666666"/>
          <w:sz w:val="18"/>
          <w:szCs w:val="18"/>
        </w:rPr>
        <w:t>— :</w:t>
      </w:r>
      <w:proofErr w:type="gramEnd"/>
      <w:r>
        <w:rPr>
          <w:i/>
          <w:iCs/>
          <w:color w:val="666666"/>
          <w:sz w:val="18"/>
          <w:szCs w:val="18"/>
        </w:rPr>
        <w:t xml:space="preserve"> prediction interval not computed for subgroups with k &lt; 3.</w:t>
      </w:r>
    </w:p>
    <w:p w14:paraId="74F95DD1" w14:textId="77777777" w:rsidR="00F5773D" w:rsidRDefault="00B227C8">
      <w:pPr>
        <w:spacing w:before="200" w:after="80"/>
        <w:jc w:val="center"/>
      </w:pPr>
      <w:r>
        <w:rPr>
          <w:noProof/>
        </w:rPr>
        <w:drawing>
          <wp:inline distT="0" distB="0" distL="0" distR="0" wp14:anchorId="5C372222" wp14:editId="4A256BBC">
            <wp:extent cx="6000750" cy="3000375"/>
            <wp:effectExtent l="0" t="0" r="0" b="0"/>
            <wp:docPr id="1251295949" name="Picture 125129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3000375"/>
                    </a:xfrm>
                    <a:prstGeom prst="rect">
                      <a:avLst/>
                    </a:prstGeom>
                  </pic:spPr>
                </pic:pic>
              </a:graphicData>
            </a:graphic>
          </wp:inline>
        </w:drawing>
      </w:r>
    </w:p>
    <w:p w14:paraId="1D911A3B" w14:textId="77777777" w:rsidR="00F5773D" w:rsidRDefault="00B227C8">
      <w:pPr>
        <w:spacing w:before="40" w:after="200"/>
        <w:jc w:val="center"/>
      </w:pPr>
      <w:r>
        <w:rPr>
          <w:i/>
          <w:iCs/>
          <w:color w:val="555555"/>
          <w:sz w:val="18"/>
          <w:szCs w:val="18"/>
        </w:rPr>
        <w:t xml:space="preserve">Figure 3. (Left) Forest plot of pooled AUC (k = 17 studies). Diamond = pooled estimate (0.954; 95% CI: 0.940–0.967); grey band = 95% prediction interval. (Right) Approximate Summary ROC (SROC) curve derived from binormal model </w:t>
      </w:r>
      <w:proofErr w:type="spellStart"/>
      <w:r>
        <w:rPr>
          <w:i/>
          <w:iCs/>
          <w:color w:val="555555"/>
          <w:sz w:val="18"/>
          <w:szCs w:val="18"/>
        </w:rPr>
        <w:t>parameterised</w:t>
      </w:r>
      <w:proofErr w:type="spellEnd"/>
      <w:r>
        <w:rPr>
          <w:i/>
          <w:iCs/>
          <w:color w:val="555555"/>
          <w:sz w:val="18"/>
          <w:szCs w:val="18"/>
        </w:rPr>
        <w:t xml:space="preserve"> at the pooled AUC. Dark grey band = 95% confidence region; light blue band = 95% prediction interval. Dashed subgroup curves </w:t>
      </w:r>
      <w:proofErr w:type="gramStart"/>
      <w:r>
        <w:rPr>
          <w:i/>
          <w:iCs/>
          <w:color w:val="555555"/>
          <w:sz w:val="18"/>
          <w:szCs w:val="18"/>
        </w:rPr>
        <w:t>shown</w:t>
      </w:r>
      <w:proofErr w:type="gramEnd"/>
      <w:r>
        <w:rPr>
          <w:i/>
          <w:iCs/>
          <w:color w:val="555555"/>
          <w:sz w:val="18"/>
          <w:szCs w:val="18"/>
        </w:rPr>
        <w:t xml:space="preserve"> for CNN (blue; AUC = 0.970) and radiomics (red; AUC = 0.900) categories.</w:t>
      </w:r>
    </w:p>
    <w:p w14:paraId="62A81449" w14:textId="77777777" w:rsidR="00F5773D" w:rsidRDefault="00B227C8">
      <w:pPr>
        <w:pStyle w:val="Heading1"/>
      </w:pPr>
      <w:r>
        <w:t>5. Publication Bias Assessment</w:t>
      </w:r>
    </w:p>
    <w:p w14:paraId="651F1FF7" w14:textId="77777777" w:rsidR="00F5773D" w:rsidRDefault="00B227C8">
      <w:pPr>
        <w:spacing w:before="80" w:after="80"/>
        <w:jc w:val="both"/>
      </w:pPr>
      <w:r>
        <w:t xml:space="preserve">Funnel plot inspection revealed marked asymmetry, with a cluster of high-accuracy studies in the right tail at low standard errors and an absence of corresponding low-accuracy studies — the pattern expected when positive results are selectively published. Egger's weighted regression test confirmed statistically significant funnel plot asymmetry: </w:t>
      </w:r>
      <w:r>
        <w:rPr>
          <w:b/>
          <w:bCs/>
        </w:rPr>
        <w:t>intercept = 3.30 (SE = 1.40, t = 2.35, p = 0.023)</w:t>
      </w:r>
      <w:r>
        <w:t>. This constitutes formal evidence of publication bias in this literature.</w:t>
      </w:r>
    </w:p>
    <w:p w14:paraId="761A32B3" w14:textId="77777777" w:rsidR="00F5773D" w:rsidRDefault="00F5773D">
      <w:pPr>
        <w:spacing w:after="100"/>
      </w:pPr>
    </w:p>
    <w:p w14:paraId="6617F369" w14:textId="77777777" w:rsidR="00F5773D" w:rsidRDefault="00B227C8">
      <w:pPr>
        <w:spacing w:before="80" w:after="80"/>
        <w:jc w:val="both"/>
      </w:pPr>
      <w:r>
        <w:rPr>
          <w:b/>
          <w:bCs/>
        </w:rPr>
        <w:t xml:space="preserve">Trim-and-Fill Adjustment. </w:t>
      </w:r>
      <w:r>
        <w:t xml:space="preserve">The Duval-Tweedie trim-and-fill procedure estimated that </w:t>
      </w:r>
      <w:r>
        <w:rPr>
          <w:b/>
          <w:bCs/>
        </w:rPr>
        <w:t>23 missing studies</w:t>
      </w:r>
      <w:r>
        <w:t xml:space="preserve"> would be required to restore funnel symmetry. After imputation of these studies, the adjusted pooled accuracy was </w:t>
      </w:r>
      <w:r>
        <w:rPr>
          <w:b/>
          <w:bCs/>
        </w:rPr>
        <w:t>90.3%</w:t>
      </w:r>
      <w:r>
        <w:t xml:space="preserve">, compared with the unadjusted estimate of </w:t>
      </w:r>
      <w:proofErr w:type="gramStart"/>
      <w:r>
        <w:t>96.7% —</w:t>
      </w:r>
      <w:proofErr w:type="gramEnd"/>
      <w:r>
        <w:t xml:space="preserve"> a downward correction of </w:t>
      </w:r>
      <w:r>
        <w:rPr>
          <w:b/>
          <w:bCs/>
        </w:rPr>
        <w:t>6.4 percentage points</w:t>
      </w:r>
      <w:r>
        <w:t>. This corrected estimate should be considered a lower-bound approximation of true diagnostic performance in this field, incorporating the likely suppression of null and negative findings.</w:t>
      </w:r>
    </w:p>
    <w:p w14:paraId="3FE2030C" w14:textId="77777777" w:rsidR="00F5773D" w:rsidRDefault="00F5773D">
      <w:pPr>
        <w:spacing w:after="100"/>
      </w:pPr>
    </w:p>
    <w:p w14:paraId="5C9BBF85" w14:textId="77777777" w:rsidR="00F5773D" w:rsidRDefault="00B227C8">
      <w:pPr>
        <w:spacing w:before="200" w:after="80"/>
        <w:jc w:val="center"/>
      </w:pPr>
      <w:r>
        <w:rPr>
          <w:noProof/>
        </w:rPr>
        <w:drawing>
          <wp:inline distT="0" distB="0" distL="0" distR="0" wp14:anchorId="18A2EF07" wp14:editId="3DB8B051">
            <wp:extent cx="6000750" cy="2495550"/>
            <wp:effectExtent l="0" t="0" r="0" b="0"/>
            <wp:docPr id="990464605" name="Picture 99046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495550"/>
                    </a:xfrm>
                    <a:prstGeom prst="rect">
                      <a:avLst/>
                    </a:prstGeom>
                  </pic:spPr>
                </pic:pic>
              </a:graphicData>
            </a:graphic>
          </wp:inline>
        </w:drawing>
      </w:r>
    </w:p>
    <w:p w14:paraId="5E0F3B30" w14:textId="77777777" w:rsidR="00F5773D" w:rsidRDefault="00B227C8">
      <w:pPr>
        <w:spacing w:before="40" w:after="200"/>
        <w:jc w:val="center"/>
      </w:pPr>
      <w:r>
        <w:rPr>
          <w:i/>
          <w:iCs/>
          <w:color w:val="555555"/>
          <w:sz w:val="18"/>
          <w:szCs w:val="18"/>
        </w:rPr>
        <w:t xml:space="preserve">Figure 4. Publication bias analysis. (Left) Funnel plot with Egger's regression test (intercept = 3.30; p = 0.023) confirming significant funnel asymmetry. Studies are </w:t>
      </w:r>
      <w:proofErr w:type="spellStart"/>
      <w:r>
        <w:rPr>
          <w:i/>
          <w:iCs/>
          <w:color w:val="555555"/>
          <w:sz w:val="18"/>
          <w:szCs w:val="18"/>
        </w:rPr>
        <w:t>coloured</w:t>
      </w:r>
      <w:proofErr w:type="spellEnd"/>
      <w:r>
        <w:rPr>
          <w:i/>
          <w:iCs/>
          <w:color w:val="555555"/>
          <w:sz w:val="18"/>
          <w:szCs w:val="18"/>
        </w:rPr>
        <w:t xml:space="preserve"> by model category. (Right) Trim-and-fill analysis showing 23 imputed studies (grey diamonds) required to restore symmetry. Adjusted pooled accuracy = 90.3% (red dashed line) vs. observed estimate of 96.7% (solid black line).</w:t>
      </w:r>
    </w:p>
    <w:p w14:paraId="095E9388" w14:textId="77777777" w:rsidR="00F5773D" w:rsidRDefault="00B227C8">
      <w:pPr>
        <w:pStyle w:val="Heading1"/>
      </w:pPr>
      <w:r>
        <w:t>6. Meta-Regression Analysis</w:t>
      </w:r>
    </w:p>
    <w:p w14:paraId="0C4E7BE3" w14:textId="77777777" w:rsidR="00F5773D" w:rsidRDefault="00B227C8">
      <w:pPr>
        <w:spacing w:before="80" w:after="80"/>
        <w:jc w:val="both"/>
      </w:pPr>
      <w:r>
        <w:rPr>
          <w:b/>
          <w:bCs/>
        </w:rPr>
        <w:t xml:space="preserve">6.1 Accuracy vs. Sample Size. </w:t>
      </w:r>
      <w:r>
        <w:t>Weighted meta-regression of logit-transformed accuracy on log-transformed sample size across the 32 studies with available sample size data did not demonstrate a statistically significant negative association between sample size and reported accuracy (β = −0.037, p = 0.12). This absence of significance likely reflects the extreme variability of study designs and the confounding of sample size with dataset source (clinical studies tend to have both smaller samples and lower accuracy). Visual inspection of th</w:t>
      </w:r>
      <w:r>
        <w:t>e bubble plot confirms that the highest accuracy values cluster predominantly in small-to-medium sample studies using public benchmark datasets.</w:t>
      </w:r>
    </w:p>
    <w:p w14:paraId="39F35EC6" w14:textId="77777777" w:rsidR="00F5773D" w:rsidRDefault="00F5773D">
      <w:pPr>
        <w:spacing w:after="100"/>
      </w:pPr>
    </w:p>
    <w:p w14:paraId="4887AB52" w14:textId="77777777" w:rsidR="00F5773D" w:rsidRDefault="00B227C8">
      <w:pPr>
        <w:spacing w:before="80" w:after="80"/>
        <w:jc w:val="both"/>
      </w:pPr>
      <w:r>
        <w:rPr>
          <w:b/>
          <w:bCs/>
        </w:rPr>
        <w:t xml:space="preserve">6.2 Temporal Trend. </w:t>
      </w:r>
      <w:r>
        <w:t>There was no significant linear temporal trend in reported accuracy across the publication period 2017–2025 (Pearson r = 0.08, p = 0.57), suggesting that improvements in algorithmic architecture over time have been offset by increasing use of more challenging datasets and more complex tasks. The temporal scatter plot does not support the hypothesis that AI-based brain tumor classification performance has systematically improved in a clinically meaningful manner over the study period.</w:t>
      </w:r>
    </w:p>
    <w:p w14:paraId="17C43704" w14:textId="77777777" w:rsidR="00F5773D" w:rsidRDefault="00F5773D">
      <w:pPr>
        <w:spacing w:after="100"/>
      </w:pPr>
    </w:p>
    <w:p w14:paraId="5D7F6034" w14:textId="77777777" w:rsidR="00F5773D" w:rsidRDefault="00B227C8">
      <w:pPr>
        <w:spacing w:before="200" w:after="80"/>
        <w:jc w:val="center"/>
      </w:pPr>
      <w:r>
        <w:rPr>
          <w:noProof/>
        </w:rPr>
        <w:lastRenderedPageBreak/>
        <w:drawing>
          <wp:inline distT="0" distB="0" distL="0" distR="0" wp14:anchorId="7150E5EB" wp14:editId="4791680C">
            <wp:extent cx="6000750" cy="2495550"/>
            <wp:effectExtent l="0" t="0" r="0" b="0"/>
            <wp:docPr id="1531465558" name="Picture 1531465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2495550"/>
                    </a:xfrm>
                    <a:prstGeom prst="rect">
                      <a:avLst/>
                    </a:prstGeom>
                  </pic:spPr>
                </pic:pic>
              </a:graphicData>
            </a:graphic>
          </wp:inline>
        </w:drawing>
      </w:r>
    </w:p>
    <w:p w14:paraId="7A9A9D3A" w14:textId="77777777" w:rsidR="00F5773D" w:rsidRDefault="00B227C8">
      <w:pPr>
        <w:spacing w:before="40" w:after="200"/>
        <w:jc w:val="center"/>
      </w:pPr>
      <w:r>
        <w:rPr>
          <w:i/>
          <w:iCs/>
          <w:color w:val="555555"/>
          <w:sz w:val="18"/>
          <w:szCs w:val="18"/>
        </w:rPr>
        <w:t xml:space="preserve">Figure 5. Meta-regression analysis. (Left) Bubble plot of reported accuracy vs. sample size (log-scaled), </w:t>
      </w:r>
      <w:proofErr w:type="spellStart"/>
      <w:r>
        <w:rPr>
          <w:i/>
          <w:iCs/>
          <w:color w:val="555555"/>
          <w:sz w:val="18"/>
          <w:szCs w:val="18"/>
        </w:rPr>
        <w:t>coloured</w:t>
      </w:r>
      <w:proofErr w:type="spellEnd"/>
      <w:r>
        <w:rPr>
          <w:i/>
          <w:iCs/>
          <w:color w:val="555555"/>
          <w:sz w:val="18"/>
          <w:szCs w:val="18"/>
        </w:rPr>
        <w:t xml:space="preserve"> by model category. Dashed line = weighted regression trend. (Right) Temporal trend of reported accuracy by publication year (2017–2025). Dashed line = linear regression trend. Individual study points jittered ±0.2 years for clarity.</w:t>
      </w:r>
    </w:p>
    <w:p w14:paraId="188EC152" w14:textId="77777777" w:rsidR="00F5773D" w:rsidRDefault="00B227C8">
      <w:pPr>
        <w:pStyle w:val="Heading1"/>
      </w:pPr>
      <w:r>
        <w:t>7. Sensitivity Analyses</w:t>
      </w:r>
    </w:p>
    <w:p w14:paraId="379B1505" w14:textId="77777777" w:rsidR="00F5773D" w:rsidRDefault="00B227C8">
      <w:pPr>
        <w:pStyle w:val="Heading2"/>
      </w:pPr>
      <w:r>
        <w:t>7.1 Leave-One-Out Analysis</w:t>
      </w:r>
    </w:p>
    <w:p w14:paraId="53823D6D" w14:textId="77777777" w:rsidR="00F5773D" w:rsidRDefault="00B227C8">
      <w:pPr>
        <w:spacing w:before="80" w:after="80"/>
        <w:jc w:val="both"/>
      </w:pPr>
      <w:r>
        <w:t xml:space="preserve">Leave-one-out analysis demonstrated robust stability of the overall pooled estimate across all 51 studies: the maximum shift in the pooled accuracy when any single study was removed was only </w:t>
      </w:r>
      <w:r>
        <w:rPr>
          <w:b/>
          <w:bCs/>
        </w:rPr>
        <w:t>0.23 percentage points</w:t>
      </w:r>
      <w:r>
        <w:t xml:space="preserve"> (removal of </w:t>
      </w:r>
      <w:proofErr w:type="spellStart"/>
      <w:r>
        <w:t>Kibriya</w:t>
      </w:r>
      <w:proofErr w:type="spellEnd"/>
      <w:r>
        <w:t xml:space="preserve"> 2022; pooled changes from 96.7% to 96.5%). No individual study exerted disproportionate influence on the pooled estimate, as defined by a shift exceeding 0.5 percentage points. This finding confirms that the pooled estimate is not driven by any single study, though it also reflects the fact that extreme studies are </w:t>
      </w:r>
      <w:proofErr w:type="spellStart"/>
      <w:r>
        <w:t>downweighted</w:t>
      </w:r>
      <w:proofErr w:type="spellEnd"/>
      <w:r>
        <w:t xml:space="preserve"> by the random-effects inverse-variance weighting scheme. Table 3 presents the top five most influential studies by leave-one-out delta.</w:t>
      </w:r>
    </w:p>
    <w:p w14:paraId="467B6BEB" w14:textId="77777777" w:rsidR="00F5773D" w:rsidRDefault="00F5773D">
      <w:pPr>
        <w:spacing w:after="100"/>
      </w:pPr>
    </w:p>
    <w:p w14:paraId="07E7F0BD" w14:textId="77777777" w:rsidR="00F5773D" w:rsidRDefault="00B227C8">
      <w:pPr>
        <w:pStyle w:val="Heading3"/>
        <w:spacing w:before="200"/>
      </w:pPr>
      <w:r>
        <w:t>Table 3. Top 5 Most Influential Studies by Leave-One-Out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920"/>
        <w:gridCol w:w="1920"/>
        <w:gridCol w:w="1200"/>
        <w:gridCol w:w="1440"/>
      </w:tblGrid>
      <w:tr w:rsidR="00F5773D" w14:paraId="16449E9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680B3862" w14:textId="77777777" w:rsidR="00F5773D" w:rsidRDefault="00B227C8">
            <w:pPr>
              <w:jc w:val="center"/>
            </w:pPr>
            <w:r>
              <w:rPr>
                <w:b/>
                <w:bCs/>
                <w:color w:val="FFFFFF"/>
                <w:sz w:val="18"/>
                <w:szCs w:val="18"/>
              </w:rPr>
              <w:t>Study Removed</w:t>
            </w:r>
          </w:p>
        </w:tc>
        <w:tc>
          <w:tcPr>
            <w:tcW w:w="19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117EEA83" w14:textId="77777777" w:rsidR="00F5773D" w:rsidRDefault="00B227C8">
            <w:pPr>
              <w:jc w:val="center"/>
            </w:pPr>
            <w:r>
              <w:rPr>
                <w:b/>
                <w:bCs/>
                <w:color w:val="FFFFFF"/>
                <w:sz w:val="18"/>
                <w:szCs w:val="18"/>
              </w:rPr>
              <w:t>Pooled Acc (%)</w:t>
            </w:r>
          </w:p>
        </w:tc>
        <w:tc>
          <w:tcPr>
            <w:tcW w:w="19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4CF74E13" w14:textId="77777777" w:rsidR="00F5773D" w:rsidRDefault="00B227C8">
            <w:pPr>
              <w:jc w:val="center"/>
            </w:pPr>
            <w:r>
              <w:rPr>
                <w:b/>
                <w:bCs/>
                <w:color w:val="FFFFFF"/>
                <w:sz w:val="18"/>
                <w:szCs w:val="18"/>
              </w:rPr>
              <w:t>95% CI</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467B085E" w14:textId="77777777" w:rsidR="00F5773D" w:rsidRDefault="00B227C8">
            <w:pPr>
              <w:jc w:val="center"/>
            </w:pPr>
            <w:r>
              <w:rPr>
                <w:b/>
                <w:bCs/>
                <w:color w:val="FFFFFF"/>
                <w:sz w:val="18"/>
                <w:szCs w:val="18"/>
              </w:rPr>
              <w:t>Δ vs. Overall</w:t>
            </w:r>
          </w:p>
        </w:tc>
        <w:tc>
          <w:tcPr>
            <w:tcW w:w="14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78FCD357" w14:textId="77777777" w:rsidR="00F5773D" w:rsidRDefault="00B227C8">
            <w:pPr>
              <w:jc w:val="center"/>
            </w:pPr>
            <w:r>
              <w:rPr>
                <w:b/>
                <w:bCs/>
                <w:color w:val="FFFFFF"/>
                <w:sz w:val="18"/>
                <w:szCs w:val="18"/>
              </w:rPr>
              <w:t>Direction</w:t>
            </w:r>
          </w:p>
        </w:tc>
      </w:tr>
      <w:tr w:rsidR="00F5773D" w14:paraId="230916E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85464C" w14:textId="77777777" w:rsidR="00F5773D" w:rsidRDefault="00B227C8">
            <w:proofErr w:type="spellStart"/>
            <w:r>
              <w:rPr>
                <w:sz w:val="18"/>
                <w:szCs w:val="18"/>
              </w:rPr>
              <w:t>Kibriya</w:t>
            </w:r>
            <w:proofErr w:type="spellEnd"/>
            <w:r>
              <w:rPr>
                <w:sz w:val="18"/>
                <w:szCs w:val="18"/>
              </w:rPr>
              <w:t xml:space="preserve"> 2022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E6AEF8" w14:textId="77777777" w:rsidR="00F5773D" w:rsidRDefault="00B227C8">
            <w:pPr>
              <w:jc w:val="center"/>
            </w:pPr>
            <w:r>
              <w:rPr>
                <w:sz w:val="18"/>
                <w:szCs w:val="18"/>
              </w:rPr>
              <w:t>96.46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D3465F" w14:textId="77777777" w:rsidR="00F5773D" w:rsidRDefault="00B227C8">
            <w:pPr>
              <w:jc w:val="center"/>
            </w:pPr>
            <w:r>
              <w:rPr>
                <w:sz w:val="18"/>
                <w:szCs w:val="18"/>
              </w:rPr>
              <w:t>95.1–97.5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3F8208" w14:textId="77777777" w:rsidR="00F5773D" w:rsidRDefault="00B227C8">
            <w:pPr>
              <w:jc w:val="center"/>
            </w:pPr>
            <w:r>
              <w:rPr>
                <w:sz w:val="18"/>
                <w:szCs w:val="18"/>
              </w:rPr>
              <w:t>−</w:t>
            </w:r>
            <w:r>
              <w:rPr>
                <w:sz w:val="18"/>
                <w:szCs w:val="18"/>
              </w:rPr>
              <w:t>0.23%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6C2660" w14:textId="77777777" w:rsidR="00F5773D" w:rsidRDefault="00B227C8">
            <w:pPr>
              <w:jc w:val="center"/>
            </w:pPr>
            <w:r>
              <w:rPr>
                <w:sz w:val="18"/>
                <w:szCs w:val="18"/>
              </w:rPr>
              <w:t>↓</w:t>
            </w:r>
          </w:p>
        </w:tc>
      </w:tr>
      <w:tr w:rsidR="00F5773D" w14:paraId="447FA32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EC16B39" w14:textId="77777777" w:rsidR="00F5773D" w:rsidRDefault="00B227C8">
            <w:r>
              <w:rPr>
                <w:sz w:val="18"/>
                <w:szCs w:val="18"/>
              </w:rPr>
              <w:t>Wang 2023</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D3B3D7A" w14:textId="77777777" w:rsidR="00F5773D" w:rsidRDefault="00B227C8">
            <w:pPr>
              <w:jc w:val="center"/>
            </w:pPr>
            <w:r>
              <w:rPr>
                <w:sz w:val="18"/>
                <w:szCs w:val="18"/>
              </w:rPr>
              <w:t>96.49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4B24E01" w14:textId="77777777" w:rsidR="00F5773D" w:rsidRDefault="00B227C8">
            <w:pPr>
              <w:jc w:val="center"/>
            </w:pPr>
            <w:r>
              <w:rPr>
                <w:sz w:val="18"/>
                <w:szCs w:val="18"/>
              </w:rPr>
              <w:t>95.2–97.5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76770A6" w14:textId="77777777" w:rsidR="00F5773D" w:rsidRDefault="00B227C8">
            <w:pPr>
              <w:jc w:val="center"/>
            </w:pPr>
            <w:r>
              <w:rPr>
                <w:sz w:val="18"/>
                <w:szCs w:val="18"/>
              </w:rPr>
              <w:t>−</w:t>
            </w:r>
            <w:r>
              <w:rPr>
                <w:sz w:val="18"/>
                <w:szCs w:val="18"/>
              </w:rPr>
              <w:t>0.21%</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598CE9" w14:textId="77777777" w:rsidR="00F5773D" w:rsidRDefault="00B227C8">
            <w:pPr>
              <w:jc w:val="center"/>
            </w:pPr>
            <w:r>
              <w:rPr>
                <w:sz w:val="18"/>
                <w:szCs w:val="18"/>
              </w:rPr>
              <w:t>↓</w:t>
            </w:r>
          </w:p>
        </w:tc>
      </w:tr>
      <w:tr w:rsidR="00F5773D" w14:paraId="14C7224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A4020F" w14:textId="77777777" w:rsidR="00F5773D" w:rsidRDefault="00B227C8">
            <w:r>
              <w:rPr>
                <w:sz w:val="18"/>
                <w:szCs w:val="18"/>
              </w:rPr>
              <w:t>Balamurugan 2024</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EFFE4D" w14:textId="77777777" w:rsidR="00F5773D" w:rsidRDefault="00B227C8">
            <w:pPr>
              <w:jc w:val="center"/>
            </w:pPr>
            <w:r>
              <w:rPr>
                <w:sz w:val="18"/>
                <w:szCs w:val="18"/>
              </w:rPr>
              <w:t>96.52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FB8565" w14:textId="77777777" w:rsidR="00F5773D" w:rsidRDefault="00B227C8">
            <w:pPr>
              <w:jc w:val="center"/>
            </w:pPr>
            <w:r>
              <w:rPr>
                <w:sz w:val="18"/>
                <w:szCs w:val="18"/>
              </w:rPr>
              <w:t>95.2–97.6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396117" w14:textId="77777777" w:rsidR="00F5773D" w:rsidRDefault="00B227C8">
            <w:pPr>
              <w:jc w:val="center"/>
            </w:pPr>
            <w:r>
              <w:rPr>
                <w:sz w:val="18"/>
                <w:szCs w:val="18"/>
              </w:rPr>
              <w:t>−</w:t>
            </w:r>
            <w:r>
              <w:rPr>
                <w:sz w:val="18"/>
                <w:szCs w:val="18"/>
              </w:rPr>
              <w:t>0.19%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4E8167" w14:textId="77777777" w:rsidR="00F5773D" w:rsidRDefault="00B227C8">
            <w:pPr>
              <w:jc w:val="center"/>
            </w:pPr>
            <w:r>
              <w:rPr>
                <w:sz w:val="18"/>
                <w:szCs w:val="18"/>
              </w:rPr>
              <w:t>↓</w:t>
            </w:r>
          </w:p>
        </w:tc>
      </w:tr>
      <w:tr w:rsidR="00F5773D" w14:paraId="7F599C9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67B2A81" w14:textId="77777777" w:rsidR="00F5773D" w:rsidRDefault="00B227C8">
            <w:r>
              <w:rPr>
                <w:sz w:val="18"/>
                <w:szCs w:val="18"/>
              </w:rPr>
              <w:t>Garcia-Ruiz 2024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E1A647E" w14:textId="77777777" w:rsidR="00F5773D" w:rsidRDefault="00B227C8">
            <w:pPr>
              <w:jc w:val="center"/>
            </w:pPr>
            <w:r>
              <w:rPr>
                <w:sz w:val="18"/>
                <w:szCs w:val="18"/>
              </w:rPr>
              <w:t>96.85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58DF024" w14:textId="77777777" w:rsidR="00F5773D" w:rsidRDefault="00B227C8">
            <w:pPr>
              <w:jc w:val="center"/>
            </w:pPr>
            <w:r>
              <w:rPr>
                <w:sz w:val="18"/>
                <w:szCs w:val="18"/>
              </w:rPr>
              <w:t>95.5–97.9</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1428205" w14:textId="77777777" w:rsidR="00F5773D" w:rsidRDefault="00B227C8">
            <w:pPr>
              <w:jc w:val="center"/>
            </w:pPr>
            <w:r>
              <w:rPr>
                <w:sz w:val="18"/>
                <w:szCs w:val="18"/>
              </w:rPr>
              <w:t>+0.13%</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F82FE11" w14:textId="77777777" w:rsidR="00F5773D" w:rsidRDefault="00B227C8">
            <w:pPr>
              <w:jc w:val="center"/>
            </w:pPr>
            <w:r>
              <w:rPr>
                <w:sz w:val="18"/>
                <w:szCs w:val="18"/>
              </w:rPr>
              <w:t>↑</w:t>
            </w:r>
          </w:p>
        </w:tc>
      </w:tr>
      <w:tr w:rsidR="00F5773D" w14:paraId="7AB974D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D8C1C5" w14:textId="77777777" w:rsidR="00F5773D" w:rsidRDefault="00B227C8">
            <w:r>
              <w:rPr>
                <w:sz w:val="18"/>
                <w:szCs w:val="18"/>
              </w:rPr>
              <w:t>Haque 2024</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8E5A8A" w14:textId="77777777" w:rsidR="00F5773D" w:rsidRDefault="00B227C8">
            <w:pPr>
              <w:jc w:val="center"/>
            </w:pPr>
            <w:r>
              <w:rPr>
                <w:sz w:val="18"/>
                <w:szCs w:val="18"/>
              </w:rPr>
              <w:t>96.57</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342DE9" w14:textId="77777777" w:rsidR="00F5773D" w:rsidRDefault="00B227C8">
            <w:pPr>
              <w:jc w:val="center"/>
            </w:pPr>
            <w:r>
              <w:rPr>
                <w:sz w:val="18"/>
                <w:szCs w:val="18"/>
              </w:rPr>
              <w:t>95.2–97.6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D20BF3" w14:textId="77777777" w:rsidR="00F5773D" w:rsidRDefault="00B227C8">
            <w:pPr>
              <w:jc w:val="center"/>
            </w:pPr>
            <w:r>
              <w:rPr>
                <w:sz w:val="18"/>
                <w:szCs w:val="18"/>
              </w:rPr>
              <w:t>−</w:t>
            </w:r>
            <w:r>
              <w:rPr>
                <w:sz w:val="18"/>
                <w:szCs w:val="18"/>
              </w:rPr>
              <w:t>0.13%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214DFB" w14:textId="77777777" w:rsidR="00F5773D" w:rsidRDefault="00B227C8">
            <w:pPr>
              <w:jc w:val="center"/>
            </w:pPr>
            <w:r>
              <w:rPr>
                <w:sz w:val="18"/>
                <w:szCs w:val="18"/>
              </w:rPr>
              <w:t>↓</w:t>
            </w:r>
          </w:p>
        </w:tc>
      </w:tr>
    </w:tbl>
    <w:p w14:paraId="37C35F93" w14:textId="77777777" w:rsidR="00F5773D" w:rsidRDefault="00B227C8">
      <w:pPr>
        <w:spacing w:before="60" w:after="200"/>
      </w:pPr>
      <w:r>
        <w:rPr>
          <w:i/>
          <w:iCs/>
          <w:color w:val="666666"/>
          <w:sz w:val="18"/>
          <w:szCs w:val="18"/>
        </w:rPr>
        <w:t>Acc: accuracy; CI: confidence interval; Δ: change in pooled estimate relative to overall (96.69%). Maximum shift &lt; 0.5%, confirming pooled estimate stability.</w:t>
      </w:r>
    </w:p>
    <w:p w14:paraId="5D3668BC" w14:textId="77777777" w:rsidR="00F5773D" w:rsidRDefault="00B227C8">
      <w:pPr>
        <w:spacing w:before="200" w:after="80"/>
        <w:jc w:val="center"/>
      </w:pPr>
      <w:r>
        <w:rPr>
          <w:noProof/>
        </w:rPr>
        <w:lastRenderedPageBreak/>
        <w:drawing>
          <wp:inline distT="0" distB="0" distL="0" distR="0" wp14:anchorId="305181FB" wp14:editId="41F44A0F">
            <wp:extent cx="4495800" cy="6296025"/>
            <wp:effectExtent l="0" t="0" r="0" b="0"/>
            <wp:docPr id="177939344" name="Picture 17793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95800" cy="6296025"/>
                    </a:xfrm>
                    <a:prstGeom prst="rect">
                      <a:avLst/>
                    </a:prstGeom>
                  </pic:spPr>
                </pic:pic>
              </a:graphicData>
            </a:graphic>
          </wp:inline>
        </w:drawing>
      </w:r>
    </w:p>
    <w:p w14:paraId="0B5CE870" w14:textId="77777777" w:rsidR="00F5773D" w:rsidRDefault="00B227C8">
      <w:pPr>
        <w:spacing w:before="40" w:after="200"/>
        <w:jc w:val="center"/>
      </w:pPr>
      <w:r>
        <w:rPr>
          <w:i/>
          <w:iCs/>
          <w:color w:val="555555"/>
          <w:sz w:val="18"/>
          <w:szCs w:val="18"/>
        </w:rPr>
        <w:t>Figure 6. Leave-one-out sensitivity analysis. Each row shows the pooled estimate when the labelled study is excluded. The vertical dashed line indicates the overall pooled estimate (96.7%). Red bars indicate studies with influence &gt; 0.5% (none identified). The narrow range of estimates across all exclusions confirms overall pooled estimate stability.</w:t>
      </w:r>
    </w:p>
    <w:p w14:paraId="064DD8FF" w14:textId="77777777" w:rsidR="00F5773D" w:rsidRDefault="00B227C8">
      <w:pPr>
        <w:pStyle w:val="Heading2"/>
      </w:pPr>
      <w:r>
        <w:t>7.2 Risk-of-Bias Sensitivity Analysis</w:t>
      </w:r>
    </w:p>
    <w:p w14:paraId="738A6CF9" w14:textId="77777777" w:rsidR="00F5773D" w:rsidRDefault="00B227C8">
      <w:pPr>
        <w:spacing w:before="80" w:after="80"/>
        <w:jc w:val="both"/>
      </w:pPr>
      <w:r>
        <w:t xml:space="preserve">A proxy risk-of-bias (ROB) sensitivity analysis was performed by stratifying studies by external validation status — a primary determinant of study quality in this domain. Studies with external validation (low-ROB proxy; k = 7) yielded a pooled accuracy of </w:t>
      </w:r>
      <w:r>
        <w:rPr>
          <w:b/>
          <w:bCs/>
        </w:rPr>
        <w:t>92.5% (95% CI: 86.9–95.8%)</w:t>
      </w:r>
      <w:r>
        <w:t>, compared with 97.1% (95% CI: 95.9–98.0%) for internal-only validation studies (high-ROB proxy; k = 44). This 4.6-point differential confirms that the overall pooled estimate is substantially inflated by methodologically weaker studies and reinforces that the bias-adjusted estimate of approximately 90–93% is a more clinically realistic figure for real-world deployable diagnostic accuracy.</w:t>
      </w:r>
    </w:p>
    <w:p w14:paraId="20839175" w14:textId="77777777" w:rsidR="00F5773D" w:rsidRDefault="00F5773D">
      <w:pPr>
        <w:spacing w:after="200"/>
      </w:pPr>
    </w:p>
    <w:p w14:paraId="726FF8DD" w14:textId="77777777" w:rsidR="00F5773D" w:rsidRDefault="00B227C8">
      <w:pPr>
        <w:pStyle w:val="Heading1"/>
      </w:pPr>
      <w:r>
        <w:lastRenderedPageBreak/>
        <w:t>8. Summary Dashboard</w:t>
      </w:r>
    </w:p>
    <w:p w14:paraId="4CAB1B70" w14:textId="77777777" w:rsidR="00F5773D" w:rsidRDefault="00B227C8">
      <w:pPr>
        <w:spacing w:before="80" w:after="80"/>
        <w:jc w:val="both"/>
      </w:pPr>
      <w:r>
        <w:t xml:space="preserve">Figure 7 provides a consolidated </w:t>
      </w:r>
      <w:proofErr w:type="spellStart"/>
      <w:r>
        <w:t>visualisation</w:t>
      </w:r>
      <w:proofErr w:type="spellEnd"/>
      <w:r>
        <w:t xml:space="preserve"> of the principal meta-analytic findings across all analytical domains.</w:t>
      </w:r>
    </w:p>
    <w:p w14:paraId="5B4879EB" w14:textId="77777777" w:rsidR="00F5773D" w:rsidRDefault="00F5773D">
      <w:pPr>
        <w:spacing w:after="80"/>
      </w:pPr>
    </w:p>
    <w:p w14:paraId="067A0B3C" w14:textId="77777777" w:rsidR="00F5773D" w:rsidRDefault="00B227C8">
      <w:pPr>
        <w:spacing w:before="200" w:after="80"/>
        <w:jc w:val="center"/>
      </w:pPr>
      <w:r>
        <w:rPr>
          <w:noProof/>
        </w:rPr>
        <w:drawing>
          <wp:inline distT="0" distB="0" distL="0" distR="0" wp14:anchorId="53C9ED0D" wp14:editId="0497F021">
            <wp:extent cx="6753225" cy="4800600"/>
            <wp:effectExtent l="0" t="0" r="0" b="0"/>
            <wp:docPr id="807474052" name="Picture 80747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753225" cy="4800600"/>
                    </a:xfrm>
                    <a:prstGeom prst="rect">
                      <a:avLst/>
                    </a:prstGeom>
                  </pic:spPr>
                </pic:pic>
              </a:graphicData>
            </a:graphic>
          </wp:inline>
        </w:drawing>
      </w:r>
    </w:p>
    <w:p w14:paraId="130DAEA1" w14:textId="77777777" w:rsidR="00F5773D" w:rsidRDefault="00B227C8">
      <w:pPr>
        <w:spacing w:before="40" w:after="200"/>
        <w:jc w:val="center"/>
      </w:pPr>
      <w:r>
        <w:rPr>
          <w:i/>
          <w:iCs/>
          <w:color w:val="555555"/>
          <w:sz w:val="18"/>
          <w:szCs w:val="18"/>
        </w:rPr>
        <w:t xml:space="preserve">Figure 7. Meta-analysis summary dashboard. (A) Pooled accuracy with 95% CI by model category. (B) I² heterogeneity by model category; </w:t>
      </w:r>
      <w:proofErr w:type="spellStart"/>
      <w:r>
        <w:rPr>
          <w:i/>
          <w:iCs/>
          <w:color w:val="555555"/>
          <w:sz w:val="18"/>
          <w:szCs w:val="18"/>
        </w:rPr>
        <w:t>colour</w:t>
      </w:r>
      <w:proofErr w:type="spellEnd"/>
      <w:r>
        <w:rPr>
          <w:i/>
          <w:iCs/>
          <w:color w:val="555555"/>
          <w:sz w:val="18"/>
          <w:szCs w:val="18"/>
        </w:rPr>
        <w:t xml:space="preserve"> indicates severity (green &lt; 50%, amber 50–75%, red &gt; 75%). (C) Public vs. clinical dataset performance comparison (Δ = 4.3%). (D) Pooled AUC by model category. (E) Pooled accuracy by classification task. (F) Key meta-analytic statistics.</w:t>
      </w:r>
    </w:p>
    <w:p w14:paraId="0EF101F3" w14:textId="77777777" w:rsidR="00F5773D" w:rsidRDefault="00B227C8">
      <w:pPr>
        <w:pStyle w:val="Heading1"/>
      </w:pPr>
      <w:r>
        <w:t>9. Consolidated Meta-Analysis Statistics</w:t>
      </w:r>
    </w:p>
    <w:p w14:paraId="4EE4883D" w14:textId="77777777" w:rsidR="00F5773D" w:rsidRDefault="00B227C8">
      <w:pPr>
        <w:pStyle w:val="Heading3"/>
        <w:spacing w:before="200"/>
      </w:pPr>
      <w:r>
        <w:t>Table 4. Complete Summary of Meta-Analytic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800"/>
        <w:gridCol w:w="1400"/>
        <w:gridCol w:w="1560"/>
      </w:tblGrid>
      <w:tr w:rsidR="00F5773D" w14:paraId="20BED0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304B7882" w14:textId="77777777" w:rsidR="00F5773D" w:rsidRDefault="00B227C8">
            <w:pPr>
              <w:jc w:val="center"/>
            </w:pPr>
            <w:r>
              <w:rPr>
                <w:b/>
                <w:bCs/>
                <w:color w:val="FFFFFF"/>
                <w:sz w:val="18"/>
                <w:szCs w:val="18"/>
              </w:rPr>
              <w:t>Analysis</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5A5ADFBA" w14:textId="77777777" w:rsidR="00F5773D" w:rsidRDefault="00B227C8">
            <w:pPr>
              <w:jc w:val="center"/>
            </w:pPr>
            <w:r>
              <w:rPr>
                <w:b/>
                <w:bCs/>
                <w:color w:val="FFFFFF"/>
                <w:sz w:val="18"/>
                <w:szCs w:val="18"/>
              </w:rPr>
              <w:t>k</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6B45CDDE" w14:textId="77777777" w:rsidR="00F5773D" w:rsidRDefault="00B227C8">
            <w:pPr>
              <w:jc w:val="center"/>
            </w:pPr>
            <w:r>
              <w:rPr>
                <w:b/>
                <w:bCs/>
                <w:color w:val="FFFFFF"/>
                <w:sz w:val="18"/>
                <w:szCs w:val="18"/>
              </w:rPr>
              <w:t>Pooled Estimate</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6FF79BAE" w14:textId="77777777" w:rsidR="00F5773D" w:rsidRDefault="00B227C8">
            <w:pPr>
              <w:jc w:val="center"/>
            </w:pPr>
            <w:r>
              <w:rPr>
                <w:b/>
                <w:bCs/>
                <w:color w:val="FFFFFF"/>
                <w:sz w:val="18"/>
                <w:szCs w:val="18"/>
              </w:rPr>
              <w:t>95% CI</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100" w:type="dxa"/>
            </w:tcMar>
            <w:vAlign w:val="center"/>
          </w:tcPr>
          <w:p w14:paraId="091C60EB" w14:textId="77777777" w:rsidR="00F5773D" w:rsidRDefault="00B227C8">
            <w:pPr>
              <w:jc w:val="center"/>
            </w:pPr>
            <w:r>
              <w:rPr>
                <w:b/>
                <w:bCs/>
                <w:color w:val="FFFFFF"/>
                <w:sz w:val="18"/>
                <w:szCs w:val="18"/>
              </w:rPr>
              <w:t>I² (%)</w:t>
            </w:r>
          </w:p>
        </w:tc>
      </w:tr>
      <w:tr w:rsidR="00F5773D" w14:paraId="288113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5EAE28" w14:textId="77777777" w:rsidR="00F5773D" w:rsidRDefault="00B227C8">
            <w:r>
              <w:rPr>
                <w:sz w:val="18"/>
                <w:szCs w:val="18"/>
              </w:rPr>
              <w:t>Overall pooled accuracy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4C1D81" w14:textId="77777777" w:rsidR="00F5773D" w:rsidRDefault="00B227C8">
            <w:pPr>
              <w:jc w:val="center"/>
            </w:pPr>
            <w:r>
              <w:rPr>
                <w:sz w:val="18"/>
                <w:szCs w:val="18"/>
              </w:rPr>
              <w:t>51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14CA0F" w14:textId="77777777" w:rsidR="00F5773D" w:rsidRDefault="00B227C8">
            <w:pPr>
              <w:jc w:val="center"/>
            </w:pPr>
            <w:r>
              <w:rPr>
                <w:sz w:val="18"/>
                <w:szCs w:val="18"/>
              </w:rPr>
              <w:t>96.7%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988660" w14:textId="77777777" w:rsidR="00F5773D" w:rsidRDefault="00B227C8">
            <w:pPr>
              <w:jc w:val="center"/>
            </w:pPr>
            <w:r>
              <w:rPr>
                <w:sz w:val="18"/>
                <w:szCs w:val="18"/>
              </w:rPr>
              <w:t>95.4–97.7%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68047D" w14:textId="77777777" w:rsidR="00F5773D" w:rsidRDefault="00B227C8">
            <w:pPr>
              <w:jc w:val="center"/>
            </w:pPr>
            <w:r>
              <w:rPr>
                <w:sz w:val="18"/>
                <w:szCs w:val="18"/>
              </w:rPr>
              <w:t>97.2</w:t>
            </w:r>
          </w:p>
        </w:tc>
      </w:tr>
      <w:tr w:rsidR="00F5773D" w14:paraId="08BBAF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ADC3BF1" w14:textId="77777777" w:rsidR="00F5773D" w:rsidRDefault="00B227C8">
            <w:r>
              <w:rPr>
                <w:sz w:val="18"/>
                <w:szCs w:val="18"/>
              </w:rPr>
              <w:t>Prediction interval (accuracy)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DF48EEC" w14:textId="77777777" w:rsidR="00F5773D" w:rsidRDefault="00B227C8">
            <w:pPr>
              <w:jc w:val="center"/>
            </w:pPr>
            <w:r>
              <w:rPr>
                <w:sz w:val="18"/>
                <w:szCs w:val="18"/>
              </w:rPr>
              <w:t>51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A1BF609" w14:textId="77777777" w:rsidR="00F5773D" w:rsidRDefault="00B227C8">
            <w:pPr>
              <w:jc w:val="center"/>
            </w:pPr>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DBA8C4F" w14:textId="77777777" w:rsidR="00F5773D" w:rsidRDefault="00B227C8">
            <w:pPr>
              <w:jc w:val="center"/>
            </w:pPr>
            <w:r>
              <w:rPr>
                <w:sz w:val="18"/>
                <w:szCs w:val="18"/>
              </w:rPr>
              <w:t>71.4–99.7%</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8A5B91E" w14:textId="77777777" w:rsidR="00F5773D" w:rsidRDefault="00B227C8">
            <w:pPr>
              <w:jc w:val="center"/>
            </w:pPr>
            <w:r>
              <w:rPr>
                <w:sz w:val="18"/>
                <w:szCs w:val="18"/>
              </w:rPr>
              <w:t>—</w:t>
            </w:r>
          </w:p>
        </w:tc>
      </w:tr>
      <w:tr w:rsidR="00F5773D" w14:paraId="68E1F7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35A3FD" w14:textId="77777777" w:rsidR="00F5773D" w:rsidRDefault="00B227C8">
            <w:r>
              <w:rPr>
                <w:sz w:val="18"/>
                <w:szCs w:val="18"/>
              </w:rPr>
              <w:t>CNN-based models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E0E698" w14:textId="77777777" w:rsidR="00F5773D" w:rsidRDefault="00B227C8">
            <w:pPr>
              <w:jc w:val="center"/>
            </w:pPr>
            <w:r>
              <w:rPr>
                <w:sz w:val="18"/>
                <w:szCs w:val="18"/>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FB2C36" w14:textId="77777777" w:rsidR="00F5773D" w:rsidRDefault="00B227C8">
            <w:pPr>
              <w:jc w:val="center"/>
            </w:pPr>
            <w:r>
              <w:rPr>
                <w:sz w:val="18"/>
                <w:szCs w:val="18"/>
              </w:rPr>
              <w:t>96.5%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DBE90A" w14:textId="77777777" w:rsidR="00F5773D" w:rsidRDefault="00B227C8">
            <w:pPr>
              <w:jc w:val="center"/>
            </w:pPr>
            <w:r>
              <w:rPr>
                <w:sz w:val="18"/>
                <w:szCs w:val="18"/>
              </w:rPr>
              <w:t>94.4–97.8%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87DACF" w14:textId="77777777" w:rsidR="00F5773D" w:rsidRDefault="00B227C8">
            <w:pPr>
              <w:jc w:val="center"/>
            </w:pPr>
            <w:r>
              <w:rPr>
                <w:sz w:val="18"/>
                <w:szCs w:val="18"/>
              </w:rPr>
              <w:t>96.3</w:t>
            </w:r>
          </w:p>
        </w:tc>
      </w:tr>
      <w:tr w:rsidR="00F5773D" w14:paraId="0AF9DC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FD4CAEC" w14:textId="77777777" w:rsidR="00F5773D" w:rsidRDefault="00B227C8">
            <w:r>
              <w:rPr>
                <w:sz w:val="18"/>
                <w:szCs w:val="18"/>
              </w:rPr>
              <w:t>Transfer learning models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1799B72" w14:textId="77777777" w:rsidR="00F5773D" w:rsidRDefault="00B227C8">
            <w:pPr>
              <w:jc w:val="center"/>
            </w:pPr>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14D4AD8" w14:textId="77777777" w:rsidR="00F5773D" w:rsidRDefault="00B227C8">
            <w:pPr>
              <w:jc w:val="center"/>
            </w:pPr>
            <w:r>
              <w:rPr>
                <w:sz w:val="18"/>
                <w:szCs w:val="18"/>
              </w:rPr>
              <w:t>97.3%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D3CFF8F" w14:textId="77777777" w:rsidR="00F5773D" w:rsidRDefault="00B227C8">
            <w:pPr>
              <w:jc w:val="center"/>
            </w:pPr>
            <w:r>
              <w:rPr>
                <w:sz w:val="18"/>
                <w:szCs w:val="18"/>
              </w:rPr>
              <w:t>94.2–98.8%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824E88B" w14:textId="77777777" w:rsidR="00F5773D" w:rsidRDefault="00B227C8">
            <w:pPr>
              <w:jc w:val="center"/>
            </w:pPr>
            <w:r>
              <w:rPr>
                <w:sz w:val="18"/>
                <w:szCs w:val="18"/>
              </w:rPr>
              <w:t>97.3</w:t>
            </w:r>
          </w:p>
        </w:tc>
      </w:tr>
      <w:tr w:rsidR="00F5773D" w14:paraId="4ADBEC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9D9EC2" w14:textId="77777777" w:rsidR="00F5773D" w:rsidRDefault="00B227C8">
            <w:r>
              <w:rPr>
                <w:sz w:val="18"/>
                <w:szCs w:val="18"/>
              </w:rPr>
              <w:t>Ensemble/Hybrid models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E03B76" w14:textId="77777777" w:rsidR="00F5773D" w:rsidRDefault="00B227C8">
            <w:pPr>
              <w:jc w:val="center"/>
            </w:pPr>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56068C" w14:textId="77777777" w:rsidR="00F5773D" w:rsidRDefault="00B227C8">
            <w:pPr>
              <w:jc w:val="center"/>
            </w:pPr>
            <w:r>
              <w:rPr>
                <w:sz w:val="18"/>
                <w:szCs w:val="18"/>
              </w:rPr>
              <w:t>97.8%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45D2E4" w14:textId="77777777" w:rsidR="00F5773D" w:rsidRDefault="00B227C8">
            <w:pPr>
              <w:jc w:val="center"/>
            </w:pPr>
            <w:r>
              <w:rPr>
                <w:sz w:val="18"/>
                <w:szCs w:val="18"/>
              </w:rPr>
              <w:t>94.9–99.1%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B87135" w14:textId="77777777" w:rsidR="00F5773D" w:rsidRDefault="00B227C8">
            <w:pPr>
              <w:jc w:val="center"/>
            </w:pPr>
            <w:r>
              <w:rPr>
                <w:sz w:val="18"/>
                <w:szCs w:val="18"/>
              </w:rPr>
              <w:t>97.4</w:t>
            </w:r>
          </w:p>
        </w:tc>
      </w:tr>
      <w:tr w:rsidR="00F5773D" w14:paraId="280EAF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2003FCE" w14:textId="77777777" w:rsidR="00F5773D" w:rsidRDefault="00B227C8">
            <w:r>
              <w:rPr>
                <w:sz w:val="18"/>
                <w:szCs w:val="18"/>
              </w:rPr>
              <w:lastRenderedPageBreak/>
              <w:t>Radiomics + classical ML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E9CAA4A" w14:textId="77777777" w:rsidR="00F5773D" w:rsidRDefault="00B227C8">
            <w:pPr>
              <w:jc w:val="center"/>
            </w:pPr>
            <w:r>
              <w:rPr>
                <w:sz w:val="18"/>
                <w:szCs w:val="18"/>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B3D9474" w14:textId="77777777" w:rsidR="00F5773D" w:rsidRDefault="00B227C8">
            <w:pPr>
              <w:jc w:val="center"/>
            </w:pPr>
            <w:r>
              <w:rPr>
                <w:sz w:val="18"/>
                <w:szCs w:val="18"/>
              </w:rPr>
              <w:t>92.7%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474E920" w14:textId="77777777" w:rsidR="00F5773D" w:rsidRDefault="00B227C8">
            <w:pPr>
              <w:jc w:val="center"/>
            </w:pPr>
            <w:r>
              <w:rPr>
                <w:sz w:val="18"/>
                <w:szCs w:val="18"/>
              </w:rPr>
              <w:t>89.8–94.8%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420594D" w14:textId="77777777" w:rsidR="00F5773D" w:rsidRDefault="00B227C8">
            <w:pPr>
              <w:jc w:val="center"/>
            </w:pPr>
            <w:r>
              <w:rPr>
                <w:sz w:val="18"/>
                <w:szCs w:val="18"/>
              </w:rPr>
              <w:t>55.6</w:t>
            </w:r>
          </w:p>
        </w:tc>
      </w:tr>
      <w:tr w:rsidR="00F5773D" w14:paraId="3B4581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6AA587" w14:textId="77777777" w:rsidR="00F5773D" w:rsidRDefault="00B227C8">
            <w:r>
              <w:rPr>
                <w:sz w:val="18"/>
                <w:szCs w:val="18"/>
              </w:rPr>
              <w:t>Public benchmark datasets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5D19F6" w14:textId="77777777" w:rsidR="00F5773D" w:rsidRDefault="00B227C8">
            <w:pPr>
              <w:jc w:val="center"/>
            </w:pPr>
            <w:r>
              <w:rPr>
                <w:sz w:val="18"/>
                <w:szCs w:val="18"/>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B9DE1E" w14:textId="77777777" w:rsidR="00F5773D" w:rsidRDefault="00B227C8">
            <w:pPr>
              <w:jc w:val="center"/>
            </w:pPr>
            <w:r>
              <w:rPr>
                <w:sz w:val="18"/>
                <w:szCs w:val="18"/>
              </w:rPr>
              <w:t>97.8%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8AE003" w14:textId="77777777" w:rsidR="00F5773D" w:rsidRDefault="00B227C8">
            <w:pPr>
              <w:jc w:val="center"/>
            </w:pPr>
            <w:r>
              <w:rPr>
                <w:sz w:val="18"/>
                <w:szCs w:val="18"/>
              </w:rPr>
              <w:t>96.5–98.6%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C0DF5C" w14:textId="77777777" w:rsidR="00F5773D" w:rsidRDefault="00B227C8">
            <w:pPr>
              <w:jc w:val="center"/>
            </w:pPr>
            <w:r>
              <w:rPr>
                <w:sz w:val="18"/>
                <w:szCs w:val="18"/>
              </w:rPr>
              <w:t>97.5</w:t>
            </w:r>
          </w:p>
        </w:tc>
      </w:tr>
      <w:tr w:rsidR="00F5773D" w14:paraId="4AE422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4766A28" w14:textId="77777777" w:rsidR="00F5773D" w:rsidRDefault="00B227C8">
            <w:r>
              <w:rPr>
                <w:sz w:val="18"/>
                <w:szCs w:val="18"/>
              </w:rPr>
              <w:t>Clinical institutional datasets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DD364B5" w14:textId="77777777" w:rsidR="00F5773D" w:rsidRDefault="00B227C8">
            <w:pPr>
              <w:jc w:val="center"/>
            </w:pPr>
            <w:r>
              <w:rPr>
                <w:sz w:val="18"/>
                <w:szCs w:val="18"/>
              </w:rPr>
              <w:t>19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1CB6E6A" w14:textId="77777777" w:rsidR="00F5773D" w:rsidRDefault="00B227C8">
            <w:pPr>
              <w:jc w:val="center"/>
            </w:pPr>
            <w:r>
              <w:rPr>
                <w:sz w:val="18"/>
                <w:szCs w:val="18"/>
              </w:rPr>
              <w:t>93.5%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4579952" w14:textId="77777777" w:rsidR="00F5773D" w:rsidRDefault="00B227C8">
            <w:pPr>
              <w:jc w:val="center"/>
            </w:pPr>
            <w:r>
              <w:rPr>
                <w:sz w:val="18"/>
                <w:szCs w:val="18"/>
              </w:rPr>
              <w:t>90.7–95.5%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FA1BD34" w14:textId="77777777" w:rsidR="00F5773D" w:rsidRDefault="00B227C8">
            <w:pPr>
              <w:jc w:val="center"/>
            </w:pPr>
            <w:r>
              <w:rPr>
                <w:sz w:val="18"/>
                <w:szCs w:val="18"/>
              </w:rPr>
              <w:t>91.5</w:t>
            </w:r>
          </w:p>
        </w:tc>
      </w:tr>
      <w:tr w:rsidR="00F5773D" w14:paraId="066A35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039B9E" w14:textId="77777777" w:rsidR="00F5773D" w:rsidRDefault="00B227C8">
            <w:r>
              <w:rPr>
                <w:sz w:val="18"/>
                <w:szCs w:val="18"/>
              </w:rPr>
              <w:t>Tumor type classification task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75BB1C" w14:textId="77777777" w:rsidR="00F5773D" w:rsidRDefault="00B227C8">
            <w:pPr>
              <w:jc w:val="center"/>
            </w:pPr>
            <w:r>
              <w:rPr>
                <w:sz w:val="18"/>
                <w:szCs w:val="18"/>
              </w:rPr>
              <w:t>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9822A7" w14:textId="77777777" w:rsidR="00F5773D" w:rsidRDefault="00B227C8">
            <w:pPr>
              <w:jc w:val="center"/>
            </w:pPr>
            <w:r>
              <w:rPr>
                <w:sz w:val="18"/>
                <w:szCs w:val="18"/>
              </w:rPr>
              <w:t>98.0%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760F59" w14:textId="77777777" w:rsidR="00F5773D" w:rsidRDefault="00B227C8">
            <w:pPr>
              <w:jc w:val="center"/>
            </w:pPr>
            <w:r>
              <w:rPr>
                <w:sz w:val="18"/>
                <w:szCs w:val="18"/>
              </w:rPr>
              <w:t>96.4–98.9%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37A964" w14:textId="77777777" w:rsidR="00F5773D" w:rsidRDefault="00B227C8">
            <w:pPr>
              <w:jc w:val="center"/>
            </w:pPr>
            <w:r>
              <w:rPr>
                <w:sz w:val="18"/>
                <w:szCs w:val="18"/>
              </w:rPr>
              <w:t>98.4</w:t>
            </w:r>
          </w:p>
        </w:tc>
      </w:tr>
      <w:tr w:rsidR="00F5773D" w14:paraId="75F034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3A37B59" w14:textId="77777777" w:rsidR="00F5773D" w:rsidRDefault="00B227C8">
            <w:r>
              <w:rPr>
                <w:sz w:val="18"/>
                <w:szCs w:val="18"/>
              </w:rPr>
              <w:t>Glioma grading task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1BFCC4B" w14:textId="77777777" w:rsidR="00F5773D" w:rsidRDefault="00B227C8">
            <w:pPr>
              <w:jc w:val="center"/>
            </w:pPr>
            <w:r>
              <w:rPr>
                <w:sz w:val="18"/>
                <w:szCs w:val="18"/>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0D0D3F" w14:textId="77777777" w:rsidR="00F5773D" w:rsidRDefault="00B227C8">
            <w:pPr>
              <w:jc w:val="center"/>
            </w:pPr>
            <w:r>
              <w:rPr>
                <w:sz w:val="18"/>
                <w:szCs w:val="18"/>
              </w:rPr>
              <w:t>94.3%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DC205F9" w14:textId="77777777" w:rsidR="00F5773D" w:rsidRDefault="00B227C8">
            <w:pPr>
              <w:jc w:val="center"/>
            </w:pPr>
            <w:r>
              <w:rPr>
                <w:sz w:val="18"/>
                <w:szCs w:val="18"/>
              </w:rPr>
              <w:t>91.9–96.1%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76C045D" w14:textId="77777777" w:rsidR="00F5773D" w:rsidRDefault="00B227C8">
            <w:pPr>
              <w:jc w:val="center"/>
            </w:pPr>
            <w:r>
              <w:rPr>
                <w:sz w:val="18"/>
                <w:szCs w:val="18"/>
              </w:rPr>
              <w:t>87.3</w:t>
            </w:r>
          </w:p>
        </w:tc>
      </w:tr>
      <w:tr w:rsidR="00F5773D" w14:paraId="4202A9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200452" w14:textId="77777777" w:rsidR="00F5773D" w:rsidRDefault="00B227C8">
            <w:r>
              <w:rPr>
                <w:sz w:val="18"/>
                <w:szCs w:val="18"/>
              </w:rPr>
              <w:t>Binary classification task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526CC5" w14:textId="77777777" w:rsidR="00F5773D" w:rsidRDefault="00B227C8">
            <w:pPr>
              <w:jc w:val="center"/>
            </w:pPr>
            <w:r>
              <w:rPr>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239723" w14:textId="77777777" w:rsidR="00F5773D" w:rsidRDefault="00B227C8">
            <w:pPr>
              <w:jc w:val="center"/>
            </w:pPr>
            <w:r>
              <w:rPr>
                <w:sz w:val="18"/>
                <w:szCs w:val="18"/>
              </w:rPr>
              <w:t>95.2%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69DDD3" w14:textId="77777777" w:rsidR="00F5773D" w:rsidRDefault="00B227C8">
            <w:pPr>
              <w:jc w:val="center"/>
            </w:pPr>
            <w:r>
              <w:rPr>
                <w:sz w:val="18"/>
                <w:szCs w:val="18"/>
              </w:rPr>
              <w:t>92.0–97.1%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6FC5C4" w14:textId="77777777" w:rsidR="00F5773D" w:rsidRDefault="00B227C8">
            <w:pPr>
              <w:jc w:val="center"/>
            </w:pPr>
            <w:r>
              <w:rPr>
                <w:sz w:val="18"/>
                <w:szCs w:val="18"/>
              </w:rPr>
              <w:t>85.4</w:t>
            </w:r>
          </w:p>
        </w:tc>
      </w:tr>
      <w:tr w:rsidR="00F5773D" w14:paraId="159ABF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B1D1291" w14:textId="77777777" w:rsidR="00F5773D" w:rsidRDefault="00B227C8">
            <w:r>
              <w:rPr>
                <w:sz w:val="18"/>
                <w:szCs w:val="18"/>
              </w:rPr>
              <w:t>External validation studies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55E4E9F" w14:textId="77777777" w:rsidR="00F5773D" w:rsidRDefault="00B227C8">
            <w:pPr>
              <w:jc w:val="center"/>
            </w:pPr>
            <w:r>
              <w:rPr>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DFAECAD" w14:textId="77777777" w:rsidR="00F5773D" w:rsidRDefault="00B227C8">
            <w:pPr>
              <w:jc w:val="center"/>
            </w:pPr>
            <w:r>
              <w:rPr>
                <w:sz w:val="18"/>
                <w:szCs w:val="18"/>
              </w:rPr>
              <w:t>92.5%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E566432" w14:textId="77777777" w:rsidR="00F5773D" w:rsidRDefault="00B227C8">
            <w:pPr>
              <w:jc w:val="center"/>
            </w:pPr>
            <w:r>
              <w:rPr>
                <w:sz w:val="18"/>
                <w:szCs w:val="18"/>
              </w:rPr>
              <w:t>86.9–95.8%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34E803F" w14:textId="77777777" w:rsidR="00F5773D" w:rsidRDefault="00B227C8">
            <w:pPr>
              <w:jc w:val="center"/>
            </w:pPr>
            <w:r>
              <w:rPr>
                <w:sz w:val="18"/>
                <w:szCs w:val="18"/>
              </w:rPr>
              <w:t>95.2</w:t>
            </w:r>
          </w:p>
        </w:tc>
      </w:tr>
      <w:tr w:rsidR="00F5773D" w14:paraId="74361D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B3C682" w14:textId="77777777" w:rsidR="00F5773D" w:rsidRDefault="00B227C8">
            <w:r>
              <w:rPr>
                <w:sz w:val="18"/>
                <w:szCs w:val="18"/>
              </w:rPr>
              <w:t>Internal-only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D36934" w14:textId="77777777" w:rsidR="00F5773D" w:rsidRDefault="00B227C8">
            <w:pPr>
              <w:jc w:val="center"/>
            </w:pPr>
            <w:r>
              <w:rPr>
                <w:sz w:val="18"/>
                <w:szCs w:val="18"/>
              </w:rPr>
              <w:t>44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77D306" w14:textId="77777777" w:rsidR="00F5773D" w:rsidRDefault="00B227C8">
            <w:pPr>
              <w:jc w:val="center"/>
            </w:pPr>
            <w:r>
              <w:rPr>
                <w:sz w:val="18"/>
                <w:szCs w:val="18"/>
              </w:rPr>
              <w:t>97.1%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E74C91" w14:textId="77777777" w:rsidR="00F5773D" w:rsidRDefault="00B227C8">
            <w:pPr>
              <w:jc w:val="center"/>
            </w:pPr>
            <w:r>
              <w:rPr>
                <w:sz w:val="18"/>
                <w:szCs w:val="18"/>
              </w:rPr>
              <w:t>95.9–98.0%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714A23" w14:textId="77777777" w:rsidR="00F5773D" w:rsidRDefault="00B227C8">
            <w:pPr>
              <w:jc w:val="center"/>
            </w:pPr>
            <w:r>
              <w:rPr>
                <w:sz w:val="18"/>
                <w:szCs w:val="18"/>
              </w:rPr>
              <w:t>96.8</w:t>
            </w:r>
          </w:p>
        </w:tc>
      </w:tr>
      <w:tr w:rsidR="00F5773D" w14:paraId="285372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128F1F" w14:textId="77777777" w:rsidR="00F5773D" w:rsidRDefault="00B227C8">
            <w:r>
              <w:rPr>
                <w:sz w:val="18"/>
                <w:szCs w:val="18"/>
              </w:rPr>
              <w:t>Overall pooled AUC</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2097399" w14:textId="77777777" w:rsidR="00F5773D" w:rsidRDefault="00B227C8">
            <w:pPr>
              <w:jc w:val="center"/>
            </w:pPr>
            <w:r>
              <w:rPr>
                <w:sz w:val="18"/>
                <w:szCs w:val="18"/>
              </w:rPr>
              <w:t>17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FA49E87" w14:textId="77777777" w:rsidR="00F5773D" w:rsidRDefault="00B227C8">
            <w:pPr>
              <w:jc w:val="center"/>
            </w:pPr>
            <w:r>
              <w:rPr>
                <w:sz w:val="18"/>
                <w:szCs w:val="18"/>
              </w:rPr>
              <w:t>0.954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9629B41" w14:textId="77777777" w:rsidR="00F5773D" w:rsidRDefault="00B227C8">
            <w:pPr>
              <w:jc w:val="center"/>
            </w:pPr>
            <w:r>
              <w:rPr>
                <w:sz w:val="18"/>
                <w:szCs w:val="18"/>
              </w:rPr>
              <w:t>0.940–0.967</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6EAC9FA" w14:textId="77777777" w:rsidR="00F5773D" w:rsidRDefault="00B227C8">
            <w:pPr>
              <w:jc w:val="center"/>
            </w:pPr>
            <w:r>
              <w:rPr>
                <w:sz w:val="18"/>
                <w:szCs w:val="18"/>
              </w:rPr>
              <w:t>92.7</w:t>
            </w:r>
          </w:p>
        </w:tc>
      </w:tr>
      <w:tr w:rsidR="00F5773D" w14:paraId="0BDAB7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6DF3A7" w14:textId="77777777" w:rsidR="00F5773D" w:rsidRDefault="00B227C8">
            <w:r>
              <w:rPr>
                <w:sz w:val="18"/>
                <w:szCs w:val="18"/>
              </w:rPr>
              <w:t>CNN pooled AUC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290E8F" w14:textId="77777777" w:rsidR="00F5773D" w:rsidRDefault="00B227C8">
            <w:pPr>
              <w:jc w:val="center"/>
            </w:pPr>
            <w:r>
              <w:rPr>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2042F7" w14:textId="77777777" w:rsidR="00F5773D" w:rsidRDefault="00B227C8">
            <w:pPr>
              <w:jc w:val="center"/>
            </w:pPr>
            <w:r>
              <w:rPr>
                <w:sz w:val="18"/>
                <w:szCs w:val="18"/>
              </w:rPr>
              <w:t>0.970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B5CE5B" w14:textId="77777777" w:rsidR="00F5773D" w:rsidRDefault="00B227C8">
            <w:pPr>
              <w:jc w:val="center"/>
            </w:pPr>
            <w:r>
              <w:rPr>
                <w:sz w:val="18"/>
                <w:szCs w:val="18"/>
              </w:rPr>
              <w:t>0.956–0.984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BA3D9F" w14:textId="77777777" w:rsidR="00F5773D" w:rsidRDefault="00B227C8">
            <w:pPr>
              <w:jc w:val="center"/>
            </w:pPr>
            <w:r>
              <w:rPr>
                <w:sz w:val="18"/>
                <w:szCs w:val="18"/>
              </w:rPr>
              <w:t>93.5</w:t>
            </w:r>
          </w:p>
        </w:tc>
      </w:tr>
      <w:tr w:rsidR="00F5773D" w14:paraId="346A1E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0CFF882" w14:textId="77777777" w:rsidR="00F5773D" w:rsidRDefault="00B227C8">
            <w:r>
              <w:rPr>
                <w:sz w:val="18"/>
                <w:szCs w:val="18"/>
              </w:rPr>
              <w:t>Radiomics pooled AUC</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57D9082" w14:textId="77777777" w:rsidR="00F5773D" w:rsidRDefault="00B227C8">
            <w:pPr>
              <w:jc w:val="center"/>
            </w:pPr>
            <w:r>
              <w:rPr>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D1D99AD" w14:textId="77777777" w:rsidR="00F5773D" w:rsidRDefault="00B227C8">
            <w:pPr>
              <w:jc w:val="center"/>
            </w:pPr>
            <w:r>
              <w:rPr>
                <w:sz w:val="18"/>
                <w:szCs w:val="18"/>
              </w:rPr>
              <w:t>0.900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39D6281" w14:textId="77777777" w:rsidR="00F5773D" w:rsidRDefault="00B227C8">
            <w:pPr>
              <w:jc w:val="center"/>
            </w:pPr>
            <w:r>
              <w:rPr>
                <w:sz w:val="18"/>
                <w:szCs w:val="18"/>
              </w:rPr>
              <w:t>0.837–0.962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7D8D4D7" w14:textId="77777777" w:rsidR="00F5773D" w:rsidRDefault="00B227C8">
            <w:pPr>
              <w:jc w:val="center"/>
            </w:pPr>
            <w:r>
              <w:rPr>
                <w:sz w:val="18"/>
                <w:szCs w:val="18"/>
              </w:rPr>
              <w:t>89.5</w:t>
            </w:r>
          </w:p>
        </w:tc>
      </w:tr>
      <w:tr w:rsidR="00F5773D" w14:paraId="22939D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12087D" w14:textId="77777777" w:rsidR="00F5773D" w:rsidRDefault="00B227C8">
            <w:r>
              <w:rPr>
                <w:sz w:val="18"/>
                <w:szCs w:val="18"/>
              </w:rPr>
              <w:t>Egger's test (pub bias)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DC87F6" w14:textId="77777777" w:rsidR="00F5773D" w:rsidRDefault="00B227C8">
            <w:pPr>
              <w:jc w:val="center"/>
            </w:pPr>
            <w:r>
              <w:rPr>
                <w:sz w:val="18"/>
                <w:szCs w:val="18"/>
              </w:rPr>
              <w:t>51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58DF6E" w14:textId="77777777" w:rsidR="00F5773D" w:rsidRDefault="00B227C8">
            <w:pPr>
              <w:jc w:val="center"/>
            </w:pPr>
            <w:r>
              <w:rPr>
                <w:sz w:val="18"/>
                <w:szCs w:val="18"/>
              </w:rPr>
              <w:t>Intercept = 3.30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804A7D" w14:textId="77777777" w:rsidR="00F5773D" w:rsidRDefault="00B227C8">
            <w:pPr>
              <w:jc w:val="center"/>
            </w:pPr>
            <w:r>
              <w:rPr>
                <w:sz w:val="18"/>
                <w:szCs w:val="18"/>
              </w:rPr>
              <w:t>p = 0.023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B67AD8" w14:textId="77777777" w:rsidR="00F5773D" w:rsidRDefault="00B227C8">
            <w:pPr>
              <w:jc w:val="center"/>
            </w:pPr>
            <w:r>
              <w:rPr>
                <w:sz w:val="18"/>
                <w:szCs w:val="18"/>
              </w:rPr>
              <w:t>—</w:t>
            </w:r>
          </w:p>
        </w:tc>
      </w:tr>
      <w:tr w:rsidR="00F5773D" w14:paraId="5271A7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14164907" w14:textId="77777777" w:rsidR="00F5773D" w:rsidRDefault="00B227C8">
            <w:r>
              <w:rPr>
                <w:sz w:val="18"/>
                <w:szCs w:val="18"/>
              </w:rPr>
              <w:t>Trim-and-fill adjusted acc.</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35FC5953" w14:textId="77777777" w:rsidR="00F5773D" w:rsidRDefault="00B227C8">
            <w:pPr>
              <w:jc w:val="center"/>
            </w:pPr>
            <w:r>
              <w:rPr>
                <w:sz w:val="18"/>
                <w:szCs w:val="18"/>
              </w:rPr>
              <w:t>51+23</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2CFB9F71" w14:textId="77777777" w:rsidR="00F5773D" w:rsidRDefault="00B227C8">
            <w:pPr>
              <w:jc w:val="center"/>
            </w:pPr>
            <w:r>
              <w:rPr>
                <w:sz w:val="18"/>
                <w:szCs w:val="18"/>
              </w:rPr>
              <w:t>90.3%</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4C20872B" w14:textId="77777777" w:rsidR="00F5773D" w:rsidRDefault="00B227C8">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16EE63A6" w14:textId="77777777" w:rsidR="00F5773D" w:rsidRDefault="00B227C8">
            <w:pPr>
              <w:jc w:val="center"/>
            </w:pPr>
            <w:r>
              <w:rPr>
                <w:sz w:val="18"/>
                <w:szCs w:val="18"/>
              </w:rPr>
              <w:t>—</w:t>
            </w:r>
          </w:p>
        </w:tc>
      </w:tr>
    </w:tbl>
    <w:p w14:paraId="6D3E5A47" w14:textId="77777777" w:rsidR="00F5773D" w:rsidRDefault="00B227C8">
      <w:pPr>
        <w:spacing w:before="60" w:after="200"/>
      </w:pPr>
      <w:r>
        <w:rPr>
          <w:i/>
          <w:iCs/>
          <w:color w:val="666666"/>
          <w:sz w:val="18"/>
          <w:szCs w:val="18"/>
        </w:rPr>
        <w:t xml:space="preserve">k: number of studies. CI: confidence interval. I²: heterogeneity index. AUC: area under curve. All accuracy models: </w:t>
      </w:r>
      <w:proofErr w:type="spellStart"/>
      <w:r>
        <w:rPr>
          <w:i/>
          <w:iCs/>
          <w:color w:val="666666"/>
          <w:sz w:val="18"/>
          <w:szCs w:val="18"/>
        </w:rPr>
        <w:t>DerSimonian</w:t>
      </w:r>
      <w:proofErr w:type="spellEnd"/>
      <w:r>
        <w:rPr>
          <w:i/>
          <w:iCs/>
          <w:color w:val="666666"/>
          <w:sz w:val="18"/>
          <w:szCs w:val="18"/>
        </w:rPr>
        <w:t xml:space="preserve">-Laird random-effects, logit-transformed. AUC models: </w:t>
      </w:r>
      <w:proofErr w:type="spellStart"/>
      <w:r>
        <w:rPr>
          <w:i/>
          <w:iCs/>
          <w:color w:val="666666"/>
          <w:sz w:val="18"/>
          <w:szCs w:val="18"/>
        </w:rPr>
        <w:t>DerSimonian</w:t>
      </w:r>
      <w:proofErr w:type="spellEnd"/>
      <w:r>
        <w:rPr>
          <w:i/>
          <w:iCs/>
          <w:color w:val="666666"/>
          <w:sz w:val="18"/>
          <w:szCs w:val="18"/>
        </w:rPr>
        <w:t>-Laird random-effects, Hanley-McNeil variance. τ² (overall) = 1.479. Cochran's Q = 1799.84, p &lt; 0.001.</w:t>
      </w:r>
    </w:p>
    <w:p w14:paraId="0C1A3F98" w14:textId="77777777" w:rsidR="00F5773D" w:rsidRDefault="00B227C8">
      <w:pPr>
        <w:pStyle w:val="Heading1"/>
      </w:pPr>
      <w:r>
        <w:t>10. Key Quantitative Findings for Discussion</w:t>
      </w:r>
    </w:p>
    <w:p w14:paraId="66066FFA" w14:textId="77777777" w:rsidR="00F5773D" w:rsidRDefault="00B227C8">
      <w:pPr>
        <w:spacing w:before="80" w:after="80"/>
        <w:jc w:val="both"/>
      </w:pPr>
      <w:r>
        <w:t>The following five findings from this meta-analysis carry the greatest clinical and methodological significance for Q1 journal submission:</w:t>
      </w:r>
    </w:p>
    <w:p w14:paraId="2002A7C8" w14:textId="77777777" w:rsidR="00F5773D" w:rsidRDefault="00F5773D">
      <w:pPr>
        <w:spacing w:after="80"/>
      </w:pPr>
    </w:p>
    <w:p w14:paraId="20EB74F5" w14:textId="77777777" w:rsidR="00F5773D" w:rsidRDefault="00B227C8">
      <w:pPr>
        <w:pStyle w:val="ListParagraph"/>
        <w:numPr>
          <w:ilvl w:val="0"/>
          <w:numId w:val="2"/>
        </w:numPr>
      </w:pPr>
      <w:r>
        <w:rPr>
          <w:b/>
          <w:bCs/>
        </w:rPr>
        <w:t xml:space="preserve">Inflated headline accuracy. </w:t>
      </w:r>
      <w:r>
        <w:t>The unadjusted pooled accuracy of 96.7% is substantially inflated by publication bias (Egger's p = 0.023) and internal-only validation; bias-adjusted accuracy is 90.3%, and externally validated studies achieve only 92.5%.</w:t>
      </w:r>
    </w:p>
    <w:p w14:paraId="03F2918E" w14:textId="77777777" w:rsidR="00F5773D" w:rsidRDefault="00B227C8">
      <w:pPr>
        <w:pStyle w:val="ListParagraph"/>
        <w:numPr>
          <w:ilvl w:val="0"/>
          <w:numId w:val="2"/>
        </w:numPr>
      </w:pPr>
      <w:r>
        <w:rPr>
          <w:b/>
          <w:bCs/>
        </w:rPr>
        <w:t xml:space="preserve">Extreme heterogeneity. </w:t>
      </w:r>
      <w:r>
        <w:t>I² = 97.2% indicates that study design, dataset characteristics, and validation strategy — not model performance — dominate variance in reported accuracy. The prediction interval (71.4–99.7%) reflects this clinical uncertainty.</w:t>
      </w:r>
    </w:p>
    <w:p w14:paraId="0BC6B10E" w14:textId="77777777" w:rsidR="00F5773D" w:rsidRDefault="00B227C8">
      <w:pPr>
        <w:pStyle w:val="ListParagraph"/>
        <w:numPr>
          <w:ilvl w:val="0"/>
          <w:numId w:val="2"/>
        </w:numPr>
      </w:pPr>
      <w:r>
        <w:rPr>
          <w:b/>
          <w:bCs/>
        </w:rPr>
        <w:t xml:space="preserve">Public vs. clinical performance gap. </w:t>
      </w:r>
      <w:r>
        <w:t xml:space="preserve">A systematic 4.3 </w:t>
      </w:r>
      <w:proofErr w:type="gramStart"/>
      <w:r>
        <w:t>percentage point</w:t>
      </w:r>
      <w:proofErr w:type="gramEnd"/>
      <w:r>
        <w:t xml:space="preserve"> performance premium for public benchmark datasets over clinical institutional data (97.8% vs. 93.5%) documents the </w:t>
      </w:r>
      <w:proofErr w:type="spellStart"/>
      <w:r>
        <w:t>generalisation</w:t>
      </w:r>
      <w:proofErr w:type="spellEnd"/>
      <w:r>
        <w:t xml:space="preserve"> gap between benchmark and real-world environments.</w:t>
      </w:r>
    </w:p>
    <w:p w14:paraId="60832FF7" w14:textId="77777777" w:rsidR="00F5773D" w:rsidRDefault="00B227C8">
      <w:pPr>
        <w:pStyle w:val="ListParagraph"/>
        <w:numPr>
          <w:ilvl w:val="0"/>
          <w:numId w:val="2"/>
        </w:numPr>
      </w:pPr>
      <w:r>
        <w:rPr>
          <w:b/>
          <w:bCs/>
        </w:rPr>
        <w:t xml:space="preserve">Radiomics vs. deep learning AUC differential. </w:t>
      </w:r>
      <w:r>
        <w:t>CNN models outperform radiomics by 0.070 AUC units (0.970 vs. 0.900; p estimated &lt; 0.05 from subgroup CIs), though both remain above the 0.90 threshold for excellent discrimination.</w:t>
      </w:r>
    </w:p>
    <w:p w14:paraId="23D3F451" w14:textId="77777777" w:rsidR="00F5773D" w:rsidRDefault="00B227C8">
      <w:pPr>
        <w:pStyle w:val="ListParagraph"/>
        <w:numPr>
          <w:ilvl w:val="0"/>
          <w:numId w:val="2"/>
        </w:numPr>
        <w:spacing w:after="120"/>
      </w:pPr>
      <w:r>
        <w:rPr>
          <w:b/>
          <w:bCs/>
        </w:rPr>
        <w:t xml:space="preserve">No temporal improvement in accuracy. </w:t>
      </w:r>
      <w:r>
        <w:t>Contrary to expectation, reported accuracy has not significantly increased over 2017–2025 (r = 0.08, p = 0.57), likely because architectural improvements have been offset by more challenging tasks and datasets.</w:t>
      </w:r>
    </w:p>
    <w:p w14:paraId="15509C3F" w14:textId="77777777" w:rsidR="00F5773D" w:rsidRDefault="00B227C8">
      <w:pPr>
        <w:pStyle w:val="Heading1"/>
      </w:pPr>
      <w:r>
        <w:t>Statistical Methods Note</w:t>
      </w:r>
    </w:p>
    <w:p w14:paraId="5086E80A" w14:textId="77777777" w:rsidR="00F5773D" w:rsidRDefault="00B227C8">
      <w:pPr>
        <w:spacing w:before="80" w:after="80"/>
        <w:jc w:val="both"/>
      </w:pPr>
      <w:r>
        <w:rPr>
          <w:b/>
          <w:bCs/>
        </w:rPr>
        <w:t xml:space="preserve">Meta-analytic methods. </w:t>
      </w:r>
      <w:r>
        <w:t xml:space="preserve">All pooled estimates were computed using the </w:t>
      </w:r>
      <w:proofErr w:type="spellStart"/>
      <w:r>
        <w:t>DerSimonian</w:t>
      </w:r>
      <w:proofErr w:type="spellEnd"/>
      <w:r>
        <w:t xml:space="preserve">-Laird random-effects model. Accuracy values were logit-transformed prior to pooling to satisfy normality assumptions; back-transformed estimates are reported throughout. Within-study variance for accuracy data was estimated using the formula </w:t>
      </w:r>
      <w:proofErr w:type="gramStart"/>
      <w:r>
        <w:t>var(</w:t>
      </w:r>
      <w:proofErr w:type="gramEnd"/>
      <w:r>
        <w:t>logit p̂) ≈ 1/(</w:t>
      </w:r>
      <w:proofErr w:type="spellStart"/>
      <w:r>
        <w:t>n·p</w:t>
      </w:r>
      <w:proofErr w:type="spellEnd"/>
      <w:r>
        <w:t>̂·(1−p̂)); for studies not reporting sample size (n = 19), the median sample size across reporting studies (n = 284) was imputed as a conservative estimate. AUC pooling used direct pooling wi</w:t>
      </w:r>
      <w:r>
        <w:t xml:space="preserve">th Hanley-McNeil variance approximation. Between-subgroup heterogeneity was assessed using the between-subgroup Q statistic. Publication bias was </w:t>
      </w:r>
      <w:r>
        <w:lastRenderedPageBreak/>
        <w:t>evaluated with Egger's weighted regression and the Duval-Tweedie trim-and-fill L₀ estimator. Leave-one-out analysis was performed by sequential single-study exclusion. All analyses were conducted in Python 3 using NumPy 2.4 and SciPy 1.17. Figures were generated with Matplotlib 3.10.</w:t>
      </w:r>
    </w:p>
    <w:p w14:paraId="6280A897" w14:textId="77777777" w:rsidR="00F5773D" w:rsidRDefault="00F5773D">
      <w:pPr>
        <w:spacing w:after="400"/>
      </w:pPr>
    </w:p>
    <w:sectPr w:rsidR="00F5773D">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2967"/>
    <w:multiLevelType w:val="hybridMultilevel"/>
    <w:tmpl w:val="27403FC2"/>
    <w:lvl w:ilvl="0" w:tplc="4DA07F82">
      <w:start w:val="1"/>
      <w:numFmt w:val="bullet"/>
      <w:lvlText w:val="●"/>
      <w:lvlJc w:val="left"/>
      <w:pPr>
        <w:ind w:left="720" w:hanging="360"/>
      </w:pPr>
    </w:lvl>
    <w:lvl w:ilvl="1" w:tplc="107E33FC">
      <w:start w:val="1"/>
      <w:numFmt w:val="bullet"/>
      <w:lvlText w:val="○"/>
      <w:lvlJc w:val="left"/>
      <w:pPr>
        <w:ind w:left="1440" w:hanging="360"/>
      </w:pPr>
    </w:lvl>
    <w:lvl w:ilvl="2" w:tplc="BB02C0BC">
      <w:start w:val="1"/>
      <w:numFmt w:val="bullet"/>
      <w:lvlText w:val="■"/>
      <w:lvlJc w:val="left"/>
      <w:pPr>
        <w:ind w:left="2160" w:hanging="360"/>
      </w:pPr>
    </w:lvl>
    <w:lvl w:ilvl="3" w:tplc="7AD4A8DA">
      <w:start w:val="1"/>
      <w:numFmt w:val="bullet"/>
      <w:lvlText w:val="●"/>
      <w:lvlJc w:val="left"/>
      <w:pPr>
        <w:ind w:left="2880" w:hanging="360"/>
      </w:pPr>
    </w:lvl>
    <w:lvl w:ilvl="4" w:tplc="49D26784">
      <w:start w:val="1"/>
      <w:numFmt w:val="bullet"/>
      <w:lvlText w:val="○"/>
      <w:lvlJc w:val="left"/>
      <w:pPr>
        <w:ind w:left="3600" w:hanging="360"/>
      </w:pPr>
    </w:lvl>
    <w:lvl w:ilvl="5" w:tplc="A3FA3620">
      <w:start w:val="1"/>
      <w:numFmt w:val="bullet"/>
      <w:lvlText w:val="■"/>
      <w:lvlJc w:val="left"/>
      <w:pPr>
        <w:ind w:left="4320" w:hanging="360"/>
      </w:pPr>
    </w:lvl>
    <w:lvl w:ilvl="6" w:tplc="F0CEA426">
      <w:start w:val="1"/>
      <w:numFmt w:val="bullet"/>
      <w:lvlText w:val="●"/>
      <w:lvlJc w:val="left"/>
      <w:pPr>
        <w:ind w:left="5040" w:hanging="360"/>
      </w:pPr>
    </w:lvl>
    <w:lvl w:ilvl="7" w:tplc="F600F6D2">
      <w:start w:val="1"/>
      <w:numFmt w:val="bullet"/>
      <w:lvlText w:val="●"/>
      <w:lvlJc w:val="left"/>
      <w:pPr>
        <w:ind w:left="5760" w:hanging="360"/>
      </w:pPr>
    </w:lvl>
    <w:lvl w:ilvl="8" w:tplc="8252FF98">
      <w:start w:val="1"/>
      <w:numFmt w:val="bullet"/>
      <w:lvlText w:val="●"/>
      <w:lvlJc w:val="left"/>
      <w:pPr>
        <w:ind w:left="6480" w:hanging="360"/>
      </w:pPr>
    </w:lvl>
  </w:abstractNum>
  <w:abstractNum w:abstractNumId="1" w15:restartNumberingAfterBreak="0">
    <w:nsid w:val="13776090"/>
    <w:multiLevelType w:val="hybridMultilevel"/>
    <w:tmpl w:val="A4E2EBB6"/>
    <w:lvl w:ilvl="0" w:tplc="35901EFA">
      <w:start w:val="1"/>
      <w:numFmt w:val="decimal"/>
      <w:lvlText w:val="%1."/>
      <w:lvlJc w:val="left"/>
      <w:pPr>
        <w:spacing w:before="60" w:after="60"/>
        <w:ind w:left="720" w:hanging="360"/>
      </w:pPr>
    </w:lvl>
    <w:lvl w:ilvl="1" w:tplc="B0B82FDE">
      <w:numFmt w:val="decimal"/>
      <w:lvlText w:val=""/>
      <w:lvlJc w:val="left"/>
    </w:lvl>
    <w:lvl w:ilvl="2" w:tplc="E364363E">
      <w:numFmt w:val="decimal"/>
      <w:lvlText w:val=""/>
      <w:lvlJc w:val="left"/>
    </w:lvl>
    <w:lvl w:ilvl="3" w:tplc="683C2B48">
      <w:numFmt w:val="decimal"/>
      <w:lvlText w:val=""/>
      <w:lvlJc w:val="left"/>
    </w:lvl>
    <w:lvl w:ilvl="4" w:tplc="D66A3D0E">
      <w:numFmt w:val="decimal"/>
      <w:lvlText w:val=""/>
      <w:lvlJc w:val="left"/>
    </w:lvl>
    <w:lvl w:ilvl="5" w:tplc="C74C698C">
      <w:numFmt w:val="decimal"/>
      <w:lvlText w:val=""/>
      <w:lvlJc w:val="left"/>
    </w:lvl>
    <w:lvl w:ilvl="6" w:tplc="B1B61BBA">
      <w:numFmt w:val="decimal"/>
      <w:lvlText w:val=""/>
      <w:lvlJc w:val="left"/>
    </w:lvl>
    <w:lvl w:ilvl="7" w:tplc="04BA8BFC">
      <w:numFmt w:val="decimal"/>
      <w:lvlText w:val=""/>
      <w:lvlJc w:val="left"/>
    </w:lvl>
    <w:lvl w:ilvl="8" w:tplc="DC86B140">
      <w:numFmt w:val="decimal"/>
      <w:lvlText w:val=""/>
      <w:lvlJc w:val="left"/>
    </w:lvl>
  </w:abstractNum>
  <w:num w:numId="1" w16cid:durableId="725375361">
    <w:abstractNumId w:val="0"/>
    <w:lvlOverride w:ilvl="0">
      <w:startOverride w:val="1"/>
    </w:lvlOverride>
  </w:num>
  <w:num w:numId="2" w16cid:durableId="5106855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73D"/>
    <w:rsid w:val="004930AF"/>
    <w:rsid w:val="00B227C8"/>
    <w:rsid w:val="00B421D0"/>
    <w:rsid w:val="00F577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484B"/>
  <w15:docId w15:val="{4338F08C-1248-4150-89CD-F6E4DA13B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5C99"/>
      </w:pBdr>
      <w:spacing w:before="320" w:after="120"/>
      <w:outlineLvl w:val="0"/>
    </w:pPr>
    <w:rPr>
      <w:b/>
      <w:bCs/>
      <w:color w:val="1A3A5C"/>
      <w:sz w:val="30"/>
      <w:szCs w:val="30"/>
    </w:rPr>
  </w:style>
  <w:style w:type="paragraph" w:styleId="Heading2">
    <w:name w:val="heading 2"/>
    <w:uiPriority w:val="9"/>
    <w:unhideWhenUsed/>
    <w:qFormat/>
    <w:pPr>
      <w:spacing w:before="240" w:after="100"/>
      <w:outlineLvl w:val="1"/>
    </w:pPr>
    <w:rPr>
      <w:b/>
      <w:bCs/>
      <w:color w:val="1F5C99"/>
      <w:sz w:val="24"/>
      <w:szCs w:val="24"/>
    </w:rPr>
  </w:style>
  <w:style w:type="paragraph" w:styleId="Heading3">
    <w:name w:val="heading 3"/>
    <w:uiPriority w:val="9"/>
    <w:unhideWhenUsed/>
    <w:qFormat/>
    <w:pPr>
      <w:spacing w:before="18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2525</Words>
  <Characters>15507</Characters>
  <Application>Microsoft Office Word</Application>
  <DocSecurity>0</DocSecurity>
  <Lines>409</Lines>
  <Paragraphs>239</Paragraphs>
  <ScaleCrop>false</ScaleCrop>
  <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Yaqinuddin</cp:lastModifiedBy>
  <cp:revision>2</cp:revision>
  <dcterms:created xsi:type="dcterms:W3CDTF">2026-04-23T20:46:00Z</dcterms:created>
  <dcterms:modified xsi:type="dcterms:W3CDTF">2026-04-23T20:46:00Z</dcterms:modified>
</cp:coreProperties>
</file>