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A100FF"/>
          <w:sz w:val="20"/>
          <w:szCs w:val="20"/>
        </w:rPr>
        <w:t xml:space="preserve">MERIDIAN TELECOM · A NEW PRIME MERIDIAN</w:t>
      </w:r>
    </w:p>
    <w:p>
      <w:pPr>
        <w:spacing w:after="120"/>
      </w:pPr>
      <w:r>
        <w:rPr>
          <w:rFonts w:ascii="Arial" w:cs="Arial" w:eastAsia="Arial" w:hAnsi="Arial"/>
          <w:b/>
          <w:bCs/>
          <w:color w:val="1A1A22"/>
          <w:sz w:val="52"/>
          <w:szCs w:val="52"/>
        </w:rPr>
        <w:t xml:space="preserve">4 Topics, 4 Sub-topics, 4 Speeches</w:t>
      </w:r>
    </w:p>
    <w:p>
      <w:pPr>
        <w:spacing w:after="220" w:line="288"/>
      </w:pPr>
      <w:r>
        <w:rPr>
          <w:rFonts w:ascii="Arial" w:cs="Arial" w:eastAsia="Arial" w:hAnsi="Arial"/>
          <w:color w:val="1A1A22"/>
          <w:sz w:val="22"/>
          <w:szCs w:val="22"/>
        </w:rPr>
        <w:t xml:space="preserve">The final speech for each speaker, with its title, subtitle and four sub-topics. All scenarios, figures and dates in the stories are hypothetical and illustrative.</w:t>
      </w:r>
    </w:p>
    <w:p>
      <w:pPr>
        <w:pStyle w:val="Heading2"/>
        <w:spacing w:after="120" w:before="240"/>
      </w:pPr>
      <w:r>
        <w:rPr>
          <w:rFonts w:ascii="Arial" w:cs="Arial" w:eastAsia="Arial" w:hAnsi="Arial"/>
          <w:b/>
          <w:bCs/>
          <w:color w:val="A100FF"/>
          <w:sz w:val="26"/>
          <w:szCs w:val="26"/>
        </w:rPr>
        <w:t xml:space="preserve">The plan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65"/>
        <w:gridCol w:w="1865"/>
        <w:gridCol w:w="1865"/>
        <w:gridCol w:w="1865"/>
      </w:tblGrid>
      <w:tr>
        <w:trPr>
          <w:tblHeader/>
        </w:trPr>
        <w:tc>
          <w:tcPr>
            <w:tcW w:type="dxa" w:w="19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8"/>
                <w:szCs w:val="18"/>
              </w:rPr>
              <w:t xml:space="preserve">Topic and speaker</w:t>
            </w:r>
          </w:p>
        </w:tc>
        <w:tc>
          <w:tcPr>
            <w:tcW w:type="dxa" w:w="1865"/>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8"/>
                <w:szCs w:val="18"/>
              </w:rPr>
              <w:t xml:space="preserve">Sub-topic 1</w:t>
            </w:r>
          </w:p>
        </w:tc>
        <w:tc>
          <w:tcPr>
            <w:tcW w:type="dxa" w:w="1865"/>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8"/>
                <w:szCs w:val="18"/>
              </w:rPr>
              <w:t xml:space="preserve">Sub-topic 2</w:t>
            </w:r>
          </w:p>
        </w:tc>
        <w:tc>
          <w:tcPr>
            <w:tcW w:type="dxa" w:w="1865"/>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8"/>
                <w:szCs w:val="18"/>
              </w:rPr>
              <w:t xml:space="preserve">Sub-topic 3</w:t>
            </w:r>
          </w:p>
        </w:tc>
        <w:tc>
          <w:tcPr>
            <w:tcW w:type="dxa" w:w="1865"/>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8"/>
                <w:szCs w:val="18"/>
              </w:rPr>
              <w:t xml:space="preserve">Sub-topic 4</w:t>
            </w:r>
          </w:p>
        </w:tc>
      </w:tr>
      <w:tr>
        <w:trPr>
          <w:cantSplit/>
        </w:trPr>
        <w:tc>
          <w:tcPr>
            <w:tcW w:type="dxa" w:w="19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8"/>
                <w:szCs w:val="18"/>
              </w:rPr>
              <w:t xml:space="preserve">1. Context Setting</w:t>
            </w:r>
            <w:r>
              <w:rPr>
                <w:rFonts w:ascii="Arial" w:cs="Arial" w:eastAsia="Arial" w:hAnsi="Arial"/>
                <w:color w:val="1A1A22"/>
                <w:sz w:val="18"/>
                <w:szCs w:val="18"/>
              </w:rPr>
              <w:t xml:space="preserve"> Mayank · about 3 min 25 sec</w:t>
            </w:r>
          </w:p>
        </w:tc>
        <w:tc>
          <w:tcPr>
            <w:tcW w:type="dxa" w:w="1865"/>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8"/>
                <w:szCs w:val="18"/>
              </w:rPr>
              <w:t xml:space="preserve">Opening: trust and reputation</w:t>
            </w:r>
          </w:p>
        </w:tc>
        <w:tc>
          <w:tcPr>
            <w:tcW w:type="dxa" w:w="1865"/>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8"/>
                <w:szCs w:val="18"/>
              </w:rPr>
              <w:t xml:space="preserve">Why we are here</w:t>
            </w:r>
          </w:p>
        </w:tc>
        <w:tc>
          <w:tcPr>
            <w:tcW w:type="dxa" w:w="1865"/>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8"/>
                <w:szCs w:val="18"/>
              </w:rPr>
              <w:t xml:space="preserve">What matters to Tom and John</w:t>
            </w:r>
          </w:p>
        </w:tc>
        <w:tc>
          <w:tcPr>
            <w:tcW w:type="dxa" w:w="1865"/>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8"/>
                <w:szCs w:val="18"/>
              </w:rPr>
              <w:t xml:space="preserve">Agenda, team and the next step</w:t>
            </w:r>
          </w:p>
        </w:tc>
      </w:tr>
      <w:tr>
        <w:trPr>
          <w:cantSplit/>
        </w:trPr>
        <w:tc>
          <w:tcPr>
            <w:tcW w:type="dxa" w:w="1900"/>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8"/>
                <w:szCs w:val="18"/>
              </w:rPr>
              <w:t xml:space="preserve">2. Innovation Story</w:t>
            </w:r>
            <w:r>
              <w:rPr>
                <w:rFonts w:ascii="Arial" w:cs="Arial" w:eastAsia="Arial" w:hAnsi="Arial"/>
                <w:color w:val="1A1A22"/>
                <w:sz w:val="18"/>
                <w:szCs w:val="18"/>
              </w:rPr>
              <w:t xml:space="preserve"> Sushant · about 3 min</w:t>
            </w:r>
          </w:p>
        </w:tc>
        <w:tc>
          <w:tcPr>
            <w:tcW w:type="dxa" w:w="1865"/>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8"/>
                <w:szCs w:val="18"/>
              </w:rPr>
              <w:t xml:space="preserve">The challenge</w:t>
            </w:r>
          </w:p>
        </w:tc>
        <w:tc>
          <w:tcPr>
            <w:tcW w:type="dxa" w:w="1865"/>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8"/>
                <w:szCs w:val="18"/>
              </w:rPr>
              <w:t xml:space="preserve">Daniel’s story</w:t>
            </w:r>
          </w:p>
        </w:tc>
        <w:tc>
          <w:tcPr>
            <w:tcW w:type="dxa" w:w="1865"/>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8"/>
                <w:szCs w:val="18"/>
              </w:rPr>
              <w:t xml:space="preserve">The innovation</w:t>
            </w:r>
          </w:p>
        </w:tc>
        <w:tc>
          <w:tcPr>
            <w:tcW w:type="dxa" w:w="1865"/>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8"/>
                <w:szCs w:val="18"/>
              </w:rPr>
              <w:t xml:space="preserve">Result and ask</w:t>
            </w:r>
          </w:p>
        </w:tc>
      </w:tr>
      <w:tr>
        <w:trPr>
          <w:cantSplit/>
        </w:trPr>
        <w:tc>
          <w:tcPr>
            <w:tcW w:type="dxa" w:w="19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8"/>
                <w:szCs w:val="18"/>
              </w:rPr>
              <w:t xml:space="preserve">3. Value Story</w:t>
            </w:r>
            <w:r>
              <w:rPr>
                <w:rFonts w:ascii="Arial" w:cs="Arial" w:eastAsia="Arial" w:hAnsi="Arial"/>
                <w:color w:val="1A1A22"/>
                <w:sz w:val="18"/>
                <w:szCs w:val="18"/>
              </w:rPr>
              <w:t xml:space="preserve"> Neeti · about 4 min</w:t>
            </w:r>
          </w:p>
        </w:tc>
        <w:tc>
          <w:tcPr>
            <w:tcW w:type="dxa" w:w="1865"/>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8"/>
                <w:szCs w:val="18"/>
              </w:rPr>
              <w:t xml:space="preserve">The opportunity</w:t>
            </w:r>
          </w:p>
        </w:tc>
        <w:tc>
          <w:tcPr>
            <w:tcW w:type="dxa" w:w="1865"/>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8"/>
                <w:szCs w:val="18"/>
              </w:rPr>
              <w:t xml:space="preserve">The stakes and the control tower</w:t>
            </w:r>
          </w:p>
        </w:tc>
        <w:tc>
          <w:tcPr>
            <w:tcW w:type="dxa" w:w="1865"/>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8"/>
                <w:szCs w:val="18"/>
              </w:rPr>
              <w:t xml:space="preserve">The proven lesson</w:t>
            </w:r>
          </w:p>
        </w:tc>
        <w:tc>
          <w:tcPr>
            <w:tcW w:type="dxa" w:w="1865"/>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8"/>
                <w:szCs w:val="18"/>
              </w:rPr>
              <w:t xml:space="preserve">Value 360 and the June 28 question</w:t>
            </w:r>
          </w:p>
        </w:tc>
      </w:tr>
      <w:tr>
        <w:trPr>
          <w:cantSplit/>
        </w:trPr>
        <w:tc>
          <w:tcPr>
            <w:tcW w:type="dxa" w:w="1900"/>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8"/>
                <w:szCs w:val="18"/>
              </w:rPr>
              <w:t xml:space="preserve">4. Why Accenture, and Why Now</w:t>
            </w:r>
            <w:r>
              <w:rPr>
                <w:rFonts w:ascii="Arial" w:cs="Arial" w:eastAsia="Arial" w:hAnsi="Arial"/>
                <w:color w:val="1A1A22"/>
                <w:sz w:val="18"/>
                <w:szCs w:val="18"/>
              </w:rPr>
              <w:t xml:space="preserve"> Suryakant · about 2 min 30 sec</w:t>
            </w:r>
          </w:p>
        </w:tc>
        <w:tc>
          <w:tcPr>
            <w:tcW w:type="dxa" w:w="1865"/>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8"/>
                <w:szCs w:val="18"/>
              </w:rPr>
              <w:t xml:space="preserve">Our commitment</w:t>
            </w:r>
          </w:p>
        </w:tc>
        <w:tc>
          <w:tcPr>
            <w:tcW w:type="dxa" w:w="1865"/>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8"/>
                <w:szCs w:val="18"/>
              </w:rPr>
              <w:t xml:space="preserve">Why Accenture</w:t>
            </w:r>
          </w:p>
        </w:tc>
        <w:tc>
          <w:tcPr>
            <w:tcW w:type="dxa" w:w="1865"/>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8"/>
                <w:szCs w:val="18"/>
              </w:rPr>
              <w:t xml:space="preserve">The initial assessment</w:t>
            </w:r>
          </w:p>
        </w:tc>
        <w:tc>
          <w:tcPr>
            <w:tcW w:type="dxa" w:w="1865"/>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8"/>
                <w:szCs w:val="18"/>
              </w:rPr>
              <w:t xml:space="preserve">The ask</w:t>
            </w:r>
          </w:p>
        </w:tc>
      </w:tr>
    </w:tbl>
    <w:p>
      <w:pPr>
        <w:spacing w:after="60"/>
      </w:pPr>
    </w:p>
    <w:p>
      <w:pPr>
        <w:pStyle w:val="Heading2"/>
        <w:spacing w:after="120" w:before="240"/>
      </w:pPr>
      <w:r>
        <w:rPr>
          <w:rFonts w:ascii="Arial" w:cs="Arial" w:eastAsia="Arial" w:hAnsi="Arial"/>
          <w:b/>
          <w:bCs/>
          <w:color w:val="A100FF"/>
          <w:sz w:val="26"/>
          <w:szCs w:val="26"/>
        </w:rPr>
        <w:t xml:space="preserve">Titles and subtitles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160"/>
      </w:tblGrid>
      <w:tr>
        <w:trPr>
          <w:tblHeader/>
        </w:trPr>
        <w:tc>
          <w:tcPr>
            <w:tcW w:type="dxa" w:w="23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Topic</w:t>
            </w:r>
          </w:p>
        </w:tc>
        <w:tc>
          <w:tcPr>
            <w:tcW w:type="dxa" w:w="29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Title</w:t>
            </w:r>
          </w:p>
        </w:tc>
        <w:tc>
          <w:tcPr>
            <w:tcW w:type="dxa" w:w="416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Subtitle</w:t>
            </w:r>
          </w:p>
        </w:tc>
      </w:tr>
      <w:tr>
        <w:trPr>
          <w:cantSplit/>
        </w:trPr>
        <w:tc>
          <w:tcPr>
            <w:tcW w:type="dxa" w:w="23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1. Context Setting</w:t>
            </w:r>
          </w:p>
        </w:tc>
        <w:tc>
          <w:tcPr>
            <w:tcW w:type="dxa" w:w="29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A New Prime Meridian</w:t>
            </w:r>
          </w:p>
        </w:tc>
        <w:tc>
          <w:tcPr>
            <w:tcW w:type="dxa" w:w="416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One brand, one platform, and every customer carried across by June 2027</w:t>
            </w:r>
          </w:p>
        </w:tc>
      </w:tr>
      <w:tr>
        <w:trPr>
          <w:cantSplit/>
        </w:trPr>
        <w:tc>
          <w:tcPr>
            <w:tcW w:type="dxa" w:w="2300"/>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9"/>
                <w:szCs w:val="19"/>
              </w:rPr>
              <w:t xml:space="preserve">2. Innovation Story</w:t>
            </w:r>
          </w:p>
        </w:tc>
        <w:tc>
          <w:tcPr>
            <w:tcW w:type="dxa" w:w="2900"/>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9"/>
                <w:szCs w:val="19"/>
              </w:rPr>
              <w:t xml:space="preserve">The Ghost in the Siebel Estate</w:t>
            </w:r>
          </w:p>
        </w:tc>
        <w:tc>
          <w:tcPr>
            <w:tcW w:type="dxa" w:w="4160"/>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9"/>
                <w:szCs w:val="19"/>
              </w:rPr>
              <w:t xml:space="preserve">How GenWizard and myWizard find hidden rules before they find your customers</w:t>
            </w:r>
          </w:p>
        </w:tc>
      </w:tr>
      <w:tr>
        <w:trPr>
          <w:cantSplit/>
        </w:trPr>
        <w:tc>
          <w:tcPr>
            <w:tcW w:type="dxa" w:w="23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3. Value Story</w:t>
            </w:r>
          </w:p>
        </w:tc>
        <w:tc>
          <w:tcPr>
            <w:tcW w:type="dxa" w:w="29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The Real Question Is June 28</w:t>
            </w:r>
          </w:p>
        </w:tc>
        <w:tc>
          <w:tcPr>
            <w:tcW w:type="dxa" w:w="416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How one control tower and early-validation releases protect customers now and open up what Meridian can do next</w:t>
            </w:r>
          </w:p>
        </w:tc>
      </w:tr>
      <w:tr>
        <w:trPr>
          <w:cantSplit/>
        </w:trPr>
        <w:tc>
          <w:tcPr>
            <w:tcW w:type="dxa" w:w="2300"/>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9"/>
                <w:szCs w:val="19"/>
              </w:rPr>
              <w:t xml:space="preserve">4. Why Accenture, and Why Now</w:t>
            </w:r>
          </w:p>
        </w:tc>
        <w:tc>
          <w:tcPr>
            <w:tcW w:type="dxa" w:w="2900"/>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9"/>
                <w:szCs w:val="19"/>
              </w:rPr>
              <w:t xml:space="preserve">Chart the Course Before You Sail</w:t>
            </w:r>
          </w:p>
        </w:tc>
        <w:tc>
          <w:tcPr>
            <w:tcW w:type="dxa" w:w="4160"/>
            <w:tcBorders>
              <w:top w:val="single" w:color="D9CCEE" w:sz="4"/>
              <w:left w:val="single" w:color="D9CCEE" w:sz="4"/>
              <w:bottom w:val="single" w:color="D9CCEE" w:sz="4"/>
              <w:right w:val="single" w:color="D9CCEE" w:sz="4"/>
            </w:tcBorders>
            <w:shd w:fill="FAF7FE" w:color="auto" w:val="clear"/>
            <w:tcMar>
              <w:top w:type="dxa" w:w="80"/>
              <w:left w:type="dxa" w:w="100"/>
              <w:bottom w:type="dxa" w:w="80"/>
              <w:right w:type="dxa" w:w="100"/>
            </w:tcMar>
          </w:tcPr>
          <w:p>
            <w:pPr>
              <w:spacing w:after="0" w:line="252"/>
            </w:pPr>
            <w:r>
              <w:rPr>
                <w:rFonts w:ascii="Arial" w:cs="Arial" w:eastAsia="Arial" w:hAnsi="Arial"/>
                <w:color w:val="1A1A22"/>
                <w:sz w:val="19"/>
                <w:szCs w:val="19"/>
              </w:rPr>
              <w:t xml:space="preserve">A focused initial assessment to expose the risks and validate the plan for your six-month move to the EGW brand</w:t>
            </w:r>
          </w:p>
        </w:tc>
      </w:tr>
    </w:tbl>
    <w:p>
      <w:pPr>
        <w:spacing w:after="60"/>
      </w:pPr>
    </w:p>
    <w:p>
      <w:pPr>
        <w:pStyle w:val="Heading2"/>
        <w:spacing w:after="120" w:before="240"/>
      </w:pPr>
      <w:r>
        <w:rPr>
          <w:rFonts w:ascii="Arial" w:cs="Arial" w:eastAsia="Arial" w:hAnsi="Arial"/>
          <w:b/>
          <w:bCs/>
          <w:color w:val="A100FF"/>
          <w:sz w:val="26"/>
          <w:szCs w:val="26"/>
        </w:rPr>
        <w:t xml:space="preserve">Notes on this version</w:t>
      </w:r>
    </w:p>
    <w:p>
      <w:pPr>
        <w:pStyle w:val="ListParagraph"/>
        <w:numPr>
          <w:ilvl w:val="0"/>
          <w:numId w:val="2"/>
        </w:numPr>
        <w:spacing w:after="80" w:line="276"/>
      </w:pPr>
      <w:r>
        <w:rPr>
          <w:rFonts w:ascii="Arial" w:cs="Arial" w:eastAsia="Arial" w:hAnsi="Arial"/>
          <w:color w:val="1A1A22"/>
          <w:sz w:val="22"/>
          <w:szCs w:val="22"/>
        </w:rPr>
        <w:t xml:space="preserve">Names are aligned to </w:t>
      </w:r>
      <w:r>
        <w:rPr>
          <w:rFonts w:ascii="Arial" w:cs="Arial" w:eastAsia="Arial" w:hAnsi="Arial"/>
          <w:b/>
          <w:bCs/>
          <w:color w:val="1A1A22"/>
          <w:sz w:val="22"/>
          <w:szCs w:val="22"/>
        </w:rPr>
        <w:t xml:space="preserve">Tom and John</w:t>
      </w:r>
      <w:r>
        <w:rPr>
          <w:rFonts w:ascii="Arial" w:cs="Arial" w:eastAsia="Arial" w:hAnsi="Arial"/>
          <w:color w:val="1A1A22"/>
          <w:sz w:val="22"/>
          <w:szCs w:val="22"/>
        </w:rPr>
        <w:t xml:space="preserve"> across all four speeches. The original speeches for Neeti and Suryakant addressed “Sachin” and “Jennie”; change them back if those are the right names.</w:t>
      </w:r>
    </w:p>
    <w:p>
      <w:pPr>
        <w:pStyle w:val="ListParagraph"/>
        <w:numPr>
          <w:ilvl w:val="0"/>
          <w:numId w:val="2"/>
        </w:numPr>
        <w:spacing w:after="80" w:line="276"/>
      </w:pPr>
      <w:r>
        <w:rPr>
          <w:rFonts w:ascii="Arial" w:cs="Arial" w:eastAsia="Arial" w:hAnsi="Arial"/>
          <w:color w:val="1A1A22"/>
          <w:sz w:val="22"/>
          <w:szCs w:val="22"/>
        </w:rPr>
        <w:t xml:space="preserve">Neeti’s speech recommends a </w:t>
      </w:r>
      <w:r>
        <w:rPr>
          <w:rFonts w:ascii="Arial" w:cs="Arial" w:eastAsia="Arial" w:hAnsi="Arial"/>
          <w:b/>
          <w:bCs/>
          <w:color w:val="1A1A22"/>
          <w:sz w:val="22"/>
          <w:szCs w:val="22"/>
        </w:rPr>
        <w:t xml:space="preserve">two-week</w:t>
      </w:r>
      <w:r>
        <w:rPr>
          <w:rFonts w:ascii="Arial" w:cs="Arial" w:eastAsia="Arial" w:hAnsi="Arial"/>
          <w:color w:val="1A1A22"/>
          <w:sz w:val="22"/>
          <w:szCs w:val="22"/>
        </w:rPr>
        <w:t xml:space="preserve"> assessment, while Suryakant’s says “a short assessment window” and earlier plans assumed four weeks. Agree one length so all four speakers match.</w:t>
      </w:r>
    </w:p>
    <w:p>
      <w:pPr>
        <w:pStyle w:val="ListParagraph"/>
        <w:numPr>
          <w:ilvl w:val="0"/>
          <w:numId w:val="2"/>
        </w:numPr>
        <w:spacing w:after="80" w:line="276"/>
      </w:pPr>
      <w:r>
        <w:rPr>
          <w:rFonts w:ascii="Arial" w:cs="Arial" w:eastAsia="Arial" w:hAnsi="Arial"/>
          <w:color w:val="1A1A22"/>
          <w:sz w:val="22"/>
          <w:szCs w:val="22"/>
        </w:rPr>
        <w:t xml:space="preserve">The speeches add up to roughly 13 minutes, which leaves room for Aryama’s Q and A in a 20-minute slot.</w:t>
      </w:r>
    </w:p>
    <w:p>
      <w:r>
        <w:br w:type="page"/>
      </w:r>
    </w:p>
    <w:p>
      <w:pPr>
        <w:pStyle w:val="Heading1"/>
        <w:spacing w:after="80" w:before="120"/>
      </w:pPr>
      <w:r>
        <w:rPr>
          <w:rFonts w:ascii="Arial" w:cs="Arial" w:eastAsia="Arial" w:hAnsi="Arial"/>
          <w:b/>
          <w:bCs/>
          <w:color w:val="460073"/>
          <w:sz w:val="36"/>
          <w:szCs w:val="36"/>
        </w:rPr>
        <w:t xml:space="preserve">Topic 1: Context Setting</w:t>
      </w:r>
    </w:p>
    <w:p>
      <w:pPr>
        <w:spacing w:after="160"/>
      </w:pPr>
      <w:r>
        <w:rPr>
          <w:rFonts w:ascii="Arial" w:cs="Arial" w:eastAsia="Arial" w:hAnsi="Arial"/>
          <w:i/>
          <w:iCs/>
          <w:color w:val="5B5B68"/>
          <w:sz w:val="24"/>
          <w:szCs w:val="24"/>
        </w:rPr>
        <w:t xml:space="preserve">A New Prime Meridian · One brand, one platform, and every customer carried across by June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3860"/>
      </w:tblGrid>
      <w:tr>
        <w:trPr>
          <w:tblHeader/>
        </w:trPr>
        <w:tc>
          <w:tcPr>
            <w:tcW w:type="dxa" w:w="22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SPEAKER</w:t>
            </w:r>
          </w:p>
        </w:tc>
        <w:tc>
          <w:tcPr>
            <w:tcW w:type="dxa" w:w="20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TIME</w:t>
            </w:r>
          </w:p>
        </w:tc>
        <w:tc>
          <w:tcPr>
            <w:tcW w:type="dxa" w:w="13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SLIDES</w:t>
            </w:r>
          </w:p>
        </w:tc>
        <w:tc>
          <w:tcPr>
            <w:tcW w:type="dxa" w:w="386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TITLE</w:t>
            </w:r>
          </w:p>
        </w:tc>
      </w:tr>
      <w:tr>
        <w:trPr>
          <w:cantSplit/>
        </w:trPr>
        <w:tc>
          <w:tcPr>
            <w:tcW w:type="dxa" w:w="22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Mayank, Client Account Lead (CAL)</w:t>
            </w:r>
          </w:p>
        </w:tc>
        <w:tc>
          <w:tcPr>
            <w:tcW w:type="dxa" w:w="20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about 3 min 25 sec</w:t>
            </w:r>
          </w:p>
        </w:tc>
        <w:tc>
          <w:tcPr>
            <w:tcW w:type="dxa" w:w="13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Slide 1</w:t>
            </w:r>
          </w:p>
        </w:tc>
        <w:tc>
          <w:tcPr>
            <w:tcW w:type="dxa" w:w="386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A New Prime Meridian</w:t>
            </w:r>
          </w:p>
        </w:tc>
      </w:tr>
    </w:tbl>
    <w:p>
      <w:pPr>
        <w:spacing w:after="100" w:before="220"/>
      </w:pPr>
      <w:r>
        <w:rPr>
          <w:rFonts w:ascii="Arial" w:cs="Arial" w:eastAsia="Arial" w:hAnsi="Arial"/>
          <w:b/>
          <w:bCs/>
          <w:color w:val="A100FF"/>
          <w:spacing w:val="40"/>
          <w:sz w:val="20"/>
          <w:szCs w:val="20"/>
        </w:rPr>
        <w:t xml:space="preserve">FOUR SUB-TOPICS</w:t>
      </w:r>
    </w:p>
    <w:p>
      <w:pPr>
        <w:pStyle w:val="ListParagraph"/>
        <w:numPr>
          <w:ilvl w:val="0"/>
          <w:numId w:val="3"/>
        </w:numPr>
        <w:spacing w:after="100" w:line="288"/>
      </w:pPr>
      <w:r>
        <w:rPr>
          <w:rFonts w:ascii="Arial" w:cs="Arial" w:eastAsia="Arial" w:hAnsi="Arial"/>
          <w:b/>
          <w:bCs/>
          <w:color w:val="1A1A22"/>
          <w:sz w:val="22"/>
          <w:szCs w:val="22"/>
        </w:rPr>
        <w:t xml:space="preserve">Opening: trust and reputation.</w:t>
      </w:r>
      <w:r>
        <w:rPr>
          <w:rFonts w:ascii="Arial" w:cs="Arial" w:eastAsia="Arial" w:hAnsi="Arial"/>
          <w:color w:val="1A1A22"/>
          <w:sz w:val="22"/>
          <w:szCs w:val="22"/>
        </w:rPr>
        <w:t xml:space="preserve"> A Warren Buffett quote sets up what is at risk as mobility moves into the EGW sub-brand.</w:t>
      </w:r>
    </w:p>
    <w:p>
      <w:pPr>
        <w:pStyle w:val="ListParagraph"/>
        <w:numPr>
          <w:ilvl w:val="0"/>
          <w:numId w:val="3"/>
        </w:numPr>
        <w:spacing w:after="100" w:line="288"/>
      </w:pPr>
      <w:r>
        <w:rPr>
          <w:rFonts w:ascii="Arial" w:cs="Arial" w:eastAsia="Arial" w:hAnsi="Arial"/>
          <w:b/>
          <w:bCs/>
          <w:color w:val="1A1A22"/>
          <w:sz w:val="22"/>
          <w:szCs w:val="22"/>
        </w:rPr>
        <w:t xml:space="preserve">Why we are here.</w:t>
      </w:r>
      <w:r>
        <w:rPr>
          <w:rFonts w:ascii="Arial" w:cs="Arial" w:eastAsia="Arial" w:hAnsi="Arial"/>
          <w:color w:val="1A1A22"/>
          <w:sz w:val="22"/>
          <w:szCs w:val="22"/>
        </w:rPr>
        <w:t xml:space="preserve"> The brand retirement, the new Salesforce platform, the six-month clock, and the $3.54 billion at stake.</w:t>
      </w:r>
    </w:p>
    <w:p>
      <w:pPr>
        <w:pStyle w:val="ListParagraph"/>
        <w:numPr>
          <w:ilvl w:val="0"/>
          <w:numId w:val="3"/>
        </w:numPr>
        <w:spacing w:after="100" w:line="288"/>
      </w:pPr>
      <w:r>
        <w:rPr>
          <w:rFonts w:ascii="Arial" w:cs="Arial" w:eastAsia="Arial" w:hAnsi="Arial"/>
          <w:b/>
          <w:bCs/>
          <w:color w:val="1A1A22"/>
          <w:sz w:val="22"/>
          <w:szCs w:val="22"/>
        </w:rPr>
        <w:t xml:space="preserve">What matters to Tom and John.</w:t>
      </w:r>
      <w:r>
        <w:rPr>
          <w:rFonts w:ascii="Arial" w:cs="Arial" w:eastAsia="Arial" w:hAnsi="Arial"/>
          <w:color w:val="1A1A22"/>
          <w:sz w:val="22"/>
          <w:szCs w:val="22"/>
        </w:rPr>
        <w:t xml:space="preserve"> John wants zero disruption and green SLAs; Tom wants a next-gen platform for Meridian’s future model.</w:t>
      </w:r>
    </w:p>
    <w:p>
      <w:pPr>
        <w:pStyle w:val="ListParagraph"/>
        <w:numPr>
          <w:ilvl w:val="0"/>
          <w:numId w:val="3"/>
        </w:numPr>
        <w:spacing w:after="100" w:line="288"/>
      </w:pPr>
      <w:r>
        <w:rPr>
          <w:rFonts w:ascii="Arial" w:cs="Arial" w:eastAsia="Arial" w:hAnsi="Arial"/>
          <w:b/>
          <w:bCs/>
          <w:color w:val="1A1A22"/>
          <w:sz w:val="22"/>
          <w:szCs w:val="22"/>
        </w:rPr>
        <w:t xml:space="preserve">Agenda, team and the next step.</w:t>
      </w:r>
      <w:r>
        <w:rPr>
          <w:rFonts w:ascii="Arial" w:cs="Arial" w:eastAsia="Arial" w:hAnsi="Arial"/>
          <w:color w:val="1A1A22"/>
          <w:sz w:val="22"/>
          <w:szCs w:val="22"/>
        </w:rPr>
        <w:t xml:space="preserve"> Who speaks next, and the one ask: an initial assessment.</w:t>
      </w:r>
    </w:p>
    <w:p>
      <w:pPr>
        <w:spacing w:after="100" w:before="220"/>
      </w:pPr>
      <w:r>
        <w:rPr>
          <w:rFonts w:ascii="Arial" w:cs="Arial" w:eastAsia="Arial" w:hAnsi="Arial"/>
          <w:b/>
          <w:bCs/>
          <w:color w:val="A100FF"/>
          <w:spacing w:val="40"/>
          <w:sz w:val="20"/>
          <w:szCs w:val="20"/>
        </w:rPr>
        <w:t xml:space="preserve">SPEECH · MAYANK</w:t>
      </w:r>
    </w:p>
    <w:p>
      <w:pPr>
        <w:pBdr>
          <w:left w:val="single" w:color="A100FF" w:sz="18" w:space="10"/>
        </w:pBdr>
        <w:spacing w:after="160" w:line="312"/>
        <w:ind w:left="280"/>
      </w:pPr>
      <w:r>
        <w:rPr>
          <w:rFonts w:ascii="Arial" w:cs="Arial" w:eastAsia="Arial" w:hAnsi="Arial"/>
          <w:color w:val="1A1A22"/>
          <w:sz w:val="23"/>
          <w:szCs w:val="23"/>
        </w:rPr>
        <w:t xml:space="preserve">Good morning Tom, good morning John – thank you for making time for us today. </w:t>
      </w:r>
      <w:r>
        <w:rPr>
          <w:rFonts w:ascii="Arial" w:cs="Arial" w:eastAsia="Arial" w:hAnsi="Arial"/>
          <w:i/>
          <w:iCs/>
          <w:color w:val="1A1A22"/>
          <w:sz w:val="23"/>
          <w:szCs w:val="23"/>
        </w:rPr>
        <w:t xml:space="preserve">(Pause.)</w:t>
      </w:r>
    </w:p>
    <w:p>
      <w:pPr>
        <w:pBdr>
          <w:left w:val="single" w:color="A100FF" w:sz="18" w:space="10"/>
        </w:pBdr>
        <w:spacing w:after="160" w:line="312"/>
        <w:ind w:left="280"/>
      </w:pPr>
      <w:r>
        <w:rPr>
          <w:rFonts w:ascii="Arial" w:cs="Arial" w:eastAsia="Arial" w:hAnsi="Arial"/>
          <w:color w:val="1A1A22"/>
          <w:sz w:val="23"/>
          <w:szCs w:val="23"/>
        </w:rPr>
        <w:t xml:space="preserve">Warren Buffett is often quoted as saying that it takes twenty years to build a reputation and five minutes to ruin it. Meridian has spent years earning its customers' trust. Over the next six months, as mobility moves into the EGW sub-brand, that trust either carries over or it is at risk.</w:t>
      </w:r>
    </w:p>
    <w:p>
      <w:pPr>
        <w:pBdr>
          <w:left w:val="single" w:color="A100FF" w:sz="18" w:space="10"/>
        </w:pBdr>
        <w:spacing w:after="160" w:line="312"/>
        <w:ind w:left="280"/>
      </w:pPr>
      <w:r>
        <w:rPr>
          <w:rFonts w:ascii="Arial" w:cs="Arial" w:eastAsia="Arial" w:hAnsi="Arial"/>
          <w:color w:val="1A1A22"/>
          <w:sz w:val="23"/>
          <w:szCs w:val="23"/>
        </w:rPr>
        <w:t xml:space="preserve">I know how much is on your plate right now, so we will keep this focused and make every minute count.</w:t>
      </w:r>
    </w:p>
    <w:p>
      <w:pPr>
        <w:pBdr>
          <w:left w:val="single" w:color="A100FF" w:sz="18" w:space="10"/>
        </w:pBdr>
        <w:spacing w:after="160" w:line="312"/>
        <w:ind w:left="280"/>
      </w:pPr>
      <w:r>
        <w:rPr>
          <w:rFonts w:ascii="Arial" w:cs="Arial" w:eastAsia="Arial" w:hAnsi="Arial"/>
          <w:color w:val="1A1A22"/>
          <w:sz w:val="23"/>
          <w:szCs w:val="23"/>
        </w:rPr>
        <w:t xml:space="preserve">When Tom and I spoke recently, three things stood out. First, Meridian is retiring its corporate mobile brand and moving all mobility into the EGW sub-brand – which means a brand-new Salesforce platform for CRM, assisted ordering and self-service has to be built from the ground up, and integrated with Siebel, Oracle and BRM.</w:t>
      </w:r>
    </w:p>
    <w:p>
      <w:pPr>
        <w:pBdr>
          <w:left w:val="single" w:color="A100FF" w:sz="18" w:space="10"/>
        </w:pBdr>
        <w:spacing w:after="160" w:line="312"/>
        <w:ind w:left="280"/>
      </w:pPr>
      <w:r>
        <w:rPr>
          <w:rFonts w:ascii="Arial" w:cs="Arial" w:eastAsia="Arial" w:hAnsi="Arial"/>
          <w:color w:val="1A1A22"/>
          <w:sz w:val="23"/>
          <w:szCs w:val="23"/>
        </w:rPr>
        <w:t xml:space="preserve">Siebel has served Meridian for so long that it deserves a long-service award. Our job is to make sure its next chapter goes smoothly. </w:t>
      </w:r>
      <w:r>
        <w:rPr>
          <w:rFonts w:ascii="Arial" w:cs="Arial" w:eastAsia="Arial" w:hAnsi="Arial"/>
          <w:i/>
          <w:iCs/>
          <w:color w:val="1A1A22"/>
          <w:sz w:val="23"/>
          <w:szCs w:val="23"/>
        </w:rPr>
        <w:t xml:space="preserve">(Pause.)</w:t>
      </w:r>
    </w:p>
    <w:p>
      <w:pPr>
        <w:pBdr>
          <w:left w:val="single" w:color="A100FF" w:sz="18" w:space="10"/>
        </w:pBdr>
        <w:spacing w:after="160" w:line="312"/>
        <w:ind w:left="280"/>
      </w:pPr>
      <w:r>
        <w:rPr>
          <w:rFonts w:ascii="Arial" w:cs="Arial" w:eastAsia="Arial" w:hAnsi="Arial"/>
          <w:color w:val="1A1A22"/>
          <w:sz w:val="23"/>
          <w:szCs w:val="23"/>
        </w:rPr>
        <w:t xml:space="preserve">Second, the clock is tight: roughly six months, with a contractual commitment to be live by June-27.</w:t>
      </w:r>
    </w:p>
    <w:p>
      <w:pPr>
        <w:pBdr>
          <w:left w:val="single" w:color="A100FF" w:sz="18" w:space="10"/>
        </w:pBdr>
        <w:spacing w:after="160" w:line="312"/>
        <w:ind w:left="280"/>
      </w:pPr>
      <w:r>
        <w:rPr>
          <w:rFonts w:ascii="Arial" w:cs="Arial" w:eastAsia="Arial" w:hAnsi="Arial"/>
          <w:color w:val="1A1A22"/>
          <w:sz w:val="23"/>
          <w:szCs w:val="23"/>
        </w:rPr>
        <w:t xml:space="preserve">Third – and this is what matters most – the stakes are your customers. Any gap from prospect to cash means disruption, churn and up to $3.54 billion of revenue at risk.</w:t>
      </w:r>
    </w:p>
    <w:p>
      <w:pPr>
        <w:pBdr>
          <w:left w:val="single" w:color="A100FF" w:sz="18" w:space="10"/>
        </w:pBdr>
        <w:spacing w:after="160" w:line="312"/>
        <w:ind w:left="280"/>
      </w:pPr>
      <w:r>
        <w:rPr>
          <w:rFonts w:ascii="Arial" w:cs="Arial" w:eastAsia="Arial" w:hAnsi="Arial"/>
          <w:color w:val="1A1A22"/>
          <w:sz w:val="23"/>
          <w:szCs w:val="23"/>
        </w:rPr>
        <w:t xml:space="preserve">John, I know your priority is a transformation with zero disruption and green SLAs across every vendor. Tom, yours is a next-gen platform that is aligned to Meridian's future business model. Today is about showing how we can help you deliver both.</w:t>
      </w:r>
    </w:p>
    <w:p>
      <w:pPr>
        <w:pBdr>
          <w:left w:val="single" w:color="A100FF" w:sz="18" w:space="10"/>
        </w:pBdr>
        <w:spacing w:after="160" w:line="312"/>
        <w:ind w:left="280"/>
      </w:pPr>
      <w:r>
        <w:rPr>
          <w:rFonts w:ascii="Arial" w:cs="Arial" w:eastAsia="Arial" w:hAnsi="Arial"/>
          <w:color w:val="1A1A22"/>
          <w:sz w:val="23"/>
          <w:szCs w:val="23"/>
        </w:rPr>
        <w:t xml:space="preserve">Here is how we will use the time. I will hand over to Sushant, our Delivery &amp; Innovation Lead, who will show how AI-led delivery with GenWizard and myWizard can de-risk and accelerate this program. Neeti, who leads a peer telco program, will share a real story of how we solved a very similar challenge – and the value it created. Suryakant, our Market Lead, will then bring it together: why Accenture, and why now. And Aryama, our Client Engagement Lead, will make sure we leave plenty of room for your questions and concerns.</w:t>
      </w:r>
    </w:p>
    <w:p>
      <w:pPr>
        <w:pBdr>
          <w:left w:val="single" w:color="A100FF" w:sz="18" w:space="10"/>
        </w:pBdr>
        <w:spacing w:after="160" w:line="312"/>
        <w:ind w:left="280"/>
      </w:pPr>
      <w:r>
        <w:rPr>
          <w:rFonts w:ascii="Arial" w:cs="Arial" w:eastAsia="Arial" w:hAnsi="Arial"/>
          <w:color w:val="1A1A22"/>
          <w:sz w:val="23"/>
          <w:szCs w:val="23"/>
        </w:rPr>
        <w:t xml:space="preserve">By the end of this conversation, we hope to agree on one simple next step – an initial assessment with you and your key stakeholders, so we can build a plan together that protects your customers and meets the June-27 commitment.</w:t>
      </w:r>
    </w:p>
    <w:p>
      <w:pPr>
        <w:pBdr>
          <w:left w:val="single" w:color="A100FF" w:sz="18" w:space="10"/>
        </w:pBdr>
        <w:spacing w:after="160" w:line="312"/>
        <w:ind w:left="280"/>
      </w:pPr>
      <w:r>
        <w:rPr>
          <w:rFonts w:ascii="Arial" w:cs="Arial" w:eastAsia="Arial" w:hAnsi="Arial"/>
          <w:color w:val="1A1A22"/>
          <w:sz w:val="23"/>
          <w:szCs w:val="23"/>
        </w:rPr>
        <w:t xml:space="preserve">With that, let me hand over to Sushant to talk about innovation.</w:t>
      </w:r>
    </w:p>
    <w:p>
      <w:pPr>
        <w:spacing w:after="100" w:before="220"/>
      </w:pPr>
      <w:r>
        <w:rPr>
          <w:rFonts w:ascii="Arial" w:cs="Arial" w:eastAsia="Arial" w:hAnsi="Arial"/>
          <w:b/>
          <w:bCs/>
          <w:color w:val="A100FF"/>
          <w:spacing w:val="40"/>
          <w:sz w:val="20"/>
          <w:szCs w:val="20"/>
        </w:rPr>
        <w:t xml:space="preserve">DELIVERY TIPS</w:t>
      </w:r>
    </w:p>
    <w:p>
      <w:pPr>
        <w:pStyle w:val="ListParagraph"/>
        <w:numPr>
          <w:ilvl w:val="0"/>
          <w:numId w:val="2"/>
        </w:numPr>
        <w:spacing w:after="80" w:line="276"/>
      </w:pPr>
      <w:r>
        <w:rPr>
          <w:rFonts w:ascii="Arial" w:cs="Arial" w:eastAsia="Arial" w:hAnsi="Arial"/>
          <w:color w:val="1A1A22"/>
          <w:sz w:val="22"/>
          <w:szCs w:val="22"/>
        </w:rPr>
        <w:t xml:space="preserve">Pause after the Buffett quote and after the Siebel joke. Say the joke deadpan, and look at John.</w:t>
      </w:r>
    </w:p>
    <w:p>
      <w:pPr>
        <w:pStyle w:val="ListParagraph"/>
        <w:numPr>
          <w:ilvl w:val="0"/>
          <w:numId w:val="2"/>
        </w:numPr>
        <w:spacing w:after="80" w:line="276"/>
      </w:pPr>
      <w:r>
        <w:rPr>
          <w:rFonts w:ascii="Arial" w:cs="Arial" w:eastAsia="Arial" w:hAnsi="Arial"/>
          <w:color w:val="1A1A22"/>
          <w:sz w:val="22"/>
          <w:szCs w:val="22"/>
        </w:rPr>
        <w:t xml:space="preserve">Keep “often quoted as saying”: the line is widely attributed to Buffett, but its exact origin is debated.</w:t>
      </w:r>
    </w:p>
    <w:p>
      <w:r>
        <w:br w:type="page"/>
      </w:r>
    </w:p>
    <w:p>
      <w:pPr>
        <w:pStyle w:val="Heading1"/>
        <w:spacing w:after="80" w:before="120"/>
      </w:pPr>
      <w:r>
        <w:rPr>
          <w:rFonts w:ascii="Arial" w:cs="Arial" w:eastAsia="Arial" w:hAnsi="Arial"/>
          <w:b/>
          <w:bCs/>
          <w:color w:val="460073"/>
          <w:sz w:val="36"/>
          <w:szCs w:val="36"/>
        </w:rPr>
        <w:t xml:space="preserve">Topic 2: Innovation Story</w:t>
      </w:r>
    </w:p>
    <w:p>
      <w:pPr>
        <w:spacing w:after="160"/>
      </w:pPr>
      <w:r>
        <w:rPr>
          <w:rFonts w:ascii="Arial" w:cs="Arial" w:eastAsia="Arial" w:hAnsi="Arial"/>
          <w:i/>
          <w:iCs/>
          <w:color w:val="5B5B68"/>
          <w:sz w:val="24"/>
          <w:szCs w:val="24"/>
        </w:rPr>
        <w:t xml:space="preserve">The Ghost in the Siebel Estate · How GenWizard and myWizard find hidden rules before they find your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3860"/>
      </w:tblGrid>
      <w:tr>
        <w:trPr>
          <w:tblHeader/>
        </w:trPr>
        <w:tc>
          <w:tcPr>
            <w:tcW w:type="dxa" w:w="22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SPEAKER</w:t>
            </w:r>
          </w:p>
        </w:tc>
        <w:tc>
          <w:tcPr>
            <w:tcW w:type="dxa" w:w="20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TIME</w:t>
            </w:r>
          </w:p>
        </w:tc>
        <w:tc>
          <w:tcPr>
            <w:tcW w:type="dxa" w:w="13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SLIDES</w:t>
            </w:r>
          </w:p>
        </w:tc>
        <w:tc>
          <w:tcPr>
            <w:tcW w:type="dxa" w:w="386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TITLE</w:t>
            </w:r>
          </w:p>
        </w:tc>
      </w:tr>
      <w:tr>
        <w:trPr>
          <w:cantSplit/>
        </w:trPr>
        <w:tc>
          <w:tcPr>
            <w:tcW w:type="dxa" w:w="22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Sushant, Delivery and Innovation Lead</w:t>
            </w:r>
          </w:p>
        </w:tc>
        <w:tc>
          <w:tcPr>
            <w:tcW w:type="dxa" w:w="20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about 3 min</w:t>
            </w:r>
          </w:p>
        </w:tc>
        <w:tc>
          <w:tcPr>
            <w:tcW w:type="dxa" w:w="13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Slides 2 and 3</w:t>
            </w:r>
          </w:p>
        </w:tc>
        <w:tc>
          <w:tcPr>
            <w:tcW w:type="dxa" w:w="386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The Ghost in the Siebel Estate</w:t>
            </w:r>
          </w:p>
        </w:tc>
      </w:tr>
    </w:tbl>
    <w:p>
      <w:pPr>
        <w:spacing w:after="100" w:before="220"/>
      </w:pPr>
      <w:r>
        <w:rPr>
          <w:rFonts w:ascii="Arial" w:cs="Arial" w:eastAsia="Arial" w:hAnsi="Arial"/>
          <w:b/>
          <w:bCs/>
          <w:color w:val="A100FF"/>
          <w:spacing w:val="40"/>
          <w:sz w:val="20"/>
          <w:szCs w:val="20"/>
        </w:rPr>
        <w:t xml:space="preserve">FOUR SUB-TOPICS</w:t>
      </w:r>
    </w:p>
    <w:p>
      <w:pPr>
        <w:pStyle w:val="ListParagraph"/>
        <w:numPr>
          <w:ilvl w:val="0"/>
          <w:numId w:val="3"/>
        </w:numPr>
        <w:spacing w:after="100" w:line="288"/>
      </w:pPr>
      <w:r>
        <w:rPr>
          <w:rFonts w:ascii="Arial" w:cs="Arial" w:eastAsia="Arial" w:hAnsi="Arial"/>
          <w:b/>
          <w:bCs/>
          <w:color w:val="1A1A22"/>
          <w:sz w:val="22"/>
          <w:szCs w:val="22"/>
        </w:rPr>
        <w:t xml:space="preserve">The challenge.</w:t>
      </w:r>
      <w:r>
        <w:rPr>
          <w:rFonts w:ascii="Arial" w:cs="Arial" w:eastAsia="Arial" w:hAnsi="Arial"/>
          <w:color w:val="1A1A22"/>
          <w:sz w:val="22"/>
          <w:szCs w:val="22"/>
        </w:rPr>
        <w:t xml:space="preserve"> A new Salesforce platform in six months on a Siebel and BRM estate nobody has fully written down.</w:t>
      </w:r>
    </w:p>
    <w:p>
      <w:pPr>
        <w:pStyle w:val="ListParagraph"/>
        <w:numPr>
          <w:ilvl w:val="0"/>
          <w:numId w:val="3"/>
        </w:numPr>
        <w:spacing w:after="100" w:line="288"/>
      </w:pPr>
      <w:r>
        <w:rPr>
          <w:rFonts w:ascii="Arial" w:cs="Arial" w:eastAsia="Arial" w:hAnsi="Arial"/>
          <w:b/>
          <w:bCs/>
          <w:color w:val="1A1A22"/>
          <w:sz w:val="22"/>
          <w:szCs w:val="22"/>
        </w:rPr>
        <w:t xml:space="preserve">Daniel’s story.</w:t>
      </w:r>
      <w:r>
        <w:rPr>
          <w:rFonts w:ascii="Arial" w:cs="Arial" w:eastAsia="Arial" w:hAnsi="Arial"/>
          <w:color w:val="1A1A22"/>
          <w:sz w:val="22"/>
          <w:szCs w:val="22"/>
        </w:rPr>
        <w:t xml:space="preserve"> 26 weeks, 1,400 workflows, 600 pricing rules, seven weeks that did not exist, and a Grace Hopper quote about “we’ve always done it this way”.</w:t>
      </w:r>
    </w:p>
    <w:p>
      <w:pPr>
        <w:pStyle w:val="ListParagraph"/>
        <w:numPr>
          <w:ilvl w:val="0"/>
          <w:numId w:val="3"/>
        </w:numPr>
        <w:spacing w:after="100" w:line="288"/>
      </w:pPr>
      <w:r>
        <w:rPr>
          <w:rFonts w:ascii="Arial" w:cs="Arial" w:eastAsia="Arial" w:hAnsi="Arial"/>
          <w:b/>
          <w:bCs/>
          <w:color w:val="1A1A22"/>
          <w:sz w:val="22"/>
          <w:szCs w:val="22"/>
        </w:rPr>
        <w:t xml:space="preserve">The innovation.</w:t>
      </w:r>
      <w:r>
        <w:rPr>
          <w:rFonts w:ascii="Arial" w:cs="Arial" w:eastAsia="Arial" w:hAnsi="Arial"/>
          <w:color w:val="1A1A22"/>
          <w:sz w:val="22"/>
          <w:szCs w:val="22"/>
        </w:rPr>
        <w:t xml:space="preserve"> A two-week proof of concept: GenWizard drafts rules in plain language linked to source, experts accept, edit or reject, and myWizard gives one control tower.</w:t>
      </w:r>
    </w:p>
    <w:p>
      <w:pPr>
        <w:pStyle w:val="ListParagraph"/>
        <w:numPr>
          <w:ilvl w:val="0"/>
          <w:numId w:val="3"/>
        </w:numPr>
        <w:spacing w:after="100" w:line="288"/>
      </w:pPr>
      <w:r>
        <w:rPr>
          <w:rFonts w:ascii="Arial" w:cs="Arial" w:eastAsia="Arial" w:hAnsi="Arial"/>
          <w:b/>
          <w:bCs/>
          <w:color w:val="1A1A22"/>
          <w:sz w:val="22"/>
          <w:szCs w:val="22"/>
        </w:rPr>
        <w:t xml:space="preserve">Result and ask.</w:t>
      </w:r>
      <w:r>
        <w:rPr>
          <w:rFonts w:ascii="Arial" w:cs="Arial" w:eastAsia="Arial" w:hAnsi="Arial"/>
          <w:color w:val="1A1A22"/>
          <w:sz w:val="22"/>
          <w:szCs w:val="22"/>
        </w:rPr>
        <w:t xml:space="preserve"> Discovery in five weeks, not twelve, and a two-week proof of concept on a sample of Meridian’s estate.</w:t>
      </w:r>
    </w:p>
    <w:p>
      <w:pPr>
        <w:spacing w:after="100" w:before="220"/>
      </w:pPr>
      <w:r>
        <w:rPr>
          <w:rFonts w:ascii="Arial" w:cs="Arial" w:eastAsia="Arial" w:hAnsi="Arial"/>
          <w:b/>
          <w:bCs/>
          <w:color w:val="A100FF"/>
          <w:spacing w:val="40"/>
          <w:sz w:val="20"/>
          <w:szCs w:val="20"/>
        </w:rPr>
        <w:t xml:space="preserve">SPEECH · SUSHANT</w:t>
      </w:r>
    </w:p>
    <w:p>
      <w:pPr>
        <w:pBdr>
          <w:left w:val="single" w:color="A100FF" w:sz="18" w:space="10"/>
        </w:pBdr>
        <w:spacing w:after="160" w:line="312"/>
        <w:ind w:left="280"/>
      </w:pPr>
      <w:r>
        <w:rPr>
          <w:rFonts w:ascii="Arial" w:cs="Arial" w:eastAsia="Arial" w:hAnsi="Arial"/>
          <w:color w:val="1A1A22"/>
          <w:sz w:val="23"/>
          <w:szCs w:val="23"/>
        </w:rPr>
        <w:t xml:space="preserve">Thank you, Mayank. Every Siebel estate has a ghost: a rule nobody remembers writing, still running quietly, and occasionally billing. Let me tell you how we caught one. </w:t>
      </w:r>
      <w:r>
        <w:rPr>
          <w:rFonts w:ascii="Arial" w:cs="Arial" w:eastAsia="Arial" w:hAnsi="Arial"/>
          <w:i/>
          <w:iCs/>
          <w:color w:val="1A1A22"/>
          <w:sz w:val="23"/>
          <w:szCs w:val="23"/>
        </w:rPr>
        <w:t xml:space="preserve">(Pause. Smile.)</w:t>
      </w:r>
    </w:p>
    <w:p>
      <w:pPr>
        <w:pBdr>
          <w:left w:val="single" w:color="A100FF" w:sz="18" w:space="10"/>
        </w:pBdr>
        <w:spacing w:after="160" w:line="312"/>
        <w:ind w:left="280"/>
      </w:pPr>
      <w:r>
        <w:rPr>
          <w:rFonts w:ascii="Arial" w:cs="Arial" w:eastAsia="Arial" w:hAnsi="Arial"/>
          <w:color w:val="1A1A22"/>
          <w:sz w:val="23"/>
          <w:szCs w:val="23"/>
        </w:rPr>
        <w:t xml:space="preserve">Tom, you are being asked to stand up a new Salesforce platform in six months, on top of a Siebel and BRM estate nobody has fully written down. Every week spent working out what the old system does is a week taken from building and testing the new one.</w:t>
      </w:r>
    </w:p>
    <w:p>
      <w:pPr>
        <w:pBdr>
          <w:left w:val="single" w:color="A100FF" w:sz="18" w:space="10"/>
        </w:pBdr>
        <w:spacing w:after="160" w:line="312"/>
        <w:ind w:left="280"/>
      </w:pPr>
      <w:r>
        <w:rPr>
          <w:rFonts w:ascii="Arial" w:cs="Arial" w:eastAsia="Arial" w:hAnsi="Arial"/>
          <w:color w:val="1A1A22"/>
          <w:sz w:val="23"/>
          <w:szCs w:val="23"/>
        </w:rPr>
        <w:t xml:space="preserve">We saw something very similar with Daniel, Head of Digital Delivery at a large Asia-Pacific mobile operator, whom we met at a telecom forum in Singapore in March 2026. He had 26 weeks to replace his Siebel-based ordering and care front end with Salesforce, against a date that could not move.</w:t>
      </w:r>
    </w:p>
    <w:p>
      <w:pPr>
        <w:pBdr>
          <w:left w:val="single" w:color="A100FF" w:sz="18" w:space="10"/>
        </w:pBdr>
        <w:spacing w:after="160" w:line="312"/>
        <w:ind w:left="280"/>
      </w:pPr>
      <w:r>
        <w:rPr>
          <w:rFonts w:ascii="Arial" w:cs="Arial" w:eastAsia="Arial" w:hAnsi="Arial"/>
          <w:color w:val="1A1A22"/>
          <w:sz w:val="23"/>
          <w:szCs w:val="23"/>
        </w:rPr>
        <w:t xml:space="preserve">His estate held 1,400 order workflows and 600 pricing rules, run by three vendors. The plan allowed five weeks for requirements; the workshops needed twelve. Every night he did the same arithmetic and got the same answer: seven weeks that did not exist.</w:t>
      </w:r>
    </w:p>
    <w:p>
      <w:pPr>
        <w:pBdr>
          <w:left w:val="single" w:color="A100FF" w:sz="18" w:space="10"/>
        </w:pBdr>
        <w:spacing w:after="160" w:line="312"/>
        <w:ind w:left="280"/>
      </w:pPr>
      <w:r>
        <w:rPr>
          <w:rFonts w:ascii="Arial" w:cs="Arial" w:eastAsia="Arial" w:hAnsi="Arial"/>
          <w:color w:val="1A1A22"/>
          <w:sz w:val="23"/>
          <w:szCs w:val="23"/>
        </w:rPr>
        <w:t xml:space="preserve">He could hire thirty more analysts, or rebuild the old system as it was. Neither worked. The knowledge was buried in code written by people who had left.</w:t>
      </w:r>
    </w:p>
    <w:p>
      <w:pPr>
        <w:pBdr>
          <w:left w:val="single" w:color="A100FF" w:sz="18" w:space="10"/>
        </w:pBdr>
        <w:spacing w:after="160" w:line="312"/>
        <w:ind w:left="280"/>
      </w:pPr>
      <w:r>
        <w:rPr>
          <w:rFonts w:ascii="Arial" w:cs="Arial" w:eastAsia="Arial" w:hAnsi="Arial"/>
          <w:color w:val="1A1A22"/>
          <w:sz w:val="23"/>
          <w:szCs w:val="23"/>
        </w:rPr>
        <w:t xml:space="preserve">Grace Hopper, the computing pioneer, famously warned that the most dangerous phrase in the language is “We’ve always done it this way.” A straight rebuild would have copied years of workarounds into the new platform. </w:t>
      </w:r>
      <w:r>
        <w:rPr>
          <w:rFonts w:ascii="Arial" w:cs="Arial" w:eastAsia="Arial" w:hAnsi="Arial"/>
          <w:i/>
          <w:iCs/>
          <w:color w:val="1A1A22"/>
          <w:sz w:val="23"/>
          <w:szCs w:val="23"/>
        </w:rPr>
        <w:t xml:space="preserve">(Pause.)</w:t>
      </w:r>
    </w:p>
    <w:p>
      <w:pPr>
        <w:pBdr>
          <w:left w:val="single" w:color="A100FF" w:sz="18" w:space="10"/>
        </w:pBdr>
        <w:spacing w:after="160" w:line="312"/>
        <w:ind w:left="280"/>
      </w:pPr>
      <w:r>
        <w:rPr>
          <w:rFonts w:ascii="Arial" w:cs="Arial" w:eastAsia="Arial" w:hAnsi="Arial"/>
          <w:color w:val="1A1A22"/>
          <w:sz w:val="23"/>
          <w:szCs w:val="23"/>
        </w:rPr>
        <w:t xml:space="preserve">Then, in week three, a billing analyst found, by accident, an undocumented discount that would have mispriced 50,000 customers. If one rule like that was hiding, how many more? </w:t>
      </w:r>
      <w:r>
        <w:rPr>
          <w:rFonts w:ascii="Arial" w:cs="Arial" w:eastAsia="Arial" w:hAnsi="Arial"/>
          <w:i/>
          <w:iCs/>
          <w:color w:val="1A1A22"/>
          <w:sz w:val="23"/>
          <w:szCs w:val="23"/>
        </w:rPr>
        <w:t xml:space="preserve">(Pause.)</w:t>
      </w:r>
    </w:p>
    <w:p>
      <w:pPr>
        <w:pBdr>
          <w:left w:val="single" w:color="A100FF" w:sz="18" w:space="10"/>
        </w:pBdr>
        <w:spacing w:after="160" w:line="312"/>
        <w:ind w:left="280"/>
      </w:pPr>
      <w:r>
        <w:rPr>
          <w:rFonts w:ascii="Arial" w:cs="Arial" w:eastAsia="Arial" w:hAnsi="Arial"/>
          <w:color w:val="1A1A22"/>
          <w:sz w:val="23"/>
          <w:szCs w:val="23"/>
        </w:rPr>
        <w:t xml:space="preserve">So we ran a two-week proof of concept, inside his secure environment, on 150 workflows and 60 rate plans. GenWizard read the Siebel and BRM configuration and drafted each rule in plain business language, linked to its exact source, with a proposed Salesforce configuration and test cases. His experts accepted, edited or rejected every draft. And myWizard put all three vendors on one control tower.</w:t>
      </w:r>
    </w:p>
    <w:p>
      <w:pPr>
        <w:pBdr>
          <w:left w:val="single" w:color="A100FF" w:sz="18" w:space="10"/>
        </w:pBdr>
        <w:spacing w:after="160" w:line="312"/>
        <w:ind w:left="280"/>
      </w:pPr>
      <w:r>
        <w:rPr>
          <w:rFonts w:ascii="Arial" w:cs="Arial" w:eastAsia="Arial" w:hAnsi="Arial"/>
          <w:color w:val="1A1A22"/>
          <w:sz w:val="23"/>
          <w:szCs w:val="23"/>
        </w:rPr>
        <w:t xml:space="preserve">Eight in ten drafts were accepted with light edits. Discovery took five weeks, not twelve, and hidden rules surfaced in month one instead of at user testing. The AI decided nothing: Daniel’s own Siebel architect chose which rules to keep, change or retire.</w:t>
      </w:r>
    </w:p>
    <w:p>
      <w:pPr>
        <w:pBdr>
          <w:left w:val="single" w:color="A100FF" w:sz="18" w:space="10"/>
        </w:pBdr>
        <w:spacing w:after="160" w:line="312"/>
        <w:ind w:left="280"/>
      </w:pPr>
      <w:r>
        <w:rPr>
          <w:rFonts w:ascii="Arial" w:cs="Arial" w:eastAsia="Arial" w:hAnsi="Arial"/>
          <w:color w:val="1A1A22"/>
          <w:sz w:val="23"/>
          <w:szCs w:val="23"/>
        </w:rPr>
        <w:t xml:space="preserve">Tom, you do not need more people to meet June 2027. You need to see your own estate sooner. The tools do the reading, and your experts do the judging.</w:t>
      </w:r>
    </w:p>
    <w:p>
      <w:pPr>
        <w:pBdr>
          <w:left w:val="single" w:color="A100FF" w:sz="18" w:space="10"/>
        </w:pBdr>
        <w:spacing w:after="160" w:line="312"/>
        <w:ind w:left="280"/>
      </w:pPr>
      <w:r>
        <w:rPr>
          <w:rFonts w:ascii="Arial" w:cs="Arial" w:eastAsia="Arial" w:hAnsi="Arial"/>
          <w:color w:val="1A1A22"/>
          <w:sz w:val="23"/>
          <w:szCs w:val="23"/>
        </w:rPr>
        <w:t xml:space="preserve">John, you get a live view across every vendor, and you are the person who decides which rules matter.</w:t>
      </w:r>
    </w:p>
    <w:p>
      <w:pPr>
        <w:pBdr>
          <w:left w:val="single" w:color="A100FF" w:sz="18" w:space="10"/>
        </w:pBdr>
        <w:spacing w:after="160" w:line="312"/>
        <w:ind w:left="280"/>
      </w:pPr>
      <w:r>
        <w:rPr>
          <w:rFonts w:ascii="Arial" w:cs="Arial" w:eastAsia="Arial" w:hAnsi="Arial"/>
          <w:color w:val="1A1A22"/>
          <w:sz w:val="23"/>
          <w:szCs w:val="23"/>
        </w:rPr>
        <w:t xml:space="preserve">So we would like to start with a two-week proof of concept on a sample of Meridian’s estate, inside your environment. Neeti will now share a different kind of story: what happens when business and IT look at the same customer.</w:t>
      </w:r>
    </w:p>
    <w:p>
      <w:pPr>
        <w:spacing w:after="100" w:before="220"/>
      </w:pPr>
      <w:r>
        <w:rPr>
          <w:rFonts w:ascii="Arial" w:cs="Arial" w:eastAsia="Arial" w:hAnsi="Arial"/>
          <w:b/>
          <w:bCs/>
          <w:color w:val="A100FF"/>
          <w:spacing w:val="40"/>
          <w:sz w:val="20"/>
          <w:szCs w:val="20"/>
        </w:rPr>
        <w:t xml:space="preserve">DELIVERY TIPS</w:t>
      </w:r>
    </w:p>
    <w:p>
      <w:pPr>
        <w:pStyle w:val="ListParagraph"/>
        <w:numPr>
          <w:ilvl w:val="0"/>
          <w:numId w:val="2"/>
        </w:numPr>
        <w:spacing w:after="80" w:line="276"/>
      </w:pPr>
      <w:r>
        <w:rPr>
          <w:rFonts w:ascii="Arial" w:cs="Arial" w:eastAsia="Arial" w:hAnsi="Arial"/>
          <w:color w:val="1A1A22"/>
          <w:sz w:val="22"/>
          <w:szCs w:val="22"/>
        </w:rPr>
        <w:t xml:space="preserve">Deliver the opening joke deadpan and wait for the smile. It sets up the hidden-rule idea that pays off later.</w:t>
      </w:r>
    </w:p>
    <w:p>
      <w:pPr>
        <w:pStyle w:val="ListParagraph"/>
        <w:numPr>
          <w:ilvl w:val="0"/>
          <w:numId w:val="2"/>
        </w:numPr>
        <w:spacing w:after="80" w:line="276"/>
      </w:pPr>
      <w:r>
        <w:rPr>
          <w:rFonts w:ascii="Arial" w:cs="Arial" w:eastAsia="Arial" w:hAnsi="Arial"/>
          <w:color w:val="1A1A22"/>
          <w:sz w:val="22"/>
          <w:szCs w:val="22"/>
        </w:rPr>
        <w:t xml:space="preserve">Slow down on the Hopper quote and look at John; it is the point where Daniel’s plan has to change.</w:t>
      </w:r>
    </w:p>
    <w:p>
      <w:r>
        <w:br w:type="page"/>
      </w:r>
    </w:p>
    <w:p>
      <w:pPr>
        <w:pStyle w:val="Heading1"/>
        <w:spacing w:after="80" w:before="120"/>
      </w:pPr>
      <w:r>
        <w:rPr>
          <w:rFonts w:ascii="Arial" w:cs="Arial" w:eastAsia="Arial" w:hAnsi="Arial"/>
          <w:b/>
          <w:bCs/>
          <w:color w:val="460073"/>
          <w:sz w:val="36"/>
          <w:szCs w:val="36"/>
        </w:rPr>
        <w:t xml:space="preserve">Topic 3: Value Story</w:t>
      </w:r>
    </w:p>
    <w:p>
      <w:pPr>
        <w:spacing w:after="160"/>
      </w:pPr>
      <w:r>
        <w:rPr>
          <w:rFonts w:ascii="Arial" w:cs="Arial" w:eastAsia="Arial" w:hAnsi="Arial"/>
          <w:i/>
          <w:iCs/>
          <w:color w:val="5B5B68"/>
          <w:sz w:val="24"/>
          <w:szCs w:val="24"/>
        </w:rPr>
        <w:t xml:space="preserve">The Real Question Is June 28 · How one control tower and early-validation releases protect customers now and open up what Meridian can do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3860"/>
      </w:tblGrid>
      <w:tr>
        <w:trPr>
          <w:tblHeader/>
        </w:trPr>
        <w:tc>
          <w:tcPr>
            <w:tcW w:type="dxa" w:w="22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SPEAKER</w:t>
            </w:r>
          </w:p>
        </w:tc>
        <w:tc>
          <w:tcPr>
            <w:tcW w:type="dxa" w:w="20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TIME</w:t>
            </w:r>
          </w:p>
        </w:tc>
        <w:tc>
          <w:tcPr>
            <w:tcW w:type="dxa" w:w="13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SLIDES</w:t>
            </w:r>
          </w:p>
        </w:tc>
        <w:tc>
          <w:tcPr>
            <w:tcW w:type="dxa" w:w="386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TITLE</w:t>
            </w:r>
          </w:p>
        </w:tc>
      </w:tr>
      <w:tr>
        <w:trPr>
          <w:cantSplit/>
        </w:trPr>
        <w:tc>
          <w:tcPr>
            <w:tcW w:type="dxa" w:w="22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Neeti, lead of a peer telco program</w:t>
            </w:r>
          </w:p>
        </w:tc>
        <w:tc>
          <w:tcPr>
            <w:tcW w:type="dxa" w:w="20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about 4 min</w:t>
            </w:r>
          </w:p>
        </w:tc>
        <w:tc>
          <w:tcPr>
            <w:tcW w:type="dxa" w:w="13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Slides 4 and 5</w:t>
            </w:r>
          </w:p>
        </w:tc>
        <w:tc>
          <w:tcPr>
            <w:tcW w:type="dxa" w:w="386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The Real Question Is June 28</w:t>
            </w:r>
          </w:p>
        </w:tc>
      </w:tr>
    </w:tbl>
    <w:p>
      <w:pPr>
        <w:spacing w:after="100" w:before="220"/>
      </w:pPr>
      <w:r>
        <w:rPr>
          <w:rFonts w:ascii="Arial" w:cs="Arial" w:eastAsia="Arial" w:hAnsi="Arial"/>
          <w:b/>
          <w:bCs/>
          <w:color w:val="A100FF"/>
          <w:spacing w:val="40"/>
          <w:sz w:val="20"/>
          <w:szCs w:val="20"/>
        </w:rPr>
        <w:t xml:space="preserve">FOUR SUB-TOPICS</w:t>
      </w:r>
    </w:p>
    <w:p>
      <w:pPr>
        <w:pStyle w:val="ListParagraph"/>
        <w:numPr>
          <w:ilvl w:val="0"/>
          <w:numId w:val="3"/>
        </w:numPr>
        <w:spacing w:after="100" w:line="288"/>
      </w:pPr>
      <w:r>
        <w:rPr>
          <w:rFonts w:ascii="Arial" w:cs="Arial" w:eastAsia="Arial" w:hAnsi="Arial"/>
          <w:b/>
          <w:bCs/>
          <w:color w:val="1A1A22"/>
          <w:sz w:val="22"/>
          <w:szCs w:val="22"/>
        </w:rPr>
        <w:t xml:space="preserve">The opportunity.</w:t>
      </w:r>
      <w:r>
        <w:rPr>
          <w:rFonts w:ascii="Arial" w:cs="Arial" w:eastAsia="Arial" w:hAnsi="Arial"/>
          <w:color w:val="1A1A22"/>
          <w:sz w:val="22"/>
          <w:szCs w:val="22"/>
        </w:rPr>
        <w:t xml:space="preserve"> Meet June-27 without making customers choose between continuity today and a better digital experience tomorrow.</w:t>
      </w:r>
    </w:p>
    <w:p>
      <w:pPr>
        <w:pStyle w:val="ListParagraph"/>
        <w:numPr>
          <w:ilvl w:val="0"/>
          <w:numId w:val="3"/>
        </w:numPr>
        <w:spacing w:after="100" w:line="288"/>
      </w:pPr>
      <w:r>
        <w:rPr>
          <w:rFonts w:ascii="Arial" w:cs="Arial" w:eastAsia="Arial" w:hAnsi="Arial"/>
          <w:b/>
          <w:bCs/>
          <w:color w:val="1A1A22"/>
          <w:sz w:val="22"/>
          <w:szCs w:val="22"/>
        </w:rPr>
        <w:t xml:space="preserve">The stakes and the control tower.</w:t>
      </w:r>
      <w:r>
        <w:rPr>
          <w:rFonts w:ascii="Arial" w:cs="Arial" w:eastAsia="Arial" w:hAnsi="Arial"/>
          <w:color w:val="1A1A22"/>
          <w:sz w:val="22"/>
          <w:szCs w:val="22"/>
        </w:rPr>
        <w:t xml:space="preserve"> Up to $3.54 billion exposed; one digitally enabled prospect-to-cash experience with a common view of journeys, releases and risk.</w:t>
      </w:r>
    </w:p>
    <w:p>
      <w:pPr>
        <w:pStyle w:val="ListParagraph"/>
        <w:numPr>
          <w:ilvl w:val="0"/>
          <w:numId w:val="3"/>
        </w:numPr>
        <w:spacing w:after="100" w:line="288"/>
      </w:pPr>
      <w:r>
        <w:rPr>
          <w:rFonts w:ascii="Arial" w:cs="Arial" w:eastAsia="Arial" w:hAnsi="Arial"/>
          <w:b/>
          <w:bCs/>
          <w:color w:val="1A1A22"/>
          <w:sz w:val="22"/>
          <w:szCs w:val="22"/>
        </w:rPr>
        <w:t xml:space="preserve">The proven lesson.</w:t>
      </w:r>
      <w:r>
        <w:rPr>
          <w:rFonts w:ascii="Arial" w:cs="Arial" w:eastAsia="Arial" w:hAnsi="Arial"/>
          <w:color w:val="1A1A22"/>
          <w:sz w:val="22"/>
          <w:szCs w:val="22"/>
        </w:rPr>
        <w:t xml:space="preserve"> A comparable program reached 1,000+ users across APAC, EMEA and the US with 16-week releases over 18 months: validate early, learn quickly, scale with confidence.</w:t>
      </w:r>
    </w:p>
    <w:p>
      <w:pPr>
        <w:pStyle w:val="ListParagraph"/>
        <w:numPr>
          <w:ilvl w:val="0"/>
          <w:numId w:val="3"/>
        </w:numPr>
        <w:spacing w:after="100" w:line="288"/>
      </w:pPr>
      <w:r>
        <w:rPr>
          <w:rFonts w:ascii="Arial" w:cs="Arial" w:eastAsia="Arial" w:hAnsi="Arial"/>
          <w:b/>
          <w:bCs/>
          <w:color w:val="1A1A22"/>
          <w:sz w:val="22"/>
          <w:szCs w:val="22"/>
        </w:rPr>
        <w:t xml:space="preserve">Value 360 and the June 28 question.</w:t>
      </w:r>
      <w:r>
        <w:rPr>
          <w:rFonts w:ascii="Arial" w:cs="Arial" w:eastAsia="Arial" w:hAnsi="Arial"/>
          <w:color w:val="1A1A22"/>
          <w:sz w:val="22"/>
          <w:szCs w:val="22"/>
        </w:rPr>
        <w:t xml:space="preserve"> The behavior shift, the second question, and the recommendation of a focused two-week assessment.</w:t>
      </w:r>
    </w:p>
    <w:p>
      <w:pPr>
        <w:spacing w:after="100" w:before="220"/>
      </w:pPr>
      <w:r>
        <w:rPr>
          <w:rFonts w:ascii="Arial" w:cs="Arial" w:eastAsia="Arial" w:hAnsi="Arial"/>
          <w:b/>
          <w:bCs/>
          <w:color w:val="A100FF"/>
          <w:spacing w:val="40"/>
          <w:sz w:val="20"/>
          <w:szCs w:val="20"/>
        </w:rPr>
        <w:t xml:space="preserve">SPEECH · NEETI</w:t>
      </w:r>
    </w:p>
    <w:p>
      <w:pPr>
        <w:pBdr>
          <w:left w:val="single" w:color="A100FF" w:sz="18" w:space="10"/>
        </w:pBdr>
        <w:spacing w:after="160" w:line="312"/>
        <w:ind w:left="280"/>
      </w:pPr>
      <w:r>
        <w:rPr>
          <w:rFonts w:ascii="Arial" w:cs="Arial" w:eastAsia="Arial" w:hAnsi="Arial"/>
          <w:color w:val="1A1A22"/>
          <w:sz w:val="23"/>
          <w:szCs w:val="23"/>
        </w:rPr>
        <w:t xml:space="preserve">“What if Meridian could meet its June-27 commitment without asking customers to choose between continuity today and a better digital experience tomorrow?”</w:t>
      </w:r>
    </w:p>
    <w:p>
      <w:pPr>
        <w:pBdr>
          <w:left w:val="single" w:color="A100FF" w:sz="18" w:space="10"/>
        </w:pBdr>
        <w:spacing w:after="160" w:line="312"/>
        <w:ind w:left="280"/>
      </w:pPr>
      <w:r>
        <w:rPr>
          <w:rFonts w:ascii="Arial" w:cs="Arial" w:eastAsia="Arial" w:hAnsi="Arial"/>
          <w:color w:val="1A1A22"/>
          <w:sz w:val="23"/>
          <w:szCs w:val="23"/>
        </w:rPr>
        <w:t xml:space="preserve">Tom, that is the opportunity in front of you.</w:t>
      </w:r>
    </w:p>
    <w:p>
      <w:pPr>
        <w:pBdr>
          <w:left w:val="single" w:color="A100FF" w:sz="18" w:space="10"/>
        </w:pBdr>
        <w:spacing w:after="160" w:line="312"/>
        <w:ind w:left="280"/>
      </w:pPr>
      <w:r>
        <w:rPr>
          <w:rFonts w:ascii="Arial" w:cs="Arial" w:eastAsia="Arial" w:hAnsi="Arial"/>
          <w:color w:val="1A1A22"/>
          <w:sz w:val="23"/>
          <w:szCs w:val="23"/>
        </w:rPr>
        <w:t xml:space="preserve">This is more than retiring the corporate mobile brand and implementing Salesforce. It is an opportunity to protect customer trust and revenue through a complex transition, while creating Meridian’s digital foundation for future growth.</w:t>
      </w:r>
    </w:p>
    <w:p>
      <w:pPr>
        <w:pBdr>
          <w:left w:val="single" w:color="A100FF" w:sz="18" w:space="10"/>
        </w:pBdr>
        <w:spacing w:after="160" w:line="312"/>
        <w:ind w:left="280"/>
      </w:pPr>
      <w:r>
        <w:rPr>
          <w:rFonts w:ascii="Arial" w:cs="Arial" w:eastAsia="Arial" w:hAnsi="Arial"/>
          <w:color w:val="1A1A22"/>
          <w:sz w:val="23"/>
          <w:szCs w:val="23"/>
        </w:rPr>
        <w:t xml:space="preserve">Meridian already has a valuable mobility business. Now you need to build Salesforce from scratch, integrate it with Siebel, Oracle and BRM, migrate mobility customers, and coordinate multiple vendors, all within six months.</w:t>
      </w:r>
    </w:p>
    <w:p>
      <w:pPr>
        <w:pBdr>
          <w:left w:val="single" w:color="A100FF" w:sz="18" w:space="10"/>
        </w:pBdr>
        <w:spacing w:after="160" w:line="312"/>
        <w:ind w:left="280"/>
      </w:pPr>
      <w:r>
        <w:rPr>
          <w:rFonts w:ascii="Arial" w:cs="Arial" w:eastAsia="Arial" w:hAnsi="Arial"/>
          <w:color w:val="1A1A22"/>
          <w:sz w:val="23"/>
          <w:szCs w:val="23"/>
        </w:rPr>
        <w:t xml:space="preserve">And the stakes are high.</w:t>
      </w:r>
    </w:p>
    <w:p>
      <w:pPr>
        <w:pBdr>
          <w:left w:val="single" w:color="A100FF" w:sz="18" w:space="10"/>
        </w:pBdr>
        <w:spacing w:after="160" w:line="312"/>
        <w:ind w:left="280"/>
      </w:pPr>
      <w:r>
        <w:rPr>
          <w:rFonts w:ascii="Arial" w:cs="Arial" w:eastAsia="Arial" w:hAnsi="Arial"/>
          <w:color w:val="1A1A22"/>
          <w:sz w:val="23"/>
          <w:szCs w:val="23"/>
        </w:rPr>
        <w:t xml:space="preserve">A failed customer journey, late integration issue, or migration problem could impact service, SLAs and customer confidence. Based on the figures provided, up to $3.54 billion in revenue is exposed.</w:t>
      </w:r>
    </w:p>
    <w:p>
      <w:pPr>
        <w:pBdr>
          <w:left w:val="single" w:color="A100FF" w:sz="18" w:space="10"/>
        </w:pBdr>
        <w:spacing w:after="160" w:line="312"/>
        <w:ind w:left="280"/>
      </w:pPr>
      <w:r>
        <w:rPr>
          <w:rFonts w:ascii="Arial" w:cs="Arial" w:eastAsia="Arial" w:hAnsi="Arial"/>
          <w:color w:val="1A1A22"/>
          <w:sz w:val="23"/>
          <w:szCs w:val="23"/>
        </w:rPr>
        <w:t xml:space="preserve">That is why we believe the biggest opportunity is not Salesforce alone.</w:t>
      </w:r>
    </w:p>
    <w:p>
      <w:pPr>
        <w:pBdr>
          <w:left w:val="single" w:color="A100FF" w:sz="18" w:space="10"/>
        </w:pBdr>
        <w:spacing w:after="160" w:line="312"/>
        <w:ind w:left="280"/>
      </w:pPr>
      <w:r>
        <w:rPr>
          <w:rFonts w:ascii="Arial" w:cs="Arial" w:eastAsia="Arial" w:hAnsi="Arial"/>
          <w:color w:val="1A1A22"/>
          <w:sz w:val="23"/>
          <w:szCs w:val="23"/>
        </w:rPr>
        <w:t xml:space="preserve">It is creating one digitally enabled prospect-to-cash experience, supported by a transformation control tower that provides a common view across customer journeys, releases, dependencies, migration, quality and SLA risk.</w:t>
      </w:r>
    </w:p>
    <w:p>
      <w:pPr>
        <w:pBdr>
          <w:left w:val="single" w:color="A100FF" w:sz="18" w:space="10"/>
        </w:pBdr>
        <w:spacing w:after="160" w:line="312"/>
        <w:ind w:left="280"/>
      </w:pPr>
      <w:r>
        <w:rPr>
          <w:rFonts w:ascii="Arial" w:cs="Arial" w:eastAsia="Arial" w:hAnsi="Arial"/>
          <w:color w:val="1A1A22"/>
          <w:sz w:val="23"/>
          <w:szCs w:val="23"/>
        </w:rPr>
        <w:t xml:space="preserve">We have seen the value of that approach before.</w:t>
      </w:r>
    </w:p>
    <w:p>
      <w:pPr>
        <w:pBdr>
          <w:left w:val="single" w:color="A100FF" w:sz="18" w:space="10"/>
        </w:pBdr>
        <w:spacing w:after="160" w:line="312"/>
        <w:ind w:left="280"/>
      </w:pPr>
      <w:r>
        <w:rPr>
          <w:rFonts w:ascii="Arial" w:cs="Arial" w:eastAsia="Arial" w:hAnsi="Arial"/>
          <w:color w:val="1A1A22"/>
          <w:sz w:val="23"/>
          <w:szCs w:val="23"/>
        </w:rPr>
        <w:t xml:space="preserve">In a comparable Salesforce transformation, Accenture supported a complex program that ultimately reached more than 1,000 users across APAC, EMEA and the US, using 16-week progressive releases across an 18-month rollout.</w:t>
      </w:r>
    </w:p>
    <w:p>
      <w:pPr>
        <w:pBdr>
          <w:left w:val="single" w:color="A100FF" w:sz="18" w:space="10"/>
        </w:pBdr>
        <w:spacing w:after="160" w:line="312"/>
        <w:ind w:left="280"/>
      </w:pPr>
      <w:r>
        <w:rPr>
          <w:rFonts w:ascii="Arial" w:cs="Arial" w:eastAsia="Arial" w:hAnsi="Arial"/>
          <w:color w:val="1A1A22"/>
          <w:sz w:val="23"/>
          <w:szCs w:val="23"/>
        </w:rPr>
        <w:t xml:space="preserve">The key lesson was simple:</w:t>
      </w:r>
    </w:p>
    <w:p>
      <w:pPr>
        <w:pBdr>
          <w:left w:val="single" w:color="A100FF" w:sz="18" w:space="10"/>
        </w:pBdr>
        <w:spacing w:after="160" w:line="312"/>
        <w:ind w:left="280"/>
      </w:pPr>
      <w:r>
        <w:rPr>
          <w:rFonts w:ascii="Arial" w:cs="Arial" w:eastAsia="Arial" w:hAnsi="Arial"/>
          <w:color w:val="1A1A22"/>
          <w:sz w:val="23"/>
          <w:szCs w:val="23"/>
        </w:rPr>
        <w:t xml:space="preserve">Don’t wait until the final migration to discover whether the transformation works. Validate early, learn quickly and scale with confidence.</w:t>
      </w:r>
    </w:p>
    <w:p>
      <w:pPr>
        <w:pBdr>
          <w:left w:val="single" w:color="A100FF" w:sz="18" w:space="10"/>
        </w:pBdr>
        <w:spacing w:after="160" w:line="312"/>
        <w:ind w:left="280"/>
      </w:pPr>
      <w:r>
        <w:rPr>
          <w:rFonts w:ascii="Arial" w:cs="Arial" w:eastAsia="Arial" w:hAnsi="Arial"/>
          <w:color w:val="1A1A22"/>
          <w:sz w:val="23"/>
          <w:szCs w:val="23"/>
        </w:rPr>
        <w:t xml:space="preserve">For Meridian’s compressed timeline, we would apply that lesson by first identifying the customer journeys that simply cannot fail. Then we make the Salesforce, Siebel, Oracle, BRM and migration dependencies visible. From there, we deliver thin, testable releases with automated quality gates, supported by one-team governance across Meridian and its partners.</w:t>
      </w:r>
    </w:p>
    <w:p>
      <w:pPr>
        <w:pBdr>
          <w:left w:val="single" w:color="A100FF" w:sz="18" w:space="10"/>
        </w:pBdr>
        <w:spacing w:after="160" w:line="312"/>
        <w:ind w:left="280"/>
      </w:pPr>
      <w:r>
        <w:rPr>
          <w:rFonts w:ascii="Arial" w:cs="Arial" w:eastAsia="Arial" w:hAnsi="Arial"/>
          <w:color w:val="1A1A22"/>
          <w:sz w:val="23"/>
          <w:szCs w:val="23"/>
        </w:rPr>
        <w:t xml:space="preserve">Accenture brings together telecom experience, Salesforce transformation capability, complex integration expertise, progressive delivery methods, and intelligent delivery using myWizard and GenWizard.</w:t>
      </w:r>
    </w:p>
    <w:p>
      <w:pPr>
        <w:pBdr>
          <w:left w:val="single" w:color="A100FF" w:sz="18" w:space="10"/>
        </w:pBdr>
        <w:spacing w:after="160" w:line="312"/>
        <w:ind w:left="280"/>
      </w:pPr>
      <w:r>
        <w:rPr>
          <w:rFonts w:ascii="Arial" w:cs="Arial" w:eastAsia="Arial" w:hAnsi="Arial"/>
          <w:color w:val="1A1A22"/>
          <w:sz w:val="23"/>
          <w:szCs w:val="23"/>
        </w:rPr>
        <w:t xml:space="preserve">The value goes beyond successful implementation.</w:t>
      </w:r>
    </w:p>
    <w:p>
      <w:pPr>
        <w:pBdr>
          <w:left w:val="single" w:color="A100FF" w:sz="18" w:space="10"/>
        </w:pBdr>
        <w:spacing w:after="160" w:line="312"/>
        <w:ind w:left="280"/>
      </w:pPr>
      <w:r>
        <w:rPr>
          <w:rFonts w:ascii="Arial" w:cs="Arial" w:eastAsia="Arial" w:hAnsi="Arial"/>
          <w:color w:val="1A1A22"/>
          <w:sz w:val="23"/>
          <w:szCs w:val="23"/>
        </w:rPr>
        <w:t xml:space="preserve">It is about protecting revenue and retention, improving order and SLA performance, increasing employee productivity, expanding digital self-service, and establishing a scalable platform for future innovation. That creates Value 360 across Client Value, Technology &amp; Innovation, Talent/People and Sustainability.</w:t>
      </w:r>
    </w:p>
    <w:p>
      <w:pPr>
        <w:pBdr>
          <w:left w:val="single" w:color="A100FF" w:sz="18" w:space="10"/>
        </w:pBdr>
        <w:spacing w:after="160" w:line="312"/>
        <w:ind w:left="280"/>
      </w:pPr>
      <w:r>
        <w:rPr>
          <w:rFonts w:ascii="Arial" w:cs="Arial" w:eastAsia="Arial" w:hAnsi="Arial"/>
          <w:color w:val="1A1A22"/>
          <w:sz w:val="23"/>
          <w:szCs w:val="23"/>
        </w:rPr>
        <w:t xml:space="preserve">But achieving that requires a shift in behavior too: from vendor-by-vendor management to shared outcomes, from late reporting to early intervention, and from big releases to continuous validation of customer value.</w:t>
      </w:r>
    </w:p>
    <w:p>
      <w:pPr>
        <w:pBdr>
          <w:left w:val="single" w:color="A100FF" w:sz="18" w:space="10"/>
        </w:pBdr>
        <w:spacing w:after="160" w:line="312"/>
        <w:ind w:left="280"/>
      </w:pPr>
      <w:r>
        <w:rPr>
          <w:rFonts w:ascii="Arial" w:cs="Arial" w:eastAsia="Arial" w:hAnsi="Arial"/>
          <w:color w:val="1A1A22"/>
          <w:sz w:val="23"/>
          <w:szCs w:val="23"/>
        </w:rPr>
        <w:t xml:space="preserve">And that brings me to the second question:</w:t>
      </w:r>
    </w:p>
    <w:p>
      <w:pPr>
        <w:pBdr>
          <w:left w:val="single" w:color="A100FF" w:sz="18" w:space="10"/>
        </w:pBdr>
        <w:spacing w:after="160" w:line="312"/>
        <w:ind w:left="280"/>
      </w:pPr>
      <w:r>
        <w:rPr>
          <w:rFonts w:ascii="Arial" w:cs="Arial" w:eastAsia="Arial" w:hAnsi="Arial"/>
          <w:color w:val="1A1A22"/>
          <w:sz w:val="23"/>
          <w:szCs w:val="23"/>
        </w:rPr>
        <w:t xml:space="preserve">“The question isn’t whether Meridian can go live by June-27. The real question is: can Meridian use June-27 to change what becomes possible on June-28?”</w:t>
      </w:r>
    </w:p>
    <w:p>
      <w:pPr>
        <w:pBdr>
          <w:left w:val="single" w:color="A100FF" w:sz="18" w:space="10"/>
        </w:pBdr>
        <w:spacing w:after="160" w:line="312"/>
        <w:ind w:left="280"/>
      </w:pPr>
      <w:r>
        <w:rPr>
          <w:rFonts w:ascii="Arial" w:cs="Arial" w:eastAsia="Arial" w:hAnsi="Arial"/>
          <w:color w:val="1A1A22"/>
          <w:sz w:val="23"/>
          <w:szCs w:val="23"/>
        </w:rPr>
        <w:t xml:space="preserve">Because success is not simply switching systems on.</w:t>
      </w:r>
    </w:p>
    <w:p>
      <w:pPr>
        <w:pBdr>
          <w:left w:val="single" w:color="A100FF" w:sz="18" w:space="10"/>
        </w:pBdr>
        <w:spacing w:after="160" w:line="312"/>
        <w:ind w:left="280"/>
      </w:pPr>
      <w:r>
        <w:rPr>
          <w:rFonts w:ascii="Arial" w:cs="Arial" w:eastAsia="Arial" w:hAnsi="Arial"/>
          <w:color w:val="1A1A22"/>
          <w:sz w:val="23"/>
          <w:szCs w:val="23"/>
        </w:rPr>
        <w:t xml:space="preserve">Success is reaching June-28 with customers protected, employees empowered, risks under control, and a digital platform capable of supporting Meridian’s next chapter of growth.</w:t>
      </w:r>
    </w:p>
    <w:p>
      <w:pPr>
        <w:pBdr>
          <w:left w:val="single" w:color="A100FF" w:sz="18" w:space="10"/>
        </w:pBdr>
        <w:spacing w:after="160" w:line="312"/>
        <w:ind w:left="280"/>
      </w:pPr>
      <w:r>
        <w:rPr>
          <w:rFonts w:ascii="Arial" w:cs="Arial" w:eastAsia="Arial" w:hAnsi="Arial"/>
          <w:color w:val="1A1A22"/>
          <w:sz w:val="23"/>
          <w:szCs w:val="23"/>
        </w:rPr>
        <w:t xml:space="preserve">So Tom, our recommendation is simple: start with a focused two-week assessment.</w:t>
      </w:r>
    </w:p>
    <w:p>
      <w:pPr>
        <w:pBdr>
          <w:left w:val="single" w:color="A100FF" w:sz="18" w:space="10"/>
        </w:pBdr>
        <w:spacing w:after="160" w:line="312"/>
        <w:ind w:left="280"/>
      </w:pPr>
      <w:r>
        <w:rPr>
          <w:rFonts w:ascii="Arial" w:cs="Arial" w:eastAsia="Arial" w:hAnsi="Arial"/>
          <w:color w:val="1A1A22"/>
          <w:sz w:val="23"/>
          <w:szCs w:val="23"/>
        </w:rPr>
        <w:t xml:space="preserve">Bring together business, architecture, security, data, operations, delivery and key vendors. Identify the critical journeys and dependencies, agree the value scorecard, and select the first early-validation release.</w:t>
      </w:r>
    </w:p>
    <w:p>
      <w:pPr>
        <w:pBdr>
          <w:left w:val="single" w:color="A100FF" w:sz="18" w:space="10"/>
        </w:pBdr>
        <w:spacing w:after="160" w:line="312"/>
        <w:ind w:left="280"/>
      </w:pPr>
      <w:r>
        <w:rPr>
          <w:rFonts w:ascii="Arial" w:cs="Arial" w:eastAsia="Arial" w:hAnsi="Arial"/>
          <w:color w:val="1A1A22"/>
          <w:sz w:val="23"/>
          <w:szCs w:val="23"/>
        </w:rPr>
        <w:t xml:space="preserve">Let’s not wait for go-live to find out whether the transformation works. Let’s prove what matters most, early.</w:t>
      </w:r>
    </w:p>
    <w:p>
      <w:pPr>
        <w:spacing w:after="100" w:before="220"/>
      </w:pPr>
      <w:r>
        <w:rPr>
          <w:rFonts w:ascii="Arial" w:cs="Arial" w:eastAsia="Arial" w:hAnsi="Arial"/>
          <w:b/>
          <w:bCs/>
          <w:color w:val="A100FF"/>
          <w:spacing w:val="40"/>
          <w:sz w:val="20"/>
          <w:szCs w:val="20"/>
        </w:rPr>
        <w:t xml:space="preserve">DELIVERY TIPS</w:t>
      </w:r>
    </w:p>
    <w:p>
      <w:pPr>
        <w:pStyle w:val="ListParagraph"/>
        <w:numPr>
          <w:ilvl w:val="0"/>
          <w:numId w:val="2"/>
        </w:numPr>
        <w:spacing w:after="80" w:line="276"/>
      </w:pPr>
      <w:r>
        <w:rPr>
          <w:rFonts w:ascii="Arial" w:cs="Arial" w:eastAsia="Arial" w:hAnsi="Arial"/>
          <w:color w:val="1A1A22"/>
          <w:sz w:val="22"/>
          <w:szCs w:val="22"/>
        </w:rPr>
        <w:t xml:space="preserve">Pause after each of the two questions; they are the spine of the speech.</w:t>
      </w:r>
    </w:p>
    <w:p>
      <w:pPr>
        <w:pStyle w:val="ListParagraph"/>
        <w:numPr>
          <w:ilvl w:val="0"/>
          <w:numId w:val="2"/>
        </w:numPr>
        <w:spacing w:after="80" w:line="276"/>
      </w:pPr>
      <w:r>
        <w:rPr>
          <w:rFonts w:ascii="Arial" w:cs="Arial" w:eastAsia="Arial" w:hAnsi="Arial"/>
          <w:color w:val="1A1A22"/>
          <w:sz w:val="22"/>
          <w:szCs w:val="22"/>
        </w:rPr>
        <w:t xml:space="preserve">Point to the credential slide when you say “We have seen the value of that approach before.”</w:t>
      </w:r>
    </w:p>
    <w:p>
      <w:r>
        <w:br w:type="page"/>
      </w:r>
    </w:p>
    <w:p>
      <w:pPr>
        <w:pStyle w:val="Heading1"/>
        <w:spacing w:after="80" w:before="120"/>
      </w:pPr>
      <w:r>
        <w:rPr>
          <w:rFonts w:ascii="Arial" w:cs="Arial" w:eastAsia="Arial" w:hAnsi="Arial"/>
          <w:b/>
          <w:bCs/>
          <w:color w:val="460073"/>
          <w:sz w:val="36"/>
          <w:szCs w:val="36"/>
        </w:rPr>
        <w:t xml:space="preserve">Topic 4: Why Accenture, and Why Now</w:t>
      </w:r>
    </w:p>
    <w:p>
      <w:pPr>
        <w:spacing w:after="160"/>
      </w:pPr>
      <w:r>
        <w:rPr>
          <w:rFonts w:ascii="Arial" w:cs="Arial" w:eastAsia="Arial" w:hAnsi="Arial"/>
          <w:i/>
          <w:iCs/>
          <w:color w:val="5B5B68"/>
          <w:sz w:val="24"/>
          <w:szCs w:val="24"/>
        </w:rPr>
        <w:t xml:space="preserve">Chart the Course Before You Sail · A focused initial assessment to expose the risks and validate the plan for your six-month move to the EGW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3860"/>
      </w:tblGrid>
      <w:tr>
        <w:trPr>
          <w:tblHeader/>
        </w:trPr>
        <w:tc>
          <w:tcPr>
            <w:tcW w:type="dxa" w:w="22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SPEAKER</w:t>
            </w:r>
          </w:p>
        </w:tc>
        <w:tc>
          <w:tcPr>
            <w:tcW w:type="dxa" w:w="20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TIME</w:t>
            </w:r>
          </w:p>
        </w:tc>
        <w:tc>
          <w:tcPr>
            <w:tcW w:type="dxa" w:w="130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SLIDES</w:t>
            </w:r>
          </w:p>
        </w:tc>
        <w:tc>
          <w:tcPr>
            <w:tcW w:type="dxa" w:w="3860"/>
            <w:tcBorders>
              <w:top w:val="single" w:color="D9CCEE" w:sz="4"/>
              <w:left w:val="single" w:color="D9CCEE" w:sz="4"/>
              <w:bottom w:val="single" w:color="D9CCEE" w:sz="4"/>
              <w:right w:val="single" w:color="D9CCEE" w:sz="4"/>
            </w:tcBorders>
            <w:shd w:fill="A100FF" w:color="auto" w:val="clear"/>
            <w:tcMar>
              <w:top w:type="dxa" w:w="80"/>
              <w:left w:type="dxa" w:w="100"/>
              <w:bottom w:type="dxa" w:w="80"/>
              <w:right w:type="dxa" w:w="100"/>
            </w:tcMar>
          </w:tcPr>
          <w:p>
            <w:pPr>
              <w:spacing w:after="0" w:line="252"/>
            </w:pPr>
            <w:r>
              <w:rPr>
                <w:rFonts w:ascii="Arial" w:cs="Arial" w:eastAsia="Arial" w:hAnsi="Arial"/>
                <w:b/>
                <w:bCs/>
                <w:color w:val="FFFFFF"/>
                <w:sz w:val="19"/>
                <w:szCs w:val="19"/>
              </w:rPr>
              <w:t xml:space="preserve">TITLE</w:t>
            </w:r>
          </w:p>
        </w:tc>
      </w:tr>
      <w:tr>
        <w:trPr>
          <w:cantSplit/>
        </w:trPr>
        <w:tc>
          <w:tcPr>
            <w:tcW w:type="dxa" w:w="22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Suryakant, Market Lead</w:t>
            </w:r>
          </w:p>
        </w:tc>
        <w:tc>
          <w:tcPr>
            <w:tcW w:type="dxa" w:w="20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about 2 min 30 sec</w:t>
            </w:r>
          </w:p>
        </w:tc>
        <w:tc>
          <w:tcPr>
            <w:tcW w:type="dxa" w:w="130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Slide 6</w:t>
            </w:r>
          </w:p>
        </w:tc>
        <w:tc>
          <w:tcPr>
            <w:tcW w:type="dxa" w:w="3860"/>
            <w:tcBorders>
              <w:top w:val="single" w:color="D9CCEE" w:sz="4"/>
              <w:left w:val="single" w:color="D9CCEE" w:sz="4"/>
              <w:bottom w:val="single" w:color="D9CCEE" w:sz="4"/>
              <w:right w:val="single" w:color="D9CCEE" w:sz="4"/>
            </w:tcBorders>
            <w:tcMar>
              <w:top w:type="dxa" w:w="80"/>
              <w:left w:type="dxa" w:w="100"/>
              <w:bottom w:type="dxa" w:w="80"/>
              <w:right w:type="dxa" w:w="100"/>
            </w:tcMar>
          </w:tcPr>
          <w:p>
            <w:pPr>
              <w:spacing w:after="0" w:line="252"/>
            </w:pPr>
            <w:r>
              <w:rPr>
                <w:rFonts w:ascii="Arial" w:cs="Arial" w:eastAsia="Arial" w:hAnsi="Arial"/>
                <w:color w:val="1A1A22"/>
                <w:sz w:val="19"/>
                <w:szCs w:val="19"/>
              </w:rPr>
              <w:t xml:space="preserve">Chart the Course Before You Sail</w:t>
            </w:r>
          </w:p>
        </w:tc>
      </w:tr>
    </w:tbl>
    <w:p>
      <w:pPr>
        <w:spacing w:after="100" w:before="220"/>
      </w:pPr>
      <w:r>
        <w:rPr>
          <w:rFonts w:ascii="Arial" w:cs="Arial" w:eastAsia="Arial" w:hAnsi="Arial"/>
          <w:b/>
          <w:bCs/>
          <w:color w:val="A100FF"/>
          <w:spacing w:val="40"/>
          <w:sz w:val="20"/>
          <w:szCs w:val="20"/>
        </w:rPr>
        <w:t xml:space="preserve">FOUR SUB-TOPICS</w:t>
      </w:r>
    </w:p>
    <w:p>
      <w:pPr>
        <w:pStyle w:val="ListParagraph"/>
        <w:numPr>
          <w:ilvl w:val="0"/>
          <w:numId w:val="3"/>
        </w:numPr>
        <w:spacing w:after="100" w:line="288"/>
      </w:pPr>
      <w:r>
        <w:rPr>
          <w:rFonts w:ascii="Arial" w:cs="Arial" w:eastAsia="Arial" w:hAnsi="Arial"/>
          <w:b/>
          <w:bCs/>
          <w:color w:val="1A1A22"/>
          <w:sz w:val="22"/>
          <w:szCs w:val="22"/>
        </w:rPr>
        <w:t xml:space="preserve">Our commitment.</w:t>
      </w:r>
      <w:r>
        <w:rPr>
          <w:rFonts w:ascii="Arial" w:cs="Arial" w:eastAsia="Arial" w:hAnsi="Arial"/>
          <w:color w:val="1A1A22"/>
          <w:sz w:val="22"/>
          <w:szCs w:val="22"/>
        </w:rPr>
        <w:t xml:space="preserve"> Move all mobility operations into the EGW brand within six months while protecting customers, keeping service continuous and building for growth.</w:t>
      </w:r>
    </w:p>
    <w:p>
      <w:pPr>
        <w:pStyle w:val="ListParagraph"/>
        <w:numPr>
          <w:ilvl w:val="0"/>
          <w:numId w:val="3"/>
        </w:numPr>
        <w:spacing w:after="100" w:line="288"/>
      </w:pPr>
      <w:r>
        <w:rPr>
          <w:rFonts w:ascii="Arial" w:cs="Arial" w:eastAsia="Arial" w:hAnsi="Arial"/>
          <w:b/>
          <w:bCs/>
          <w:color w:val="1A1A22"/>
          <w:sz w:val="22"/>
          <w:szCs w:val="22"/>
        </w:rPr>
        <w:t xml:space="preserve">Why Accenture.</w:t>
      </w:r>
      <w:r>
        <w:rPr>
          <w:rFonts w:ascii="Arial" w:cs="Arial" w:eastAsia="Arial" w:hAnsi="Arial"/>
          <w:color w:val="1A1A22"/>
          <w:sz w:val="22"/>
          <w:szCs w:val="22"/>
        </w:rPr>
        <w:t xml:space="preserve"> Execution discipline, structured governance, integration focus and collaborative delivery, focused on business outcomes.</w:t>
      </w:r>
    </w:p>
    <w:p>
      <w:pPr>
        <w:pStyle w:val="ListParagraph"/>
        <w:numPr>
          <w:ilvl w:val="0"/>
          <w:numId w:val="3"/>
        </w:numPr>
        <w:spacing w:after="100" w:line="288"/>
      </w:pPr>
      <w:r>
        <w:rPr>
          <w:rFonts w:ascii="Arial" w:cs="Arial" w:eastAsia="Arial" w:hAnsi="Arial"/>
          <w:b/>
          <w:bCs/>
          <w:color w:val="1A1A22"/>
          <w:sz w:val="22"/>
          <w:szCs w:val="22"/>
        </w:rPr>
        <w:t xml:space="preserve">The initial assessment.</w:t>
      </w:r>
      <w:r>
        <w:rPr>
          <w:rFonts w:ascii="Arial" w:cs="Arial" w:eastAsia="Arial" w:hAnsi="Arial"/>
          <w:color w:val="1A1A22"/>
          <w:sz w:val="22"/>
          <w:szCs w:val="22"/>
        </w:rPr>
        <w:t xml:space="preserve"> Time-bound and outcome-focused, ending with prioritized risks, validated assumptions, a high-level roadmap and next-step recommendations.</w:t>
      </w:r>
    </w:p>
    <w:p>
      <w:pPr>
        <w:pStyle w:val="ListParagraph"/>
        <w:numPr>
          <w:ilvl w:val="0"/>
          <w:numId w:val="3"/>
        </w:numPr>
        <w:spacing w:after="100" w:line="288"/>
      </w:pPr>
      <w:r>
        <w:rPr>
          <w:rFonts w:ascii="Arial" w:cs="Arial" w:eastAsia="Arial" w:hAnsi="Arial"/>
          <w:b/>
          <w:bCs/>
          <w:color w:val="1A1A22"/>
          <w:sz w:val="22"/>
          <w:szCs w:val="22"/>
        </w:rPr>
        <w:t xml:space="preserve">The ask.</w:t>
      </w:r>
      <w:r>
        <w:rPr>
          <w:rFonts w:ascii="Arial" w:cs="Arial" w:eastAsia="Arial" w:hAnsi="Arial"/>
          <w:color w:val="1A1A22"/>
          <w:sz w:val="22"/>
          <w:szCs w:val="22"/>
        </w:rPr>
        <w:t xml:space="preserve"> Align on scope, nominate stakeholders, agree a short window, and sponsor the assessment.</w:t>
      </w:r>
    </w:p>
    <w:p>
      <w:pPr>
        <w:spacing w:after="100" w:before="220"/>
      </w:pPr>
      <w:r>
        <w:rPr>
          <w:rFonts w:ascii="Arial" w:cs="Arial" w:eastAsia="Arial" w:hAnsi="Arial"/>
          <w:b/>
          <w:bCs/>
          <w:color w:val="A100FF"/>
          <w:spacing w:val="40"/>
          <w:sz w:val="20"/>
          <w:szCs w:val="20"/>
        </w:rPr>
        <w:t xml:space="preserve">SPEECH · SURYAKANT</w:t>
      </w:r>
    </w:p>
    <w:p>
      <w:pPr>
        <w:pBdr>
          <w:left w:val="single" w:color="A100FF" w:sz="18" w:space="10"/>
        </w:pBdr>
        <w:spacing w:after="160" w:line="312"/>
        <w:ind w:left="280"/>
      </w:pPr>
      <w:r>
        <w:rPr>
          <w:rFonts w:ascii="Arial" w:cs="Arial" w:eastAsia="Arial" w:hAnsi="Arial"/>
          <w:color w:val="1A1A22"/>
          <w:sz w:val="23"/>
          <w:szCs w:val="23"/>
        </w:rPr>
        <w:t xml:space="preserve">Tom, John, we understand your context, high-level scope and expectation from the vendor.</w:t>
      </w:r>
    </w:p>
    <w:p>
      <w:pPr>
        <w:pBdr>
          <w:left w:val="single" w:color="A100FF" w:sz="18" w:space="10"/>
        </w:pBdr>
        <w:spacing w:after="160" w:line="312"/>
        <w:ind w:left="280"/>
      </w:pPr>
      <w:r>
        <w:rPr>
          <w:rFonts w:ascii="Arial" w:cs="Arial" w:eastAsia="Arial" w:hAnsi="Arial"/>
          <w:color w:val="1A1A22"/>
          <w:sz w:val="23"/>
          <w:szCs w:val="23"/>
        </w:rPr>
        <w:t xml:space="preserve">So, our commitment is simple: help you on transition of all mobility operations into the EGW (Enterprise, Government, Wholesale) brand within six months, while protecting customer relationships, maintaining service continuity, and building a platform for future growth.</w:t>
      </w:r>
    </w:p>
    <w:p>
      <w:pPr>
        <w:pBdr>
          <w:left w:val="single" w:color="A100FF" w:sz="18" w:space="10"/>
        </w:pBdr>
        <w:spacing w:after="160" w:line="312"/>
        <w:ind w:left="280"/>
      </w:pPr>
      <w:r>
        <w:rPr>
          <w:rFonts w:ascii="Arial" w:cs="Arial" w:eastAsia="Arial" w:hAnsi="Arial"/>
          <w:color w:val="1A1A22"/>
          <w:sz w:val="23"/>
          <w:szCs w:val="23"/>
        </w:rPr>
        <w:t xml:space="preserve">You have heard what we understood and how we work, in detail from Sushant and Neeti.</w:t>
      </w:r>
    </w:p>
    <w:p>
      <w:pPr>
        <w:pBdr>
          <w:left w:val="single" w:color="A100FF" w:sz="18" w:space="10"/>
        </w:pBdr>
        <w:spacing w:after="160" w:line="312"/>
        <w:ind w:left="280"/>
      </w:pPr>
      <w:r>
        <w:rPr>
          <w:rFonts w:ascii="Arial" w:cs="Arial" w:eastAsia="Arial" w:hAnsi="Arial"/>
          <w:color w:val="1A1A22"/>
          <w:sz w:val="23"/>
          <w:szCs w:val="23"/>
        </w:rPr>
        <w:t xml:space="preserve">This shows our rich Salesforce delivery expertise, our approach to early validation to identify potential issues before they affect customers and maintain the integrity of the prospect-to-cash journey for existing customers throughout the transition.</w:t>
      </w:r>
    </w:p>
    <w:p>
      <w:pPr>
        <w:pBdr>
          <w:left w:val="single" w:color="A100FF" w:sz="18" w:space="10"/>
        </w:pBdr>
        <w:spacing w:after="160" w:line="312"/>
        <w:ind w:left="280"/>
      </w:pPr>
      <w:r>
        <w:rPr>
          <w:rFonts w:ascii="Arial" w:cs="Arial" w:eastAsia="Arial" w:hAnsi="Arial"/>
          <w:color w:val="1A1A22"/>
          <w:sz w:val="23"/>
          <w:szCs w:val="23"/>
        </w:rPr>
        <w:t xml:space="preserve">With Accenture as your implementation partner, you gain a partner focused not only on delivery milestones, but also on the business outcomes those milestones must enable.</w:t>
      </w:r>
    </w:p>
    <w:p>
      <w:pPr>
        <w:pBdr>
          <w:left w:val="single" w:color="A100FF" w:sz="18" w:space="10"/>
        </w:pBdr>
        <w:spacing w:after="160" w:line="312"/>
        <w:ind w:left="280"/>
      </w:pPr>
      <w:r>
        <w:rPr>
          <w:rFonts w:ascii="Arial" w:cs="Arial" w:eastAsia="Arial" w:hAnsi="Arial"/>
          <w:color w:val="1A1A22"/>
          <w:sz w:val="23"/>
          <w:szCs w:val="23"/>
        </w:rPr>
        <w:t xml:space="preserve">We will bring the execution discipline, structured governance, integration focus, and collaborative delivery approach needed to turn this six-month ambition into a controlled and measurable transformation.</w:t>
      </w:r>
    </w:p>
    <w:p>
      <w:pPr>
        <w:pBdr>
          <w:left w:val="single" w:color="A100FF" w:sz="18" w:space="10"/>
        </w:pBdr>
        <w:spacing w:after="160" w:line="312"/>
        <w:ind w:left="280"/>
      </w:pPr>
      <w:r>
        <w:rPr>
          <w:rFonts w:ascii="Arial" w:cs="Arial" w:eastAsia="Arial" w:hAnsi="Arial"/>
          <w:color w:val="1A1A22"/>
          <w:sz w:val="23"/>
          <w:szCs w:val="23"/>
        </w:rPr>
        <w:t xml:space="preserve">So before we commit to the detailed execution roadmap, we recommend starting with a focused initial assessment.</w:t>
      </w:r>
    </w:p>
    <w:p>
      <w:pPr>
        <w:pBdr>
          <w:left w:val="single" w:color="A100FF" w:sz="18" w:space="10"/>
        </w:pBdr>
        <w:spacing w:after="160" w:line="312"/>
        <w:ind w:left="280"/>
      </w:pPr>
      <w:r>
        <w:rPr>
          <w:rFonts w:ascii="Arial" w:cs="Arial" w:eastAsia="Arial" w:hAnsi="Arial"/>
          <w:color w:val="1A1A22"/>
          <w:sz w:val="23"/>
          <w:szCs w:val="23"/>
        </w:rPr>
        <w:t xml:space="preserve">Given the ambitious six-month timeline and the complexity of establishing Salesforce, integrating Siebel, Oracle and BRM, and migrating the customer base, we believe the most important first step is to establish a clear understanding of where we stand today and what it will take to deliver this transformation successfully.</w:t>
      </w:r>
    </w:p>
    <w:p>
      <w:pPr>
        <w:pBdr>
          <w:left w:val="single" w:color="A100FF" w:sz="18" w:space="10"/>
        </w:pBdr>
        <w:spacing w:after="160" w:line="312"/>
        <w:ind w:left="280"/>
      </w:pPr>
      <w:r>
        <w:rPr>
          <w:rFonts w:ascii="Arial" w:cs="Arial" w:eastAsia="Arial" w:hAnsi="Arial"/>
          <w:color w:val="1A1A22"/>
          <w:sz w:val="23"/>
          <w:szCs w:val="23"/>
        </w:rPr>
        <w:t xml:space="preserve">Our objective is simple: identify the critical risks early, validate the key assumptions, and give you a realistic, evidence-based path to achieving the six-month ambition.</w:t>
      </w:r>
    </w:p>
    <w:p>
      <w:pPr>
        <w:pBdr>
          <w:left w:val="single" w:color="A100FF" w:sz="18" w:space="10"/>
        </w:pBdr>
        <w:spacing w:after="160" w:line="312"/>
        <w:ind w:left="280"/>
      </w:pPr>
      <w:r>
        <w:rPr>
          <w:rFonts w:ascii="Arial" w:cs="Arial" w:eastAsia="Arial" w:hAnsi="Arial"/>
          <w:color w:val="1A1A22"/>
          <w:sz w:val="23"/>
          <w:szCs w:val="23"/>
        </w:rPr>
        <w:t xml:space="preserve">So, we propose keeping this assessment time-bound, outcome-focused, and closely aligned with your business priorities.</w:t>
      </w:r>
    </w:p>
    <w:p>
      <w:pPr>
        <w:pBdr>
          <w:left w:val="single" w:color="A100FF" w:sz="18" w:space="10"/>
        </w:pBdr>
        <w:spacing w:after="160" w:line="312"/>
        <w:ind w:left="280"/>
      </w:pPr>
      <w:r>
        <w:rPr>
          <w:rFonts w:ascii="Arial" w:cs="Arial" w:eastAsia="Arial" w:hAnsi="Arial"/>
          <w:color w:val="1A1A22"/>
          <w:sz w:val="23"/>
          <w:szCs w:val="23"/>
        </w:rPr>
        <w:t xml:space="preserve">At the end of the assessment, you will have a prioritized view of the risks and dependencies, a validated set of planning assumptions, a high-level delivery roadmap, and clear recommendations on the immediate next steps.</w:t>
      </w:r>
    </w:p>
    <w:p>
      <w:pPr>
        <w:pBdr>
          <w:left w:val="single" w:color="A100FF" w:sz="18" w:space="10"/>
        </w:pBdr>
        <w:spacing w:after="160" w:line="312"/>
        <w:ind w:left="280"/>
      </w:pPr>
      <w:r>
        <w:rPr>
          <w:rFonts w:ascii="Arial" w:cs="Arial" w:eastAsia="Arial" w:hAnsi="Arial"/>
          <w:color w:val="1A1A22"/>
          <w:sz w:val="23"/>
          <w:szCs w:val="23"/>
        </w:rPr>
        <w:t xml:space="preserve">Tom, John, our recommendation is to align on the assessment scope, nominate the right business and technology stakeholders, and agree on a short assessment window with clearly defined outputs.</w:t>
      </w:r>
    </w:p>
    <w:p>
      <w:pPr>
        <w:pBdr>
          <w:left w:val="single" w:color="A100FF" w:sz="18" w:space="10"/>
        </w:pBdr>
        <w:spacing w:after="160" w:line="312"/>
        <w:ind w:left="280"/>
      </w:pPr>
      <w:r>
        <w:rPr>
          <w:rFonts w:ascii="Arial" w:cs="Arial" w:eastAsia="Arial" w:hAnsi="Arial"/>
          <w:color w:val="1A1A22"/>
          <w:sz w:val="23"/>
          <w:szCs w:val="23"/>
        </w:rPr>
        <w:t xml:space="preserve">Would you be comfortable sponsoring this initial assessment so that we can validate the critical assumptions, expose the key risks early, and establish the strongest possible foundation for your six-month transition to the EGW brand with confidence?</w:t>
      </w:r>
    </w:p>
    <w:p>
      <w:pPr>
        <w:spacing w:after="100" w:before="220"/>
      </w:pPr>
      <w:r>
        <w:rPr>
          <w:rFonts w:ascii="Arial" w:cs="Arial" w:eastAsia="Arial" w:hAnsi="Arial"/>
          <w:b/>
          <w:bCs/>
          <w:color w:val="A100FF"/>
          <w:spacing w:val="40"/>
          <w:sz w:val="20"/>
          <w:szCs w:val="20"/>
        </w:rPr>
        <w:t xml:space="preserve">DELIVERY TIPS</w:t>
      </w:r>
    </w:p>
    <w:p>
      <w:pPr>
        <w:pStyle w:val="ListParagraph"/>
        <w:numPr>
          <w:ilvl w:val="0"/>
          <w:numId w:val="2"/>
        </w:numPr>
        <w:spacing w:after="80" w:line="276"/>
      </w:pPr>
      <w:r>
        <w:rPr>
          <w:rFonts w:ascii="Arial" w:cs="Arial" w:eastAsia="Arial" w:hAnsi="Arial"/>
          <w:color w:val="1A1A22"/>
          <w:sz w:val="22"/>
          <w:szCs w:val="22"/>
        </w:rPr>
        <w:t xml:space="preserve">Pause before the final question, then stop talking and let Tom answer.</w:t>
      </w:r>
    </w:p>
    <w:p>
      <w:pPr>
        <w:pStyle w:val="ListParagraph"/>
        <w:numPr>
          <w:ilvl w:val="0"/>
          <w:numId w:val="2"/>
        </w:numPr>
        <w:spacing w:after="80" w:line="276"/>
      </w:pPr>
      <w:r>
        <w:rPr>
          <w:rFonts w:ascii="Arial" w:cs="Arial" w:eastAsia="Arial" w:hAnsi="Arial"/>
          <w:color w:val="1A1A22"/>
          <w:sz w:val="22"/>
          <w:szCs w:val="22"/>
        </w:rPr>
        <w:t xml:space="preserve">Say the assessment window and dates out loud once the team has agreed on them.</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5B68"/>
        <w:sz w:val="18"/>
        <w:szCs w:val="18"/>
      </w:rPr>
      <w:t xml:space="preserve">Hypothetical scenarios and figures · Page </w:t>
    </w:r>
    <w:r>
      <w:rPr>
        <w:rFonts w:ascii="Arial" w:cs="Arial" w:eastAsia="Arial" w:hAnsi="Arial"/>
        <w:color w:val="5B5B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100FF" w:sz="6" w:space="4"/>
      </w:pBdr>
    </w:pPr>
    <w:r>
      <w:rPr>
        <w:rFonts w:ascii="Arial" w:cs="Arial" w:eastAsia="Arial" w:hAnsi="Arial"/>
        <w:color w:val="5B5B68"/>
        <w:sz w:val="18"/>
        <w:szCs w:val="18"/>
      </w:rPr>
      <w:t xml:space="preserve">Meridian Telecom: 4 Topics, 4 Sub-topics, 4 Speeches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460073"/>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A100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Telecom: 4 Topics, 4 Sub-topics, 4 Speeches</dc:title>
  <dc:creator>Pitch team</dc:creator>
  <cp:lastModifiedBy>Un-named</cp:lastModifiedBy>
  <cp:revision>1</cp:revision>
  <dcterms:created xsi:type="dcterms:W3CDTF">2026-10-26T10:47:44.988Z</dcterms:created>
  <dcterms:modified xsi:type="dcterms:W3CDTF">2026-10-26T10:47:45.006Z</dcterms:modified>
</cp:coreProperties>
</file>

<file path=docProps/custom.xml><?xml version="1.0" encoding="utf-8"?>
<Properties xmlns="http://schemas.openxmlformats.org/officeDocument/2006/custom-properties" xmlns:vt="http://schemas.openxmlformats.org/officeDocument/2006/docPropsVTypes"/>
</file>