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0chlt8p7g4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Fixed Deposit / GIC Investment Rate / Interest (%)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(Years 1–3 for RBC, TD, and BMO are taken directly from your document; Years 4–5 and Scotiabank &amp; CIBC are added to complete the 5-year tenure.)</w:t>
      </w:r>
    </w:p>
    <w:tbl>
      <w:tblPr>
        <w:tblStyle w:val="Table1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1095"/>
        <w:gridCol w:w="1230"/>
        <w:gridCol w:w="1230"/>
        <w:gridCol w:w="1230"/>
        <w:gridCol w:w="1230"/>
        <w:tblGridChange w:id="0">
          <w:tblGrid>
            <w:gridCol w:w="2340"/>
            <w:gridCol w:w="1095"/>
            <w:gridCol w:w="1230"/>
            <w:gridCol w:w="1230"/>
            <w:gridCol w:w="1230"/>
            <w:gridCol w:w="12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/ 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RBC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1.45%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1.65%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1.95%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3.75%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4.09%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TD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1.23%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1.69%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2.01%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3.90%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4.36%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BMO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1.38%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1.58%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1.89%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3.65%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4.24%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Scotiabank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1.40%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1.62%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1.98%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3.80%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4.49%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1.32%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1.55%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1.90%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3.70%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4.19%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aotui575y9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Market-Linked Fixed-Term Investment (15% Capped Return) (%)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(Years 1–3 for RBC, TD, and BMO are taken directly from your document; Years 4–5 and Scotiabank &amp; CIBC are added to complete the 5-year tenure.)</w:t>
      </w:r>
    </w:p>
    <w:tbl>
      <w:tblPr>
        <w:tblStyle w:val="Table2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1095"/>
        <w:gridCol w:w="1230"/>
        <w:gridCol w:w="1230"/>
        <w:gridCol w:w="1230"/>
        <w:gridCol w:w="1230"/>
        <w:tblGridChange w:id="0">
          <w:tblGrid>
            <w:gridCol w:w="2340"/>
            <w:gridCol w:w="1095"/>
            <w:gridCol w:w="1230"/>
            <w:gridCol w:w="1230"/>
            <w:gridCol w:w="1230"/>
            <w:gridCol w:w="12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/ 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RBC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1.45%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1.69%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2.23%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4.50%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5.85%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TD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1.54%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1.89%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2.01%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4.10%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5.19%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BMO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1.69%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1.58%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2.11%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4.20%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5.48%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Scotiabank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1.60%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1.75%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2.18%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4.30%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5.73%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1.50%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1.65%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2.05%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3.95%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4.95%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aiusuci5q5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Fixed Mortgage Rates (%)</w:t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tl w:val="0"/>
        </w:rPr>
        <w:t xml:space="preserve">(Years 1–4 for RBC, TD, and BMO are taken directly from your document; Year 5 and Scotiabank &amp; CIBC are added to complete the 5-year tenure.)</w:t>
      </w:r>
    </w:p>
    <w:tbl>
      <w:tblPr>
        <w:tblStyle w:val="Table3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1095"/>
        <w:gridCol w:w="1230"/>
        <w:gridCol w:w="1230"/>
        <w:gridCol w:w="1230"/>
        <w:gridCol w:w="1230"/>
        <w:tblGridChange w:id="0">
          <w:tblGrid>
            <w:gridCol w:w="2340"/>
            <w:gridCol w:w="1095"/>
            <w:gridCol w:w="1230"/>
            <w:gridCol w:w="1230"/>
            <w:gridCol w:w="1230"/>
            <w:gridCol w:w="12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/ 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RBC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4.56%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3.89%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3.45%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3.01%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4.63%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TD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4.12%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3.99%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3.25%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3.14%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4.48%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BMO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4.89%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3.12%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3.82%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3.22%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4.33%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Scotiabank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4.25%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3.65%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3.39%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3.18%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4.23%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4.40%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3.75%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3.55%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3.29%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4.41%</w:t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rq04pjk2fe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Variable Mortgage Rates (%)</w:t>
      </w:r>
    </w:p>
    <w:p w:rsidR="00000000" w:rsidDel="00000000" w:rsidP="00000000" w:rsidRDefault="00000000" w:rsidRPr="00000000" w14:paraId="00000074">
      <w:pPr>
        <w:spacing w:after="240" w:lineRule="auto"/>
        <w:rPr/>
      </w:pPr>
      <w:r w:rsidDel="00000000" w:rsidR="00000000" w:rsidRPr="00000000">
        <w:rPr>
          <w:rtl w:val="0"/>
        </w:rPr>
        <w:t xml:space="preserve">(Years 1–4 for BMO, RBC, and TD are taken directly from your document; Year 5 and Scotiabank &amp; CIBC are added to complete the 5-year tenure.)</w:t>
      </w:r>
    </w:p>
    <w:tbl>
      <w:tblPr>
        <w:tblStyle w:val="Table4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1095"/>
        <w:gridCol w:w="1230"/>
        <w:gridCol w:w="1230"/>
        <w:gridCol w:w="1230"/>
        <w:gridCol w:w="1230"/>
        <w:tblGridChange w:id="0">
          <w:tblGrid>
            <w:gridCol w:w="2340"/>
            <w:gridCol w:w="1095"/>
            <w:gridCol w:w="1230"/>
            <w:gridCol w:w="1230"/>
            <w:gridCol w:w="1230"/>
            <w:gridCol w:w="12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/ 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BMO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4.56%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3.89%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3.45%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3.01%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4.15%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RBC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4.12%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3.99%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3.25%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3.14%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3.88%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TD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4.89%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3.12%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3.82%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3.22%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4.25%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Scotiabank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4.20%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3.60%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3.35%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3.15%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3.95%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4.35%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3.75%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3.50%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3.28%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3.79%</w:t>
            </w:r>
          </w:p>
        </w:tc>
      </w:tr>
    </w:tbl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h5ecf7ehws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Personal Loan Rates Across 1 to 5 Years (%)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obo4kcuu3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Fixed Personal Loans</w:t>
      </w:r>
    </w:p>
    <w:tbl>
      <w:tblPr>
        <w:tblStyle w:val="Table5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1095"/>
        <w:gridCol w:w="1230"/>
        <w:gridCol w:w="1230"/>
        <w:gridCol w:w="1230"/>
        <w:gridCol w:w="1230"/>
        <w:tblGridChange w:id="0">
          <w:tblGrid>
            <w:gridCol w:w="2340"/>
            <w:gridCol w:w="1095"/>
            <w:gridCol w:w="1230"/>
            <w:gridCol w:w="1230"/>
            <w:gridCol w:w="1230"/>
            <w:gridCol w:w="12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/ 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3.10%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3.18%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3.26%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3.35%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3.42%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Scotiabank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3.45%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3.55%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3.68%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3.75%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3.82%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3.60%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3.72%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3.85%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3.92%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4.02%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3.80%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3.90%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4.03%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4.12%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4.20%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3.92%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4.02%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4.13%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4.22%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4.30%</w:t>
            </w:r>
          </w:p>
        </w:tc>
      </w:tr>
    </w:tbl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3wk710qae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Variable Personal Loans</w:t>
      </w:r>
    </w:p>
    <w:tbl>
      <w:tblPr>
        <w:tblStyle w:val="Table6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1095"/>
        <w:gridCol w:w="1230"/>
        <w:gridCol w:w="1230"/>
        <w:gridCol w:w="1230"/>
        <w:gridCol w:w="1230"/>
        <w:tblGridChange w:id="0">
          <w:tblGrid>
            <w:gridCol w:w="2340"/>
            <w:gridCol w:w="1095"/>
            <w:gridCol w:w="1230"/>
            <w:gridCol w:w="1230"/>
            <w:gridCol w:w="1230"/>
            <w:gridCol w:w="12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/ 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Scotiabank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2.55%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2.65%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2.75%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2.85%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2.95%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2.75%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2.85%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2.95%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3.05%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3.15%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2.90%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3.00%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3.10%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3.20%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3.30%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3.05%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3.15%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3.25%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3.35%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3.45%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3.20%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3.30%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3.40%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3.50%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3.60%</w:t>
            </w:r>
          </w:p>
        </w:tc>
      </w:tr>
    </w:tbl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vn1xr8qsce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Debt Management / Consolidation Loan Rates Across 1 to 5 Years (%)</w:t>
      </w:r>
    </w:p>
    <w:tbl>
      <w:tblPr>
        <w:tblStyle w:val="Table7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1095"/>
        <w:gridCol w:w="1230"/>
        <w:gridCol w:w="1230"/>
        <w:gridCol w:w="1230"/>
        <w:gridCol w:w="1230"/>
        <w:tblGridChange w:id="0">
          <w:tblGrid>
            <w:gridCol w:w="2340"/>
            <w:gridCol w:w="1095"/>
            <w:gridCol w:w="1230"/>
            <w:gridCol w:w="1230"/>
            <w:gridCol w:w="1230"/>
            <w:gridCol w:w="12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/ 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6.85%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7.24%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7.42%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7.55%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Scotiabank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7.10%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7.30%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7.49%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7.65%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7.80%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7.45%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7.65%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7.85%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8.02%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8.15%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7.70%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7.90%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8.10%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8.28%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8.40%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7.95%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8.15%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8.35%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8.52%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8.65%</w:t>
            </w:r>
          </w:p>
        </w:tc>
      </w:tr>
    </w:tbl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wma133l4wa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Mutual Funds (Targeted Annualized Return) Across 1 to 5 Years (%)</w:t>
      </w:r>
    </w:p>
    <w:tbl>
      <w:tblPr>
        <w:tblStyle w:val="Table8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1095"/>
        <w:gridCol w:w="1230"/>
        <w:gridCol w:w="1230"/>
        <w:gridCol w:w="1230"/>
        <w:gridCol w:w="1230"/>
        <w:tblGridChange w:id="0">
          <w:tblGrid>
            <w:gridCol w:w="2340"/>
            <w:gridCol w:w="1095"/>
            <w:gridCol w:w="1230"/>
            <w:gridCol w:w="1230"/>
            <w:gridCol w:w="1230"/>
            <w:gridCol w:w="12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/ 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7.25%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7.45%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7.74%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7.95%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8.15%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7.25%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7.54%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7.75%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7.95%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Scotiabank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6.65%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6.85%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7.09%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7.30%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7.50%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6.75%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7.00%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7.20%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7.40%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6.15%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6.35%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6.54%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6.75%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6.95%</w:t>
            </w:r>
          </w:p>
        </w:tc>
      </w:tr>
    </w:tbl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82pvx684my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Credit Cards (Annual Fees &amp; Purchase APR)</w:t>
      </w:r>
    </w:p>
    <w:tbl>
      <w:tblPr>
        <w:tblStyle w:val="Table9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2520"/>
        <w:gridCol w:w="1770"/>
        <w:gridCol w:w="2490"/>
        <w:tblGridChange w:id="0">
          <w:tblGrid>
            <w:gridCol w:w="1980"/>
            <w:gridCol w:w="2520"/>
            <w:gridCol w:w="1770"/>
            <w:gridCol w:w="249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Bank / 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 Tier /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Fee (CAD)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Purchase Interest Rate (APR)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TD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Premium Rewards / Cashback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$120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20.10%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RBC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Avion / Rewards Platinum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$110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20.56%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BMO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Ascend World Elite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$100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21.21%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Scotiabank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Scene+ / Momentum Visa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$120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20.99%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Aventura / Dividend Visa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$120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20.99%</w:t>
            </w:r>
          </w:p>
        </w:tc>
      </w:tr>
    </w:tbl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osaosjywvb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Institution &amp; Advisor Directory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BMO (Bank of Montreal):</w:t>
      </w:r>
      <w:r w:rsidDel="00000000" w:rsidR="00000000" w:rsidRPr="00000000">
        <w:rPr>
          <w:rtl w:val="0"/>
        </w:rPr>
        <w:t xml:space="preserve"> David Chen — Wealth Management Specialist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Scotiabank:</w:t>
      </w:r>
      <w:r w:rsidDel="00000000" w:rsidR="00000000" w:rsidRPr="00000000">
        <w:rPr>
          <w:rtl w:val="0"/>
        </w:rPr>
        <w:t xml:space="preserve"> Emily Roberts — Senior Financial Advisor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CIBC:</w:t>
      </w:r>
      <w:r w:rsidDel="00000000" w:rsidR="00000000" w:rsidRPr="00000000">
        <w:rPr>
          <w:rtl w:val="0"/>
        </w:rPr>
        <w:t xml:space="preserve"> Daniel Singh — Wealth Management Advisor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RBC (Royal Bank of Canada):</w:t>
      </w:r>
      <w:r w:rsidDel="00000000" w:rsidR="00000000" w:rsidRPr="00000000">
        <w:rPr>
          <w:rtl w:val="0"/>
        </w:rPr>
        <w:t xml:space="preserve"> Victor Gaur — Principal Financial Advisor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TD (Toronto-Dominion Bank):</w:t>
      </w:r>
      <w:r w:rsidDel="00000000" w:rsidR="00000000" w:rsidRPr="00000000">
        <w:rPr>
          <w:rtl w:val="0"/>
        </w:rPr>
        <w:t xml:space="preserve"> Sarah Mitchell — Senior Investment Advisor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