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B48214"/>
          <w:sz w:val="48"/>
        </w:rPr>
        <w:t>TWINORA</w:t>
      </w:r>
    </w:p>
    <w:p>
      <w:pPr>
        <w:spacing w:after="360"/>
        <w:jc w:val="center"/>
      </w:pPr>
      <w:r>
        <w:rPr>
          <w:rFonts w:ascii="Arial" w:hAnsi="Arial"/>
          <w:b/>
          <w:color w:val="0E192D"/>
          <w:sz w:val="28"/>
        </w:rPr>
        <w:t>TERMS OF SERVICE &amp; END USER LICENSE AGREEMENT (EULA)</w:t>
      </w:r>
    </w:p>
    <w:tbl>
      <w:tblPr>
        <w:tblW w:type="auto" w:w="0"/>
        <w:jc w:val="center"/>
        <w:tblLayout w:type="fixed"/>
        <w:tblLook w:firstColumn="1" w:firstRow="1" w:lastColumn="0" w:lastRow="0" w:noHBand="0" w:noVBand="1" w:val="04A0"/>
      </w:tblPr>
      <w:tblGrid>
        <w:gridCol w:w="8640"/>
      </w:tblGrid>
      <w:tr>
        <w:tc>
          <w:tcPr>
            <w:tcW w:type="dxa" w:w="9360"/>
            <w:shd w:fill="F5F7FA"/>
            <w:tcBorders>
              <w:left w:val="single" w:sz="24" w:space="0" w:color="B8860B"/>
              <w:top w:val="none"/>
              <w:right w:val="none"/>
              <w:bottom w:val="none"/>
            </w:tcBorders>
          </w:tcPr>
          <w:p>
            <w:pPr>
              <w:spacing w:before="120" w:after="80"/>
            </w:pPr>
            <w:r>
              <w:rPr>
                <w:rFonts w:ascii="Arial" w:hAnsi="Arial"/>
                <w:b/>
                <w:color w:val="B48214"/>
                <w:sz w:val="22"/>
              </w:rPr>
              <w:t>CUSTOMER-FACING EULA &amp; STORE COMPLIANCE MANDATE</w:t>
            </w:r>
          </w:p>
          <w:p>
            <w:pPr>
              <w:spacing w:after="120" w:line="276" w:lineRule="auto"/>
            </w:pPr>
            <w:r>
              <w:rPr>
                <w:rFonts w:ascii="Arial" w:hAnsi="Arial"/>
                <w:color w:val="282828"/>
                <w:sz w:val="20"/>
              </w:rPr>
              <w:t>Application: Twinora — AI Photo &amp; Video Creation Studio</w:t>
              <w:br/>
              <w:t>Licensor: Digital Passive Academy LTD (United Kingdom)</w:t>
              <w:br/>
              <w:t>Effective Date: August 25, 2026 | Support Email: support@twinora.com</w:t>
              <w:br/>
              <w:t>Required by Apple App Store &amp; Google Play Store for Auto-Renewable Subscriptions &amp; In-App Purchases.</w:t>
            </w:r>
          </w:p>
        </w:tc>
      </w:tr>
    </w:tbl>
    <w:p>
      <w:pPr>
        <w:spacing w:after="120"/>
      </w:pPr>
    </w:p>
    <w:p>
      <w:pPr>
        <w:pStyle w:val="Heading1"/>
        <w:spacing w:before="280" w:after="120"/>
      </w:pPr>
      <w:r>
        <w:rPr>
          <w:rFonts w:ascii="Arial" w:hAnsi="Arial"/>
          <w:b/>
          <w:color w:val="0E192D"/>
          <w:sz w:val="36"/>
        </w:rPr>
        <w:t>1. Agreement to Terms &amp; EULA Grant</w:t>
      </w:r>
    </w:p>
    <w:p>
      <w:pPr>
        <w:spacing w:after="120" w:line="276" w:lineRule="auto"/>
      </w:pPr>
      <w:r>
        <w:rPr>
          <w:rFonts w:ascii="Arial" w:hAnsi="Arial"/>
          <w:color w:val="323232"/>
          <w:sz w:val="21"/>
        </w:rPr>
        <w:t>This Terms of Service and End User License Agreement ('Agreement' or 'Terms') is a legal contract between you ('User' or 'you') and Digital Passive Academy LTD ('Company', 'Licensor', 'we', 'us', or 'our') governing your download, installation, and use of the Twinora mobile application ('App').</w:t>
      </w:r>
    </w:p>
    <w:p>
      <w:pPr>
        <w:spacing w:after="120" w:line="276" w:lineRule="auto"/>
      </w:pPr>
      <w:r>
        <w:rPr>
          <w:rFonts w:ascii="Arial" w:hAnsi="Arial"/>
          <w:color w:val="323232"/>
          <w:sz w:val="21"/>
        </w:rPr>
        <w:t>BY DOWNLOADING, INSTALLING, OR USING TWINORA, YOU AGREE TO BE BOUND BY THESE TERMS. IF YOU DO NOT AGREE, DO NOT INSTALL OR USE THE APP.</w:t>
      </w:r>
    </w:p>
    <w:p>
      <w:pPr>
        <w:spacing w:after="120" w:line="276" w:lineRule="auto"/>
      </w:pPr>
      <w:r>
        <w:rPr>
          <w:rFonts w:ascii="Arial" w:hAnsi="Arial"/>
          <w:color w:val="323232"/>
          <w:sz w:val="21"/>
        </w:rPr>
        <w:t>This Agreement is concluded solely between you and Digital Passive Academy LTD, and NOT with Apple Inc. or Google LLC. Digital Passive Academy LTD is solely responsible for the App, its content, maintenance, and support.</w:t>
      </w:r>
    </w:p>
    <w:p>
      <w:pPr>
        <w:spacing w:after="120" w:line="276" w:lineRule="auto"/>
      </w:pPr>
      <w:r>
        <w:rPr>
          <w:rFonts w:ascii="Arial" w:hAnsi="Arial"/>
          <w:color w:val="323232"/>
          <w:sz w:val="21"/>
        </w:rPr>
        <w:t>We grant you a limited, non-exclusive, non-transferable, revocable license to install and use Twinora on any Apple-branded or Android-compatible device that you own or control, subject to the Usage Rules set forth in the Apple Media Services Terms and Conditions and Google Play Terms of Service.</w:t>
      </w:r>
    </w:p>
    <w:p>
      <w:pPr>
        <w:pStyle w:val="Heading1"/>
        <w:spacing w:before="280" w:after="120"/>
      </w:pPr>
      <w:r>
        <w:rPr>
          <w:rFonts w:ascii="Arial" w:hAnsi="Arial"/>
          <w:b/>
          <w:color w:val="0E192D"/>
          <w:sz w:val="36"/>
        </w:rPr>
        <w:t>2. Customer-Facing Subscription Tiers &amp; Pricing</w:t>
      </w:r>
    </w:p>
    <w:p>
      <w:pPr>
        <w:spacing w:after="120" w:line="276" w:lineRule="auto"/>
      </w:pPr>
      <w:r>
        <w:rPr>
          <w:rFonts w:ascii="Arial" w:hAnsi="Arial"/>
          <w:color w:val="323232"/>
          <w:sz w:val="21"/>
        </w:rPr>
        <w:t>Twinora provides premium access to AI image and video creation tools via auto-renewable monthly subscriptions and consumable credit top-up packs:</w:t>
      </w:r>
    </w:p>
    <w:p>
      <w:pPr>
        <w:spacing w:after="120" w:line="276" w:lineRule="auto"/>
      </w:pPr>
      <w:r>
        <w:rPr>
          <w:rFonts w:ascii="Arial" w:hAnsi="Arial"/>
          <w:color w:val="323232"/>
          <w:sz w:val="21"/>
        </w:rPr>
        <w:t>Auto-Renewable Monthly Subscriptions:</w:t>
      </w:r>
    </w:p>
    <w:p>
      <w:pPr>
        <w:pStyle w:val="ListBullet"/>
        <w:spacing w:after="80" w:line="276" w:lineRule="auto"/>
      </w:pPr>
      <w:r>
        <w:rPr>
          <w:rFonts w:ascii="Arial" w:hAnsi="Arial"/>
          <w:b/>
          <w:color w:val="1E1E1E"/>
          <w:sz w:val="21"/>
        </w:rPr>
        <w:t xml:space="preserve">Starter Plan: </w:t>
      </w:r>
      <w:r>
        <w:rPr>
          <w:rFonts w:ascii="Arial" w:hAnsi="Arial"/>
          <w:color w:val="323232"/>
          <w:sz w:val="21"/>
        </w:rPr>
        <w:t>$27.00 / month — Includes 600 monthly credits.</w:t>
      </w:r>
    </w:p>
    <w:p>
      <w:pPr>
        <w:pStyle w:val="ListBullet"/>
        <w:spacing w:after="80" w:line="276" w:lineRule="auto"/>
      </w:pPr>
      <w:r>
        <w:rPr>
          <w:rFonts w:ascii="Arial" w:hAnsi="Arial"/>
          <w:b/>
          <w:color w:val="1E1E1E"/>
          <w:sz w:val="21"/>
        </w:rPr>
        <w:t xml:space="preserve">Plus Plan: </w:t>
      </w:r>
      <w:r>
        <w:rPr>
          <w:rFonts w:ascii="Arial" w:hAnsi="Arial"/>
          <w:color w:val="323232"/>
          <w:sz w:val="21"/>
        </w:rPr>
        <w:t>$47.00 / month — Includes 1,200 monthly credits.</w:t>
      </w:r>
    </w:p>
    <w:p>
      <w:pPr>
        <w:pStyle w:val="ListBullet"/>
        <w:spacing w:after="80" w:line="276" w:lineRule="auto"/>
      </w:pPr>
      <w:r>
        <w:rPr>
          <w:rFonts w:ascii="Arial" w:hAnsi="Arial"/>
          <w:b/>
          <w:color w:val="1E1E1E"/>
          <w:sz w:val="21"/>
        </w:rPr>
        <w:t xml:space="preserve">Pro Plan ⭐: </w:t>
      </w:r>
      <w:r>
        <w:rPr>
          <w:rFonts w:ascii="Arial" w:hAnsi="Arial"/>
          <w:color w:val="323232"/>
          <w:sz w:val="21"/>
        </w:rPr>
        <w:t>$97.00 / month — Includes 3,000 monthly credits (Recommended).</w:t>
      </w:r>
    </w:p>
    <w:p>
      <w:pPr>
        <w:pStyle w:val="ListBullet"/>
        <w:spacing w:after="80" w:line="276" w:lineRule="auto"/>
      </w:pPr>
      <w:r>
        <w:rPr>
          <w:rFonts w:ascii="Arial" w:hAnsi="Arial"/>
          <w:b/>
          <w:color w:val="1E1E1E"/>
          <w:sz w:val="21"/>
        </w:rPr>
        <w:t xml:space="preserve">Business Plan: </w:t>
      </w:r>
      <w:r>
        <w:rPr>
          <w:rFonts w:ascii="Arial" w:hAnsi="Arial"/>
          <w:color w:val="323232"/>
          <w:sz w:val="21"/>
        </w:rPr>
        <w:t>$197.99 / month — Includes 6,000 monthly credits (Enterprise).</w:t>
      </w:r>
    </w:p>
    <w:p>
      <w:pPr>
        <w:spacing w:after="120" w:line="276" w:lineRule="auto"/>
      </w:pPr>
      <w:r>
        <w:rPr>
          <w:rFonts w:ascii="Arial" w:hAnsi="Arial"/>
          <w:color w:val="323232"/>
          <w:sz w:val="21"/>
        </w:rPr>
        <w:t>Consumable Credit Top-Up Packs:</w:t>
      </w:r>
    </w:p>
    <w:p>
      <w:pPr>
        <w:pStyle w:val="ListBullet"/>
        <w:spacing w:after="80" w:line="276" w:lineRule="auto"/>
      </w:pPr>
      <w:r>
        <w:rPr>
          <w:rFonts w:ascii="Arial" w:hAnsi="Arial"/>
          <w:b/>
          <w:color w:val="1E1E1E"/>
          <w:sz w:val="21"/>
        </w:rPr>
        <w:t xml:space="preserve">250 Credits Pack: </w:t>
      </w:r>
      <w:r>
        <w:rPr>
          <w:rFonts w:ascii="Arial" w:hAnsi="Arial"/>
          <w:color w:val="323232"/>
          <w:sz w:val="21"/>
        </w:rPr>
        <w:t>$14.99 — Instant grant of 250 top-up credits.</w:t>
      </w:r>
    </w:p>
    <w:p>
      <w:pPr>
        <w:pStyle w:val="ListBullet"/>
        <w:spacing w:after="80" w:line="276" w:lineRule="auto"/>
      </w:pPr>
      <w:r>
        <w:rPr>
          <w:rFonts w:ascii="Arial" w:hAnsi="Arial"/>
          <w:b/>
          <w:color w:val="1E1E1E"/>
          <w:sz w:val="21"/>
        </w:rPr>
        <w:t xml:space="preserve">500 Credits Pack: </w:t>
      </w:r>
      <w:r>
        <w:rPr>
          <w:rFonts w:ascii="Arial" w:hAnsi="Arial"/>
          <w:color w:val="323232"/>
          <w:sz w:val="21"/>
        </w:rPr>
        <w:t>$28.99 — Instant grant of 500 top-up credits.</w:t>
      </w:r>
    </w:p>
    <w:p>
      <w:pPr>
        <w:pStyle w:val="ListBullet"/>
        <w:spacing w:after="80" w:line="276" w:lineRule="auto"/>
      </w:pPr>
      <w:r>
        <w:rPr>
          <w:rFonts w:ascii="Arial" w:hAnsi="Arial"/>
          <w:b/>
          <w:color w:val="1E1E1E"/>
          <w:sz w:val="21"/>
        </w:rPr>
        <w:t xml:space="preserve">1,000 Credits Pack: </w:t>
      </w:r>
      <w:r>
        <w:rPr>
          <w:rFonts w:ascii="Arial" w:hAnsi="Arial"/>
          <w:color w:val="323232"/>
          <w:sz w:val="21"/>
        </w:rPr>
        <w:t>$54.99 — Instant grant of 1,000 top-up credits.</w:t>
      </w:r>
    </w:p>
    <w:p>
      <w:pPr>
        <w:pStyle w:val="ListBullet"/>
        <w:spacing w:after="80" w:line="276" w:lineRule="auto"/>
      </w:pPr>
      <w:r>
        <w:rPr>
          <w:rFonts w:ascii="Arial" w:hAnsi="Arial"/>
          <w:b/>
          <w:color w:val="1E1E1E"/>
          <w:sz w:val="21"/>
        </w:rPr>
        <w:t xml:space="preserve">2,000 Credits Pack: </w:t>
      </w:r>
      <w:r>
        <w:rPr>
          <w:rFonts w:ascii="Arial" w:hAnsi="Arial"/>
          <w:color w:val="323232"/>
          <w:sz w:val="21"/>
        </w:rPr>
        <w:t>$104.99 — Instant grant of 2,000 top-up credits.</w:t>
      </w:r>
    </w:p>
    <w:p>
      <w:pPr>
        <w:pStyle w:val="ListBullet"/>
        <w:spacing w:after="80" w:line="276" w:lineRule="auto"/>
      </w:pPr>
      <w:r>
        <w:rPr>
          <w:rFonts w:ascii="Arial" w:hAnsi="Arial"/>
          <w:b/>
          <w:color w:val="1E1E1E"/>
          <w:sz w:val="21"/>
        </w:rPr>
        <w:t xml:space="preserve">4,000 Credits Pack: </w:t>
      </w:r>
      <w:r>
        <w:rPr>
          <w:rFonts w:ascii="Arial" w:hAnsi="Arial"/>
          <w:color w:val="323232"/>
          <w:sz w:val="21"/>
        </w:rPr>
        <w:t>$198.99 — Instant grant of 4,000 top-up credits.</w:t>
      </w:r>
    </w:p>
    <w:p>
      <w:pPr>
        <w:pStyle w:val="Heading1"/>
        <w:spacing w:before="280" w:after="120"/>
      </w:pPr>
      <w:r>
        <w:rPr>
          <w:rFonts w:ascii="Arial" w:hAnsi="Arial"/>
          <w:b/>
          <w:color w:val="0E192D"/>
          <w:sz w:val="36"/>
        </w:rPr>
        <w:t>3. Auto-Renewal Terms &amp; Billing Disclaimer</w:t>
      </w:r>
    </w:p>
    <w:tbl>
      <w:tblPr>
        <w:tblW w:type="auto" w:w="0"/>
        <w:jc w:val="center"/>
        <w:tblLayout w:type="fixed"/>
        <w:tblLook w:firstColumn="1" w:firstRow="1" w:lastColumn="0" w:lastRow="0" w:noHBand="0" w:noVBand="1" w:val="04A0"/>
      </w:tblPr>
      <w:tblGrid>
        <w:gridCol w:w="8640"/>
      </w:tblGrid>
      <w:tr>
        <w:tc>
          <w:tcPr>
            <w:tcW w:type="dxa" w:w="9360"/>
            <w:shd w:fill="F5F7FA"/>
            <w:tcBorders>
              <w:left w:val="single" w:sz="24" w:space="0" w:color="B8860B"/>
              <w:top w:val="none"/>
              <w:right w:val="none"/>
              <w:bottom w:val="none"/>
            </w:tcBorders>
          </w:tcPr>
          <w:p>
            <w:pPr>
              <w:spacing w:before="120" w:after="80"/>
            </w:pPr>
            <w:r>
              <w:rPr>
                <w:rFonts w:ascii="Arial" w:hAnsi="Arial"/>
                <w:b/>
                <w:color w:val="B48214"/>
                <w:sz w:val="22"/>
              </w:rPr>
              <w:t>MANDATORY STORE AUTO-RENEWAL DISCLAIMER</w:t>
            </w:r>
          </w:p>
          <w:p>
            <w:pPr>
              <w:spacing w:after="120" w:line="276" w:lineRule="auto"/>
            </w:pPr>
            <w:r>
              <w:rPr>
                <w:rFonts w:ascii="Arial" w:hAnsi="Arial"/>
                <w:color w:val="282828"/>
                <w:sz w:val="20"/>
              </w:rPr>
              <w:t>• Auto-Renewal Rule: Subscriptions automatically renew monthly unless auto-renew is turned off at least 24 hours before the end of the current billing period.</w:t>
              <w:br/>
              <w:t>• Account Charge: Your Apple ID or Google Play Account will be charged for renewal within 24 hours prior to the end of the current period at the rate of your selected plan.</w:t>
              <w:br/>
              <w:t>• Management &amp; Cancellation: You can manage, change, or cancel your auto-renewable subscription at any time in your device Account Settings post-purchase.</w:t>
            </w:r>
          </w:p>
        </w:tc>
      </w:tr>
    </w:tbl>
    <w:p>
      <w:pPr>
        <w:spacing w:after="120"/>
      </w:pPr>
    </w:p>
    <w:p>
      <w:pPr>
        <w:spacing w:after="120" w:line="276" w:lineRule="auto"/>
      </w:pPr>
      <w:r>
        <w:rPr>
          <w:rFonts w:ascii="Arial" w:hAnsi="Arial"/>
          <w:color w:val="323232"/>
          <w:sz w:val="21"/>
        </w:rPr>
        <w:t>Step-by-Step Cancellation Instructions:</w:t>
      </w:r>
    </w:p>
    <w:p>
      <w:pPr>
        <w:spacing w:after="120" w:line="276" w:lineRule="auto"/>
      </w:pPr>
      <w:r>
        <w:rPr>
          <w:rFonts w:ascii="Arial" w:hAnsi="Arial"/>
          <w:b/>
          <w:color w:val="1E1E1E"/>
          <w:sz w:val="21"/>
        </w:rPr>
        <w:t xml:space="preserve">For iOS (Apple App Store): </w:t>
      </w:r>
      <w:r>
        <w:rPr>
          <w:rFonts w:ascii="Arial" w:hAnsi="Arial"/>
          <w:color w:val="323232"/>
          <w:sz w:val="21"/>
        </w:rPr>
        <w:t>Open iOS Settings -&gt; Tap your Apple ID Name -&gt; Tap 'Subscriptions' -&gt; Select 'Twinora' -&gt; Tap 'Cancel Subscription'.</w:t>
      </w:r>
    </w:p>
    <w:p>
      <w:pPr>
        <w:spacing w:after="120" w:line="276" w:lineRule="auto"/>
      </w:pPr>
      <w:r>
        <w:rPr>
          <w:rFonts w:ascii="Arial" w:hAnsi="Arial"/>
          <w:b/>
          <w:color w:val="1E1E1E"/>
          <w:sz w:val="21"/>
        </w:rPr>
        <w:t xml:space="preserve">For Android (Google Play Store): </w:t>
      </w:r>
      <w:r>
        <w:rPr>
          <w:rFonts w:ascii="Arial" w:hAnsi="Arial"/>
          <w:color w:val="323232"/>
          <w:sz w:val="21"/>
        </w:rPr>
        <w:t>Open Google Play Store -&gt; Tap Profile Icon -&gt; Tap 'Payments &amp; subscriptions' -&gt; Tap 'Subscriptions' -&gt; Select 'Twinora' -&gt; Tap 'Cancel subscription'.</w:t>
      </w:r>
    </w:p>
    <w:p>
      <w:pPr>
        <w:pStyle w:val="Heading1"/>
        <w:spacing w:before="280" w:after="120"/>
      </w:pPr>
      <w:r>
        <w:rPr>
          <w:rFonts w:ascii="Arial" w:hAnsi="Arial"/>
          <w:b/>
          <w:color w:val="0E192D"/>
          <w:sz w:val="36"/>
        </w:rPr>
        <w:t>4. Credit Engine Rules &amp; Zero-Balance Enforcement</w:t>
      </w:r>
    </w:p>
    <w:p>
      <w:pPr>
        <w:spacing w:after="120" w:line="276" w:lineRule="auto"/>
      </w:pPr>
      <w:r>
        <w:rPr>
          <w:rFonts w:ascii="Arial" w:hAnsi="Arial"/>
          <w:color w:val="323232"/>
          <w:sz w:val="21"/>
        </w:rPr>
        <w:t>Twinora features a real-time Credit Engine to meter AI API compute resources:</w:t>
      </w:r>
    </w:p>
    <w:p>
      <w:pPr>
        <w:pStyle w:val="ListBullet"/>
        <w:spacing w:after="80" w:line="276" w:lineRule="auto"/>
      </w:pPr>
      <w:r>
        <w:rPr>
          <w:rFonts w:ascii="Arial" w:hAnsi="Arial"/>
          <w:b/>
          <w:color w:val="1E1E1E"/>
          <w:sz w:val="21"/>
        </w:rPr>
        <w:t xml:space="preserve">Credit Costs: </w:t>
      </w:r>
      <w:r>
        <w:rPr>
          <w:rFonts w:ascii="Arial" w:hAnsi="Arial"/>
          <w:color w:val="323232"/>
          <w:sz w:val="21"/>
        </w:rPr>
        <w:t>Gemini AI Photo Generation (2 credits / image), Talking Head Video (4 credits / sec), Kling Video Story (per duration matrix), Carousel Slide (2 credits / slide).</w:t>
      </w:r>
    </w:p>
    <w:p>
      <w:pPr>
        <w:pStyle w:val="ListBullet"/>
        <w:spacing w:after="80" w:line="276" w:lineRule="auto"/>
      </w:pPr>
      <w:r>
        <w:rPr>
          <w:rFonts w:ascii="Arial" w:hAnsi="Arial"/>
          <w:b/>
          <w:color w:val="1E1E1E"/>
          <w:sz w:val="21"/>
        </w:rPr>
        <w:t xml:space="preserve">Pre-Flight Lock: </w:t>
      </w:r>
      <w:r>
        <w:rPr>
          <w:rFonts w:ascii="Arial" w:hAnsi="Arial"/>
          <w:color w:val="323232"/>
          <w:sz w:val="21"/>
        </w:rPr>
        <w:t>Before initiating any AI generation request, Twinora performs an automated pre-flight check. If your credit balance is insufficient or zero, generation is blocked immediately and the Insufficient Credits modal appears.</w:t>
      </w:r>
    </w:p>
    <w:p>
      <w:pPr>
        <w:pStyle w:val="ListBullet"/>
        <w:spacing w:after="80" w:line="276" w:lineRule="auto"/>
      </w:pPr>
      <w:r>
        <w:rPr>
          <w:rFonts w:ascii="Arial" w:hAnsi="Arial"/>
          <w:b/>
          <w:color w:val="1E1E1E"/>
          <w:sz w:val="21"/>
        </w:rPr>
        <w:t xml:space="preserve">Zero-Balance Guarantee: </w:t>
      </w:r>
      <w:r>
        <w:rPr>
          <w:rFonts w:ascii="Arial" w:hAnsi="Arial"/>
          <w:color w:val="323232"/>
          <w:sz w:val="21"/>
        </w:rPr>
        <w:t>Credit deductions occur inside atomic database transactions locked to Firestore. Credits can NEVER drop below zero.</w:t>
      </w:r>
    </w:p>
    <w:p>
      <w:pPr>
        <w:pStyle w:val="ListBullet"/>
        <w:spacing w:after="80" w:line="276" w:lineRule="auto"/>
      </w:pPr>
      <w:r>
        <w:rPr>
          <w:rFonts w:ascii="Arial" w:hAnsi="Arial"/>
          <w:b/>
          <w:color w:val="1E1E1E"/>
          <w:sz w:val="21"/>
        </w:rPr>
        <w:t xml:space="preserve">Non-Refundable: </w:t>
      </w:r>
      <w:r>
        <w:rPr>
          <w:rFonts w:ascii="Arial" w:hAnsi="Arial"/>
          <w:color w:val="323232"/>
          <w:sz w:val="21"/>
        </w:rPr>
        <w:t>Credits represent a digital license to access AI compute infrastructure. Credits are non-transferable, non-refundable, non-exchangeable, and hold no cash value.</w:t>
      </w:r>
    </w:p>
    <w:p>
      <w:pPr>
        <w:pStyle w:val="Heading1"/>
        <w:spacing w:before="280" w:after="120"/>
      </w:pPr>
      <w:r>
        <w:rPr>
          <w:rFonts w:ascii="Arial" w:hAnsi="Arial"/>
          <w:b/>
          <w:color w:val="0E192D"/>
          <w:sz w:val="36"/>
        </w:rPr>
        <w:t>5. Acceptable Use Policy &amp; AI Safety Restrictions</w:t>
      </w:r>
    </w:p>
    <w:p>
      <w:pPr>
        <w:spacing w:after="120" w:line="276" w:lineRule="auto"/>
      </w:pPr>
      <w:r>
        <w:rPr>
          <w:rFonts w:ascii="Arial" w:hAnsi="Arial"/>
          <w:color w:val="323232"/>
          <w:sz w:val="21"/>
        </w:rPr>
        <w:t>You agree NOT to use Twinora to create, upload, transmit, or render:</w:t>
      </w:r>
    </w:p>
    <w:p>
      <w:pPr>
        <w:pStyle w:val="ListBullet"/>
        <w:spacing w:after="80" w:line="276" w:lineRule="auto"/>
      </w:pPr>
      <w:r>
        <w:rPr>
          <w:rFonts w:ascii="Arial" w:hAnsi="Arial"/>
          <w:b/>
          <w:color w:val="1E1E1E"/>
          <w:sz w:val="21"/>
        </w:rPr>
        <w:t xml:space="preserve">CSAM / Minor Protection: </w:t>
      </w:r>
      <w:r>
        <w:rPr>
          <w:rFonts w:ascii="Arial" w:hAnsi="Arial"/>
          <w:color w:val="323232"/>
          <w:sz w:val="21"/>
        </w:rPr>
        <w:t>Any material involving Child Sexual Abuse Material (CSAM), Child Sexual Exploitation and Abuse (CSAE), or minors in any suggestive context.</w:t>
      </w:r>
    </w:p>
    <w:p>
      <w:pPr>
        <w:pStyle w:val="ListBullet"/>
        <w:spacing w:after="80" w:line="276" w:lineRule="auto"/>
      </w:pPr>
      <w:r>
        <w:rPr>
          <w:rFonts w:ascii="Arial" w:hAnsi="Arial"/>
          <w:b/>
          <w:color w:val="1E1E1E"/>
          <w:sz w:val="21"/>
        </w:rPr>
        <w:t xml:space="preserve">Explicit Media &amp; Deepfakes: </w:t>
      </w:r>
      <w:r>
        <w:rPr>
          <w:rFonts w:ascii="Arial" w:hAnsi="Arial"/>
          <w:color w:val="323232"/>
          <w:sz w:val="21"/>
        </w:rPr>
        <w:t>Sexually explicit material, non-consensual pornography, deepfakes, or unauthorized likeness rendering of real individuals.</w:t>
      </w:r>
    </w:p>
    <w:p>
      <w:pPr>
        <w:pStyle w:val="ListBullet"/>
        <w:spacing w:after="80" w:line="276" w:lineRule="auto"/>
      </w:pPr>
      <w:r>
        <w:rPr>
          <w:rFonts w:ascii="Arial" w:hAnsi="Arial"/>
          <w:b/>
          <w:color w:val="1E1E1E"/>
          <w:sz w:val="21"/>
        </w:rPr>
        <w:t xml:space="preserve">Illegal &amp; Harmful Conduct: </w:t>
      </w:r>
      <w:r>
        <w:rPr>
          <w:rFonts w:ascii="Arial" w:hAnsi="Arial"/>
          <w:color w:val="323232"/>
          <w:sz w:val="21"/>
        </w:rPr>
        <w:t>Defamatory, harassing, hate speech, violent, or illegal content.</w:t>
      </w:r>
    </w:p>
    <w:p>
      <w:pPr>
        <w:pStyle w:val="ListBullet"/>
        <w:spacing w:after="80" w:line="276" w:lineRule="auto"/>
      </w:pPr>
      <w:r>
        <w:rPr>
          <w:rFonts w:ascii="Arial" w:hAnsi="Arial"/>
          <w:b/>
          <w:color w:val="1E1E1E"/>
          <w:sz w:val="21"/>
        </w:rPr>
        <w:t xml:space="preserve">System Security Exploits: </w:t>
      </w:r>
      <w:r>
        <w:rPr>
          <w:rFonts w:ascii="Arial" w:hAnsi="Arial"/>
          <w:color w:val="323232"/>
          <w:sz w:val="21"/>
        </w:rPr>
        <w:t>Attempting to reverse engineer, decompile, hack, or exploit the App or credit balances.</w:t>
      </w:r>
    </w:p>
    <w:p>
      <w:pPr>
        <w:pStyle w:val="Heading1"/>
        <w:spacing w:before="280" w:after="120"/>
      </w:pPr>
      <w:r>
        <w:rPr>
          <w:rFonts w:ascii="Arial" w:hAnsi="Arial"/>
          <w:b/>
          <w:color w:val="0E192D"/>
          <w:sz w:val="36"/>
        </w:rPr>
        <w:t>6. User Content Ownership &amp; Intellectual Property</w:t>
      </w:r>
    </w:p>
    <w:p>
      <w:pPr>
        <w:spacing w:after="120" w:line="276" w:lineRule="auto"/>
      </w:pPr>
      <w:r>
        <w:rPr>
          <w:rFonts w:ascii="Arial" w:hAnsi="Arial"/>
          <w:color w:val="323232"/>
          <w:sz w:val="21"/>
        </w:rPr>
        <w:t>You retain ownership of the final AI images, carousels, and videos rendered through your account, subject to third-party AI model provider terms. You represent and warrant that you hold all required rights and permissions for any photos, audio recordings, or text prompts uploaded into Twinora.</w:t>
      </w:r>
    </w:p>
    <w:p>
      <w:pPr>
        <w:spacing w:after="120" w:line="276" w:lineRule="auto"/>
      </w:pPr>
      <w:r>
        <w:rPr>
          <w:rFonts w:ascii="Arial" w:hAnsi="Arial"/>
          <w:color w:val="323232"/>
          <w:sz w:val="21"/>
        </w:rPr>
        <w:t>Digital Passive Academy LTD retains all right, title, and interest in and to Twinora, including branding, logos, graphics, code, and user interface designs.</w:t>
      </w:r>
    </w:p>
    <w:p>
      <w:pPr>
        <w:pStyle w:val="Heading1"/>
        <w:spacing w:before="280" w:after="120"/>
      </w:pPr>
      <w:r>
        <w:rPr>
          <w:rFonts w:ascii="Arial" w:hAnsi="Arial"/>
          <w:b/>
          <w:color w:val="0E192D"/>
          <w:sz w:val="36"/>
        </w:rPr>
        <w:t>7. Warranty Disclaimer &amp; Limitation of Liability</w:t>
      </w:r>
    </w:p>
    <w:p>
      <w:pPr>
        <w:spacing w:after="120" w:line="276" w:lineRule="auto"/>
      </w:pPr>
      <w:r>
        <w:rPr>
          <w:rFonts w:ascii="Arial" w:hAnsi="Arial"/>
          <w:color w:val="323232"/>
          <w:sz w:val="21"/>
        </w:rPr>
        <w:t>TWINORA IS PROVIDED ON AN 'AS IS' AND 'AS AVAILABLE' BASIS WITHOUT WARRANTIES OF ANY KIND. DIGITAL PASSIVE ACADEMY LTD EXPRESSLY DISCLAIMS ALL WARRANTIES, EXPRESS OR IMPLIED. IN NO EVENT SHALL DIGITAL PASSIVE ACADEMY LTD, APPLE INC., OR GOOGLE LLC BE LIABLE FOR ANY INDIRECT, CONSEQUENTIAL, OR INCIDENTAL DAMAGES ARISING FROM YOUR USE OF THE APP.</w:t>
      </w:r>
    </w:p>
    <w:p>
      <w:pPr>
        <w:pStyle w:val="Heading1"/>
        <w:spacing w:before="280" w:after="120"/>
      </w:pPr>
      <w:r>
        <w:rPr>
          <w:rFonts w:ascii="Arial" w:hAnsi="Arial"/>
          <w:b/>
          <w:color w:val="0E192D"/>
          <w:sz w:val="36"/>
        </w:rPr>
        <w:t>8. Governing Law &amp; Jurisdiction</w:t>
      </w:r>
    </w:p>
    <w:p>
      <w:pPr>
        <w:spacing w:after="120" w:line="276" w:lineRule="auto"/>
      </w:pPr>
      <w:r>
        <w:rPr>
          <w:rFonts w:ascii="Arial" w:hAnsi="Arial"/>
          <w:color w:val="323232"/>
          <w:sz w:val="21"/>
        </w:rPr>
        <w:t>This Agreement shall be governed by and construed in accordance with the laws of the United Kingdom, without regard to its conflict of law principles. Any legal disputes shall be subject to the exclusive jurisdiction of the courts of England and Wales.</w:t>
      </w:r>
    </w:p>
    <w:p>
      <w:pPr>
        <w:pStyle w:val="Heading1"/>
        <w:spacing w:before="280" w:after="120"/>
      </w:pPr>
      <w:r>
        <w:rPr>
          <w:rFonts w:ascii="Arial" w:hAnsi="Arial"/>
          <w:b/>
          <w:color w:val="0E192D"/>
          <w:sz w:val="36"/>
        </w:rPr>
        <w:t>9. Contact Information</w:t>
      </w:r>
    </w:p>
    <w:p>
      <w:pPr>
        <w:spacing w:after="120" w:line="276" w:lineRule="auto"/>
      </w:pPr>
      <w:r>
        <w:rPr>
          <w:rFonts w:ascii="Arial" w:hAnsi="Arial"/>
          <w:color w:val="323232"/>
          <w:sz w:val="21"/>
        </w:rPr>
        <w:t>Digital Passive Academy LTD</w:t>
        <w:br/>
        <w:t>Support Email: support@twinora.com</w:t>
        <w:br/>
        <w:t>Website: https://twinora.com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