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0"/>
          <w:szCs w:val="20"/>
        </w:rPr>
        <w:t xml:space="preserve">BEACON CAPITAL STEWARDSHIP</w:t>
      </w:r>
    </w:p>
    <w:p>
      <w:pPr>
        <w:spacing w:after="40"/>
      </w:pPr>
      <w:r>
        <w:rPr>
          <w:b/>
          <w:bCs/>
          <w:color w:val="1F3864"/>
          <w:sz w:val="44"/>
          <w:szCs w:val="44"/>
        </w:rPr>
        <w:t xml:space="preserve">Agentic AI Analytics Assessment</w:t>
      </w:r>
    </w:p>
    <w:p>
      <w:pPr>
        <w:spacing w:after="260"/>
      </w:pPr>
      <w:r>
        <w:rPr>
          <w:i/>
          <w:iCs/>
          <w:color w:val="595959"/>
          <w:sz w:val="24"/>
          <w:szCs w:val="24"/>
        </w:rPr>
        <w:t xml:space="preserve">A take-home technical exercise: Reporting Layer · Research Layer · AI / Natural-Language-Query Layer</w:t>
      </w:r>
    </w:p>
    <w:p>
      <w:pPr>
        <w:pBdr>
          <w:bottom w:val="single" w:color="1F3864" w:sz="12" w:space="1"/>
        </w:pBdr>
        <w:spacing w:after="200"/>
      </w:pPr>
      <w:r>
        <w:t xml:space="preserve"/>
      </w:r>
    </w:p>
    <w:p>
      <w:pPr>
        <w:spacing w:after="40"/>
      </w:pPr>
      <w:r>
        <w:rPr>
          <w:b/>
          <w:bCs/>
          <w:sz w:val="20"/>
          <w:szCs w:val="20"/>
        </w:rPr>
        <w:t xml:space="preserve">Prepared for: </w:t>
      </w:r>
      <w:r>
        <w:rPr>
          <w:sz w:val="20"/>
          <w:szCs w:val="20"/>
        </w:rPr>
        <w:t xml:space="preserve">Two candidates, assessed independently</w:t>
      </w:r>
    </w:p>
    <w:p>
      <w:pPr>
        <w:spacing w:after="40"/>
      </w:pPr>
      <w:r>
        <w:rPr>
          <w:b/>
          <w:bCs/>
          <w:sz w:val="20"/>
          <w:szCs w:val="20"/>
        </w:rPr>
        <w:t xml:space="preserve">Issued: </w:t>
      </w:r>
      <w:r>
        <w:rPr>
          <w:sz w:val="20"/>
          <w:szCs w:val="20"/>
        </w:rPr>
        <w:t xml:space="preserve">August 3, 2026</w:t>
      </w:r>
    </w:p>
    <w:p>
      <w:pPr>
        <w:spacing w:after="40"/>
      </w:pPr>
      <w:r>
        <w:rPr>
          <w:b/>
          <w:bCs/>
          <w:sz w:val="20"/>
          <w:szCs w:val="20"/>
        </w:rPr>
        <w:t xml:space="preserve">Suggested time box: </w:t>
      </w:r>
      <w:r>
        <w:rPr>
          <w:sz w:val="20"/>
          <w:szCs w:val="20"/>
        </w:rPr>
        <w:t xml:space="preserve">5–7 calendar days, working solo (placeholder — adjust to whatever fits your process)</w:t>
      </w:r>
    </w:p>
    <w:p>
      <w:pPr>
        <w:spacing w:after="300"/>
      </w:pPr>
      <w:r>
        <w:rPr>
          <w:b/>
          <w:bCs/>
          <w:sz w:val="20"/>
          <w:szCs w:val="20"/>
        </w:rPr>
        <w:t xml:space="preserve">Review format: </w:t>
      </w:r>
      <w:r>
        <w:rPr>
          <w:sz w:val="20"/>
          <w:szCs w:val="20"/>
        </w:rPr>
        <w:t xml:space="preserve">each candidate walks Husnain through their own solution live; both are then compared side by side</w:t>
      </w:r>
    </w:p>
    <w:p>
      <w:pPr>
        <w:pStyle w:val="Heading1"/>
        <w:spacing w:after="160" w:before="320"/>
      </w:pPr>
      <w:r>
        <w:t xml:space="preserve">1. Purpose</w:t>
      </w:r>
    </w:p>
    <w:p>
      <w:pPr>
        <w:spacing w:after="140"/>
      </w:pPr>
      <w:r>
        <w:t xml:space="preserve">This exercise is designed to see how you actually work — not to check whether you can hit one specific correct answer. You'll be handed a year of realistic (but fully fictional) institutional investment data and asked to turn it into three things: a reporting layer, a research layer, and an AI layer that answers questions about the data in natural language.</w:t>
      </w:r>
    </w:p>
    <w:p>
      <w:pPr>
        <w:spacing w:after="140"/>
      </w:pPr>
      <w:r>
        <w:t xml:space="preserve">There is deliberately no prescribed tech stack, language, or framework. Use whatever you're strongest in, try things you haven't tried before, change direction if something isn't working, and be ready to explain your choices in the review session. We're as interested in how you explored the problem as in what you shipped.</w:t>
      </w:r>
    </w:p>
    <w:p>
      <w:pPr>
        <w:spacing w:after="140"/>
      </w:pPr>
      <w:r>
        <w:rPr>
          <w:b/>
          <w:bCs/>
        </w:rPr>
        <w:t xml:space="preserve">The one hard requirement: the AI layer must be built as an agentic AI workflow — not a single prompt-and-response call. See Section 4.3 for exactly what that means.</w:t>
      </w:r>
    </w:p>
    <w:p>
      <w:pPr>
        <w:pStyle w:val="Heading1"/>
        <w:spacing w:after="160" w:before="320"/>
      </w:pPr>
      <w:r>
        <w:t xml:space="preserve">2. The Scenario</w:t>
      </w:r>
    </w:p>
    <w:p>
      <w:pPr>
        <w:spacing w:after="140"/>
      </w:pPr>
      <w:r>
        <w:t xml:space="preserve">Beacon Capital Stewardship is a fictional CIO office that oversees two pools of institutional capital:</w:t>
      </w:r>
    </w:p>
    <w:p>
      <w:pPr>
        <w:pStyle w:val="ListParagraph"/>
        <w:numPr>
          <w:ilvl w:val="0"/>
          <w:numId w:val="2"/>
        </w:numPr>
        <w:spacing w:after="80"/>
      </w:pPr>
      <w:r>
        <w:t xml:space="preserve">Beacon Pension Trust (BPT) — a defined benefit pension plan, ~$9.8B at the start of the fiscal year.</w:t>
      </w:r>
    </w:p>
    <w:p>
      <w:pPr>
        <w:pStyle w:val="ListParagraph"/>
        <w:numPr>
          <w:ilvl w:val="0"/>
          <w:numId w:val="2"/>
        </w:numPr>
        <w:spacing w:after="80"/>
      </w:pPr>
      <w:r>
        <w:t xml:space="preserve">Beacon Legacy Endowment (BLE) — a pooled endowment fund, ~$4.6B at the start of the fiscal year.</w:t>
      </w:r>
    </w:p>
    <w:p>
      <w:pPr>
        <w:spacing w:after="140"/>
      </w:pPr>
      <w:r>
        <w:t xml:space="preserve">Each fund invests across a common menu of nine asset classes (Public Equity; Fixed Income – Core and Growth/High Yield; and five Private Markets sub-classes: Private Equity, Private Credit, Real Assets, Real Estate, and Absolute Return; plus Cash), each benchmarked against a named index, and implemented through a shared roster of underlying managers. The two funds hold different policy target weights and different dollar amounts, reflecting a pension's liability-matching posture versus an endowment's higher risk tolerance.</w:t>
      </w:r>
    </w:p>
    <w:p>
      <w:pPr>
        <w:spacing w:after="140"/>
      </w:pPr>
      <w:r>
        <w:t xml:space="preserve">You have one full fiscal year of data: FY2026, July 1, 2025 – June 30, 2026, split into four fiscal quarters.</w:t>
      </w:r>
    </w:p>
    <w:p>
      <w:pPr>
        <w:pStyle w:val="Heading1"/>
        <w:spacing w:after="160" w:before="320"/>
      </w:pPr>
      <w:r>
        <w:t xml:space="preserve">3. The Data You're Given</w:t>
      </w:r>
    </w:p>
    <w:p>
      <w:pPr>
        <w:spacing w:after="140"/>
      </w:pPr>
      <w:r>
        <w:t xml:space="preserve">Four Excel workbooks, one per fiscal quarter, named by quarter-end date in a “FYTD” (fiscal-year-to-date)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1F3864" w:val="clear"/>
            <w:tcMar>
              <w:top w:type="dxa" w:w="100"/>
              <w:left w:type="dxa" w:w="120"/>
              <w:bottom w:type="dxa" w:w="100"/>
              <w:right w:type="dxa" w:w="120"/>
            </w:tcMar>
          </w:tcPr>
          <w:p>
            <w:r>
              <w:rPr>
                <w:b/>
                <w:bCs/>
                <w:color w:val="FFFFFF"/>
                <w:sz w:val="20"/>
                <w:szCs w:val="20"/>
              </w:rPr>
              <w:t xml:space="preserve">File</w:t>
            </w:r>
          </w:p>
        </w:tc>
        <w:tc>
          <w:tcPr>
            <w:tcW w:type="dxa" w:w="2600"/>
            <w:shd w:fill="1F3864" w:val="clear"/>
            <w:tcMar>
              <w:top w:type="dxa" w:w="100"/>
              <w:left w:type="dxa" w:w="120"/>
              <w:bottom w:type="dxa" w:w="100"/>
              <w:right w:type="dxa" w:w="120"/>
            </w:tcMar>
          </w:tcPr>
          <w:p>
            <w:r>
              <w:rPr>
                <w:b/>
                <w:bCs/>
                <w:color w:val="FFFFFF"/>
                <w:sz w:val="20"/>
                <w:szCs w:val="20"/>
              </w:rPr>
              <w:t xml:space="preserve">Covers</w:t>
            </w:r>
          </w:p>
        </w:tc>
        <w:tc>
          <w:tcPr>
            <w:tcW w:type="dxa" w:w="4560"/>
            <w:shd w:fill="1F3864" w:val="clear"/>
            <w:tcMar>
              <w:top w:type="dxa" w:w="100"/>
              <w:left w:type="dxa" w:w="120"/>
              <w:bottom w:type="dxa" w:w="100"/>
              <w:right w:type="dxa" w:w="120"/>
            </w:tcMar>
          </w:tcPr>
          <w:p>
            <w:r>
              <w:rPr>
                <w:b/>
                <w:bCs/>
                <w:color w:val="FFFFFF"/>
                <w:sz w:val="20"/>
                <w:szCs w:val="20"/>
              </w:rPr>
              <w:t xml:space="preserve">Notes</w:t>
            </w:r>
          </w:p>
        </w:tc>
      </w:tr>
      <w:tr>
        <w:tc>
          <w:tcPr>
            <w:tcW w:type="dxa" w:w="2200"/>
            <w:tcMar>
              <w:top w:type="dxa" w:w="100"/>
              <w:left w:type="dxa" w:w="120"/>
              <w:bottom w:type="dxa" w:w="100"/>
              <w:right w:type="dxa" w:w="120"/>
            </w:tcMar>
          </w:tcPr>
          <w:p>
            <w:r>
              <w:rPr>
                <w:b w:val="false"/>
                <w:bCs w:val="false"/>
                <w:sz w:val="20"/>
                <w:szCs w:val="20"/>
              </w:rPr>
              <w:t xml:space="preserve">20250930_FYTD.xlsx</w:t>
            </w:r>
          </w:p>
        </w:tc>
        <w:tc>
          <w:tcPr>
            <w:tcW w:type="dxa" w:w="2600"/>
            <w:tcMar>
              <w:top w:type="dxa" w:w="100"/>
              <w:left w:type="dxa" w:w="120"/>
              <w:bottom w:type="dxa" w:w="100"/>
              <w:right w:type="dxa" w:w="120"/>
            </w:tcMar>
          </w:tcPr>
          <w:p>
            <w:r>
              <w:rPr>
                <w:b w:val="false"/>
                <w:bCs w:val="false"/>
                <w:sz w:val="20"/>
                <w:szCs w:val="20"/>
              </w:rPr>
              <w:t xml:space="preserve">FY2026 Q1 only</w:t>
            </w:r>
          </w:p>
        </w:tc>
        <w:tc>
          <w:tcPr>
            <w:tcW w:type="dxa" w:w="4560"/>
            <w:tcMar>
              <w:top w:type="dxa" w:w="100"/>
              <w:left w:type="dxa" w:w="120"/>
              <w:bottom w:type="dxa" w:w="100"/>
              <w:right w:type="dxa" w:w="120"/>
            </w:tcMar>
          </w:tcPr>
          <w:p>
            <w:r>
              <w:rPr>
                <w:b w:val="false"/>
                <w:bCs w:val="false"/>
                <w:sz w:val="20"/>
                <w:szCs w:val="20"/>
              </w:rPr>
              <w:t xml:space="preserve">Jul–Sep 2025</w:t>
            </w:r>
          </w:p>
        </w:tc>
      </w:tr>
      <w:tr>
        <w:tc>
          <w:tcPr>
            <w:tcW w:type="dxa" w:w="2200"/>
            <w:tcMar>
              <w:top w:type="dxa" w:w="100"/>
              <w:left w:type="dxa" w:w="120"/>
              <w:bottom w:type="dxa" w:w="100"/>
              <w:right w:type="dxa" w:w="120"/>
            </w:tcMar>
          </w:tcPr>
          <w:p>
            <w:r>
              <w:rPr>
                <w:b w:val="false"/>
                <w:bCs w:val="false"/>
                <w:sz w:val="20"/>
                <w:szCs w:val="20"/>
              </w:rPr>
              <w:t xml:space="preserve">20251231_FYTD.xlsx</w:t>
            </w:r>
          </w:p>
        </w:tc>
        <w:tc>
          <w:tcPr>
            <w:tcW w:type="dxa" w:w="2600"/>
            <w:tcMar>
              <w:top w:type="dxa" w:w="100"/>
              <w:left w:type="dxa" w:w="120"/>
              <w:bottom w:type="dxa" w:w="100"/>
              <w:right w:type="dxa" w:w="120"/>
            </w:tcMar>
          </w:tcPr>
          <w:p>
            <w:r>
              <w:rPr>
                <w:b w:val="false"/>
                <w:bCs w:val="false"/>
                <w:sz w:val="20"/>
                <w:szCs w:val="20"/>
              </w:rPr>
              <w:t xml:space="preserve">FY2026 Q1–Q2</w:t>
            </w:r>
          </w:p>
        </w:tc>
        <w:tc>
          <w:tcPr>
            <w:tcW w:type="dxa" w:w="4560"/>
            <w:tcMar>
              <w:top w:type="dxa" w:w="100"/>
              <w:left w:type="dxa" w:w="120"/>
              <w:bottom w:type="dxa" w:w="100"/>
              <w:right w:type="dxa" w:w="120"/>
            </w:tcMar>
          </w:tcPr>
          <w:p>
            <w:r>
              <w:rPr>
                <w:b w:val="false"/>
                <w:bCs w:val="false"/>
                <w:sz w:val="20"/>
                <w:szCs w:val="20"/>
              </w:rPr>
              <w:t xml:space="preserve">Oct–Dec 2025 added, cumulative</w:t>
            </w:r>
          </w:p>
        </w:tc>
      </w:tr>
      <w:tr>
        <w:tc>
          <w:tcPr>
            <w:tcW w:type="dxa" w:w="2200"/>
            <w:tcMar>
              <w:top w:type="dxa" w:w="100"/>
              <w:left w:type="dxa" w:w="120"/>
              <w:bottom w:type="dxa" w:w="100"/>
              <w:right w:type="dxa" w:w="120"/>
            </w:tcMar>
          </w:tcPr>
          <w:p>
            <w:r>
              <w:rPr>
                <w:b w:val="false"/>
                <w:bCs w:val="false"/>
                <w:sz w:val="20"/>
                <w:szCs w:val="20"/>
              </w:rPr>
              <w:t xml:space="preserve">20260331_FYTD.xlsx</w:t>
            </w:r>
          </w:p>
        </w:tc>
        <w:tc>
          <w:tcPr>
            <w:tcW w:type="dxa" w:w="2600"/>
            <w:tcMar>
              <w:top w:type="dxa" w:w="100"/>
              <w:left w:type="dxa" w:w="120"/>
              <w:bottom w:type="dxa" w:w="100"/>
              <w:right w:type="dxa" w:w="120"/>
            </w:tcMar>
          </w:tcPr>
          <w:p>
            <w:r>
              <w:rPr>
                <w:b w:val="false"/>
                <w:bCs w:val="false"/>
                <w:sz w:val="20"/>
                <w:szCs w:val="20"/>
              </w:rPr>
              <w:t xml:space="preserve">FY2026 Q1–Q3</w:t>
            </w:r>
          </w:p>
        </w:tc>
        <w:tc>
          <w:tcPr>
            <w:tcW w:type="dxa" w:w="4560"/>
            <w:tcMar>
              <w:top w:type="dxa" w:w="100"/>
              <w:left w:type="dxa" w:w="120"/>
              <w:bottom w:type="dxa" w:w="100"/>
              <w:right w:type="dxa" w:w="120"/>
            </w:tcMar>
          </w:tcPr>
          <w:p>
            <w:r>
              <w:rPr>
                <w:b w:val="false"/>
                <w:bCs w:val="false"/>
                <w:sz w:val="20"/>
                <w:szCs w:val="20"/>
              </w:rPr>
              <w:t xml:space="preserve">Jan–Mar 2026 added, cumulative</w:t>
            </w:r>
          </w:p>
        </w:tc>
      </w:tr>
      <w:tr>
        <w:tc>
          <w:tcPr>
            <w:tcW w:type="dxa" w:w="2200"/>
            <w:tcMar>
              <w:top w:type="dxa" w:w="100"/>
              <w:left w:type="dxa" w:w="120"/>
              <w:bottom w:type="dxa" w:w="100"/>
              <w:right w:type="dxa" w:w="120"/>
            </w:tcMar>
          </w:tcPr>
          <w:p>
            <w:r>
              <w:rPr>
                <w:b w:val="false"/>
                <w:bCs w:val="false"/>
                <w:sz w:val="20"/>
                <w:szCs w:val="20"/>
              </w:rPr>
              <w:t xml:space="preserve">20260630_FYTD.xlsx</w:t>
            </w:r>
          </w:p>
        </w:tc>
        <w:tc>
          <w:tcPr>
            <w:tcW w:type="dxa" w:w="2600"/>
            <w:tcMar>
              <w:top w:type="dxa" w:w="100"/>
              <w:left w:type="dxa" w:w="120"/>
              <w:bottom w:type="dxa" w:w="100"/>
              <w:right w:type="dxa" w:w="120"/>
            </w:tcMar>
          </w:tcPr>
          <w:p>
            <w:r>
              <w:rPr>
                <w:b w:val="false"/>
                <w:bCs w:val="false"/>
                <w:sz w:val="20"/>
                <w:szCs w:val="20"/>
              </w:rPr>
              <w:t xml:space="preserve">FY2026 Q1–Q4</w:t>
            </w:r>
          </w:p>
        </w:tc>
        <w:tc>
          <w:tcPr>
            <w:tcW w:type="dxa" w:w="4560"/>
            <w:tcMar>
              <w:top w:type="dxa" w:w="100"/>
              <w:left w:type="dxa" w:w="120"/>
              <w:bottom w:type="dxa" w:w="100"/>
              <w:right w:type="dxa" w:w="120"/>
            </w:tcMar>
          </w:tcPr>
          <w:p>
            <w:r>
              <w:rPr>
                <w:b w:val="false"/>
                <w:bCs w:val="false"/>
                <w:sz w:val="20"/>
                <w:szCs w:val="20"/>
              </w:rPr>
              <w:t xml:space="preserve">Apr–Jun 2026 added — full fiscal year</w:t>
            </w:r>
          </w:p>
        </w:tc>
      </w:tr>
    </w:tbl>
    <w:p>
      <w:pPr>
        <w:spacing w:after="160"/>
      </w:pPr>
    </w:p>
    <w:p>
      <w:pPr>
        <w:spacing w:after="140"/>
      </w:pPr>
      <w:r>
        <w:t xml:space="preserve">Each workbook contains: ReadMe, Fund_Summary, Asset_Allocation, Manager_Detail, Cash_Flow_Detail, Benchmarks_Reference, and RAW_Export_Extract. The last sheet is a deliberately messy, source-system-style export (metadata header block, cryptic column IDs, blank spacer rows) covering a slice of the same data — a realistic stand-in for how data actually lands from performance/reporting platforms. Parsing it isn't required, but noticing it and doing something sensible with it is a good signal.</w:t>
      </w:r>
    </w:p>
    <w:p>
      <w:pPr>
        <w:spacing w:after="140"/>
      </w:pPr>
      <w:r>
        <w:t xml:space="preserve">Full field definitions, units, and reconciliation logic (how ending market value ties to beginning value, cash flows, and gain/loss) are documented in the ReadMe tab of every file — start there. All figures were generated from a single consistent model, so the four asset classes, managers, cash flows, and returns reconcile exactly across every sheet and every quarter.</w:t>
      </w:r>
    </w:p>
    <w:p>
      <w:pPr>
        <w:spacing w:after="140"/>
      </w:pPr>
      <w:r>
        <w:rPr>
          <w:i/>
          <w:iCs/>
          <w:color w:val="595959"/>
        </w:rPr>
        <w:t xml:space="preserve">Everything — the company, the funds, the managers, the numbers — is synthetic. It does not describe any real institution.</w:t>
      </w:r>
    </w:p>
    <w:p>
      <w:pPr>
        <w:pStyle w:val="Heading1"/>
        <w:spacing w:after="160" w:before="320"/>
      </w:pPr>
      <w:r>
        <w:t xml:space="preserve">4. What We Want You to Build</w:t>
      </w:r>
    </w:p>
    <w:p>
      <w:pPr>
        <w:spacing w:after="140"/>
      </w:pPr>
      <w:r>
        <w:t xml:space="preserve">Three layers, on top of the same underlying data. How you architect them — as one integrated app, three separate tools, a pile of notebooks, whatever — is your call.</w:t>
      </w:r>
    </w:p>
    <w:p>
      <w:pPr>
        <w:pStyle w:val="Heading2"/>
        <w:spacing w:after="120" w:before="240"/>
      </w:pPr>
      <w:r>
        <w:t xml:space="preserve">4.1 Reporting Layer</w:t>
      </w:r>
    </w:p>
    <w:p>
      <w:pPr>
        <w:spacing w:after="140"/>
      </w:pPr>
      <w:r>
        <w:t xml:space="preserve">Turn the raw quarterly files into a standard, trustworthy view of the year: fund-level performance and AUM roll-forward, asset allocation versus policy target (and how far it's drifted, since neither fund rebalances intra-year in this dataset), and manager-level detail, across all four quarters. Static report, live dashboard, generated PDF/deck — your choice, but it should be something a CIO could actually read.</w:t>
      </w:r>
    </w:p>
    <w:p>
      <w:pPr>
        <w:pStyle w:val="Heading2"/>
        <w:spacing w:after="120" w:before="240"/>
      </w:pPr>
      <w:r>
        <w:t xml:space="preserve">4.2 Research Layer</w:t>
      </w:r>
    </w:p>
    <w:p>
      <w:pPr>
        <w:spacing w:after="140"/>
      </w:pPr>
      <w:r>
        <w:t xml:space="preserve">Go past the standard report and dig into what actually happened this year and why. Some threads worth pulling, if you want them (not a checklist — pick what's interesting):</w:t>
      </w:r>
    </w:p>
    <w:p>
      <w:pPr>
        <w:pStyle w:val="ListParagraph"/>
        <w:numPr>
          <w:ilvl w:val="0"/>
          <w:numId w:val="2"/>
        </w:numPr>
        <w:spacing w:after="80"/>
      </w:pPr>
      <w:r>
        <w:t xml:space="preserve">What drove each fund's excess return over its policy benchmark — asset allocation effects vs. manager selection effects?</w:t>
      </w:r>
    </w:p>
    <w:p>
      <w:pPr>
        <w:pStyle w:val="ListParagraph"/>
        <w:numPr>
          <w:ilvl w:val="0"/>
          <w:numId w:val="2"/>
        </w:numPr>
        <w:spacing w:after="80"/>
      </w:pPr>
      <w:r>
        <w:t xml:space="preserve">Which managers added or destroyed value, and how consistently across the year?</w:t>
      </w:r>
    </w:p>
    <w:p>
      <w:pPr>
        <w:pStyle w:val="ListParagraph"/>
        <w:numPr>
          <w:ilvl w:val="0"/>
          <w:numId w:val="2"/>
        </w:numPr>
        <w:spacing w:after="80"/>
      </w:pPr>
      <w:r>
        <w:t xml:space="preserve">How has actual allocation drifted from policy target, and does it matter?</w:t>
      </w:r>
    </w:p>
    <w:p>
      <w:pPr>
        <w:pStyle w:val="ListParagraph"/>
        <w:numPr>
          <w:ilvl w:val="0"/>
          <w:numId w:val="2"/>
        </w:numPr>
        <w:spacing w:after="80"/>
      </w:pPr>
      <w:r>
        <w:t xml:space="preserve">What does the cash flow pattern (contributions/gifts vs. benefit payments/distributions vs. fees) imply for each fund's liquidity or spending posture?</w:t>
      </w:r>
    </w:p>
    <w:p>
      <w:pPr>
        <w:pStyle w:val="ListParagraph"/>
        <w:numPr>
          <w:ilvl w:val="0"/>
          <w:numId w:val="2"/>
        </w:numPr>
        <w:spacing w:after="80"/>
      </w:pPr>
      <w:r>
        <w:t xml:space="preserve">Anything in the data that looks like it deserves a flag, a follow-up question, or a chart nobody asked for.</w:t>
      </w:r>
    </w:p>
    <w:p>
      <w:pPr>
        <w:pStyle w:val="Heading2"/>
        <w:spacing w:after="120" w:before="240"/>
      </w:pPr>
      <w:r>
        <w:t xml:space="preserve">4.3 AI Layer — Natural Language Query (agentic, required)</w:t>
      </w:r>
    </w:p>
    <w:p>
      <w:pPr>
        <w:spacing w:after="140"/>
      </w:pPr>
      <w:r>
        <w:t xml:space="preserve">Build an interface where someone can ask a question about this data in plain English and get a correct, grounded answer back — e.g. “What was BLE's Private Equity allocation versus its policy target in Q3?” or “Which manager underperformed its benchmark by the widest margin in Q4, and by how much?”</w:t>
      </w:r>
    </w:p>
    <w:p>
      <w:pPr>
        <w:spacing w:after="140"/>
      </w:pPr>
      <w:r>
        <w:rPr>
          <w:b/>
          <w:bCs/>
        </w:rPr>
        <w:t xml:space="preserve">This must be an agentic AI workflow, not a single LLM call wrapped around a static prompt. At minimum, the system should:</w:t>
      </w:r>
    </w:p>
    <w:p>
      <w:pPr>
        <w:pStyle w:val="ListParagraph"/>
        <w:numPr>
          <w:ilvl w:val="0"/>
          <w:numId w:val="2"/>
        </w:numPr>
        <w:spacing w:after="80"/>
      </w:pPr>
      <w:r>
        <w:t xml:space="preserve">Take an autonomous action to answer the question — e.g. deciding which tool/query/function to call, executing it against the real data, and inspecting the result — rather than answering purely from context stuffed into one prompt.</w:t>
      </w:r>
    </w:p>
    <w:p>
      <w:pPr>
        <w:pStyle w:val="ListParagraph"/>
        <w:numPr>
          <w:ilvl w:val="0"/>
          <w:numId w:val="2"/>
        </w:numPr>
        <w:spacing w:after="80"/>
      </w:pPr>
      <w:r>
        <w:t xml:space="preserve">Be able to take more than one step when the question needs it (e.g. look something up, then compute something from what it found, then answer), rather than being limited to exactly one shot.</w:t>
      </w:r>
    </w:p>
    <w:p>
      <w:pPr>
        <w:pStyle w:val="ListParagraph"/>
        <w:numPr>
          <w:ilvl w:val="0"/>
          <w:numId w:val="2"/>
        </w:numPr>
        <w:spacing w:after="80"/>
      </w:pPr>
      <w:r>
        <w:t xml:space="preserve">Ground its answer in the actual numbers — you should be able to trace any answer back to a specific row/cell in the source files, not just trust the model's word for it.</w:t>
      </w:r>
    </w:p>
    <w:p>
      <w:pPr>
        <w:pStyle w:val="ListParagraph"/>
        <w:numPr>
          <w:ilvl w:val="0"/>
          <w:numId w:val="2"/>
        </w:numPr>
        <w:spacing w:after="80"/>
      </w:pPr>
      <w:r>
        <w:t xml:space="preserve">Do something sane when a question is ambiguous, out of scope, or unanswerable from the data, rather than confidently making something up.</w:t>
      </w:r>
    </w:p>
    <w:p>
      <w:pPr>
        <w:spacing w:after="140"/>
      </w:pPr>
      <w:r>
        <w:t xml:space="preserve">Framework, model, and architecture are entirely up to you — a tool-calling loop you wrote yourself, LangChain/LangGraph, CrewAI, the Claude Agent SDK, a SQL-writing agent over a database you built, a multi-agent setup, anything. We want to see how you reason about agent design, not whether you picked the “right” library.</w:t>
      </w:r>
    </w:p>
    <w:p>
      <w:pPr>
        <w:pStyle w:val="Heading2"/>
        <w:spacing w:after="120" w:before="240"/>
      </w:pPr>
      <w:r>
        <w:t xml:space="preserve">4.4 Write-up</w:t>
      </w:r>
    </w:p>
    <w:p>
      <w:pPr>
        <w:spacing w:after="140"/>
      </w:pPr>
      <w:r>
        <w:t xml:space="preserve">A short README covering: your architecture and why you chose it, which parts you're proud of, what you'd do differently with more time, and any known limitations or shortcuts. This is where “express yourself” matters most — tell us what you actually explored, including dead ends.</w:t>
      </w:r>
    </w:p>
    <w:p>
      <w:pPr>
        <w:pStyle w:val="Heading1"/>
        <w:spacing w:after="160" w:before="320"/>
      </w:pPr>
      <w:r>
        <w:t xml:space="preserve">5.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3864" w:val="clear"/>
            <w:tcMar>
              <w:top w:type="dxa" w:w="100"/>
              <w:left w:type="dxa" w:w="120"/>
              <w:bottom w:type="dxa" w:w="100"/>
              <w:right w:type="dxa" w:w="120"/>
            </w:tcMar>
          </w:tcPr>
          <w:p>
            <w:r>
              <w:rPr>
                <w:b/>
                <w:bCs/>
                <w:color w:val="FFFFFF"/>
                <w:sz w:val="20"/>
                <w:szCs w:val="20"/>
              </w:rPr>
              <w:t xml:space="preserve">Deliverable</w:t>
            </w:r>
          </w:p>
        </w:tc>
        <w:tc>
          <w:tcPr>
            <w:tcW w:type="dxa" w:w="6960"/>
            <w:shd w:fill="1F3864" w:val="clear"/>
            <w:tcMar>
              <w:top w:type="dxa" w:w="100"/>
              <w:left w:type="dxa" w:w="120"/>
              <w:bottom w:type="dxa" w:w="100"/>
              <w:right w:type="dxa" w:w="120"/>
            </w:tcMar>
          </w:tcPr>
          <w:p>
            <w:r>
              <w:rPr>
                <w:b/>
                <w:bCs/>
                <w:color w:val="FFFFFF"/>
                <w:sz w:val="20"/>
                <w:szCs w:val="20"/>
              </w:rPr>
              <w:t xml:space="preserve">Details</w:t>
            </w:r>
          </w:p>
        </w:tc>
      </w:tr>
      <w:tr>
        <w:tc>
          <w:tcPr>
            <w:tcW w:type="dxa" w:w="2400"/>
            <w:shd w:fill="EDEDF2" w:val="clear"/>
            <w:tcMar>
              <w:top w:type="dxa" w:w="100"/>
              <w:left w:type="dxa" w:w="120"/>
              <w:bottom w:type="dxa" w:w="100"/>
              <w:right w:type="dxa" w:w="120"/>
            </w:tcMar>
          </w:tcPr>
          <w:p>
            <w:r>
              <w:rPr>
                <w:b w:val="false"/>
                <w:bCs w:val="false"/>
                <w:sz w:val="20"/>
                <w:szCs w:val="20"/>
              </w:rPr>
              <w:t xml:space="preserve">Working solution</w:t>
            </w:r>
          </w:p>
        </w:tc>
        <w:tc>
          <w:tcPr>
            <w:tcW w:type="dxa" w:w="6960"/>
            <w:tcMar>
              <w:top w:type="dxa" w:w="100"/>
              <w:left w:type="dxa" w:w="120"/>
              <w:bottom w:type="dxa" w:w="100"/>
              <w:right w:type="dxa" w:w="120"/>
            </w:tcMar>
          </w:tcPr>
          <w:p>
            <w:r>
              <w:rPr>
                <w:b w:val="false"/>
                <w:bCs w:val="false"/>
                <w:sz w:val="20"/>
                <w:szCs w:val="20"/>
              </w:rPr>
              <w:t xml:space="preserve">Code/notebooks/config for all three layers, in a state you can run or demo live.</w:t>
            </w:r>
          </w:p>
        </w:tc>
      </w:tr>
      <w:tr>
        <w:tc>
          <w:tcPr>
            <w:tcW w:type="dxa" w:w="2400"/>
            <w:shd w:fill="EDEDF2" w:val="clear"/>
            <w:tcMar>
              <w:top w:type="dxa" w:w="100"/>
              <w:left w:type="dxa" w:w="120"/>
              <w:bottom w:type="dxa" w:w="100"/>
              <w:right w:type="dxa" w:w="120"/>
            </w:tcMar>
          </w:tcPr>
          <w:p>
            <w:r>
              <w:rPr>
                <w:b w:val="false"/>
                <w:bCs w:val="false"/>
                <w:sz w:val="20"/>
                <w:szCs w:val="20"/>
              </w:rPr>
              <w:t xml:space="preserve">Reporting output</w:t>
            </w:r>
          </w:p>
        </w:tc>
        <w:tc>
          <w:tcPr>
            <w:tcW w:type="dxa" w:w="6960"/>
            <w:tcMar>
              <w:top w:type="dxa" w:w="100"/>
              <w:left w:type="dxa" w:w="120"/>
              <w:bottom w:type="dxa" w:w="100"/>
              <w:right w:type="dxa" w:w="120"/>
            </w:tcMar>
          </w:tcPr>
          <w:p>
            <w:r>
              <w:rPr>
                <w:b w:val="false"/>
                <w:bCs w:val="false"/>
                <w:sz w:val="20"/>
                <w:szCs w:val="20"/>
              </w:rPr>
              <w:t xml:space="preserve">The actual report/dashboard artifact covering the full FY2026 year, both funds.</w:t>
            </w:r>
          </w:p>
        </w:tc>
      </w:tr>
      <w:tr>
        <w:tc>
          <w:tcPr>
            <w:tcW w:type="dxa" w:w="2400"/>
            <w:shd w:fill="EDEDF2" w:val="clear"/>
            <w:tcMar>
              <w:top w:type="dxa" w:w="100"/>
              <w:left w:type="dxa" w:w="120"/>
              <w:bottom w:type="dxa" w:w="100"/>
              <w:right w:type="dxa" w:w="120"/>
            </w:tcMar>
          </w:tcPr>
          <w:p>
            <w:r>
              <w:rPr>
                <w:b w:val="false"/>
                <w:bCs w:val="false"/>
                <w:sz w:val="20"/>
                <w:szCs w:val="20"/>
              </w:rPr>
              <w:t xml:space="preserve">Research output</w:t>
            </w:r>
          </w:p>
        </w:tc>
        <w:tc>
          <w:tcPr>
            <w:tcW w:type="dxa" w:w="6960"/>
            <w:tcMar>
              <w:top w:type="dxa" w:w="100"/>
              <w:left w:type="dxa" w:w="120"/>
              <w:bottom w:type="dxa" w:w="100"/>
              <w:right w:type="dxa" w:w="120"/>
            </w:tcMar>
          </w:tcPr>
          <w:p>
            <w:r>
              <w:rPr>
                <w:b w:val="false"/>
                <w:bCs w:val="false"/>
                <w:sz w:val="20"/>
                <w:szCs w:val="20"/>
              </w:rPr>
              <w:t xml:space="preserve">Your analysis/insights — memo, notebook, slides, whatever form suits the content.</w:t>
            </w:r>
          </w:p>
        </w:tc>
      </w:tr>
      <w:tr>
        <w:tc>
          <w:tcPr>
            <w:tcW w:type="dxa" w:w="2400"/>
            <w:shd w:fill="EDEDF2" w:val="clear"/>
            <w:tcMar>
              <w:top w:type="dxa" w:w="100"/>
              <w:left w:type="dxa" w:w="120"/>
              <w:bottom w:type="dxa" w:w="100"/>
              <w:right w:type="dxa" w:w="120"/>
            </w:tcMar>
          </w:tcPr>
          <w:p>
            <w:r>
              <w:rPr>
                <w:b w:val="false"/>
                <w:bCs w:val="false"/>
                <w:sz w:val="20"/>
                <w:szCs w:val="20"/>
              </w:rPr>
              <w:t xml:space="preserve">NLQ / AI layer</w:t>
            </w:r>
          </w:p>
        </w:tc>
        <w:tc>
          <w:tcPr>
            <w:tcW w:type="dxa" w:w="6960"/>
            <w:tcMar>
              <w:top w:type="dxa" w:w="100"/>
              <w:left w:type="dxa" w:w="120"/>
              <w:bottom w:type="dxa" w:w="100"/>
              <w:right w:type="dxa" w:w="120"/>
            </w:tcMar>
          </w:tcPr>
          <w:p>
            <w:r>
              <w:rPr>
                <w:b w:val="false"/>
                <w:bCs w:val="false"/>
                <w:sz w:val="20"/>
                <w:szCs w:val="20"/>
              </w:rPr>
              <w:t xml:space="preserve">A working, demoable interface (CLI, chat UI, API, notebook) built as an agentic workflow per 4.3.</w:t>
            </w:r>
          </w:p>
        </w:tc>
      </w:tr>
      <w:tr>
        <w:tc>
          <w:tcPr>
            <w:tcW w:type="dxa" w:w="2400"/>
            <w:shd w:fill="EDEDF2" w:val="clear"/>
            <w:tcMar>
              <w:top w:type="dxa" w:w="100"/>
              <w:left w:type="dxa" w:w="120"/>
              <w:bottom w:type="dxa" w:w="100"/>
              <w:right w:type="dxa" w:w="120"/>
            </w:tcMar>
          </w:tcPr>
          <w:p>
            <w:r>
              <w:rPr>
                <w:b w:val="false"/>
                <w:bCs w:val="false"/>
                <w:sz w:val="20"/>
                <w:szCs w:val="20"/>
              </w:rPr>
              <w:t xml:space="preserve">Write-up</w:t>
            </w:r>
          </w:p>
        </w:tc>
        <w:tc>
          <w:tcPr>
            <w:tcW w:type="dxa" w:w="6960"/>
            <w:tcMar>
              <w:top w:type="dxa" w:w="100"/>
              <w:left w:type="dxa" w:w="120"/>
              <w:bottom w:type="dxa" w:w="100"/>
              <w:right w:type="dxa" w:w="120"/>
            </w:tcMar>
          </w:tcPr>
          <w:p>
            <w:r>
              <w:rPr>
                <w:b w:val="false"/>
                <w:bCs w:val="false"/>
                <w:sz w:val="20"/>
                <w:szCs w:val="20"/>
              </w:rPr>
              <w:t xml:space="preserve">Short README per Section 4.4.</w:t>
            </w:r>
          </w:p>
        </w:tc>
      </w:tr>
    </w:tbl>
    <w:p>
      <w:pPr>
        <w:pStyle w:val="Heading1"/>
        <w:spacing w:after="160" w:before="320"/>
      </w:pPr>
      <w:r>
        <w:t xml:space="preserve">6. What We're Looking For</w:t>
      </w:r>
    </w:p>
    <w:p>
      <w:pPr>
        <w:spacing w:after="140"/>
      </w:pPr>
      <w:r>
        <w:t xml:space="preserve">This is a qualitative review, not an auto-graded test. Rough dimensions we'll use to compare notes after seeing both of you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val="clear"/>
            <w:tcMar>
              <w:top w:type="dxa" w:w="100"/>
              <w:left w:type="dxa" w:w="120"/>
              <w:bottom w:type="dxa" w:w="100"/>
              <w:right w:type="dxa" w:w="120"/>
            </w:tcMar>
          </w:tcPr>
          <w:p>
            <w:r>
              <w:rPr>
                <w:b/>
                <w:bCs/>
                <w:color w:val="FFFFFF"/>
                <w:sz w:val="20"/>
                <w:szCs w:val="20"/>
              </w:rPr>
              <w:t xml:space="preserve">Dimension</w:t>
            </w:r>
          </w:p>
        </w:tc>
        <w:tc>
          <w:tcPr>
            <w:tcW w:type="dxa" w:w="6760"/>
            <w:shd w:fill="1F3864" w:val="clear"/>
            <w:tcMar>
              <w:top w:type="dxa" w:w="100"/>
              <w:left w:type="dxa" w:w="120"/>
              <w:bottom w:type="dxa" w:w="100"/>
              <w:right w:type="dxa" w:w="120"/>
            </w:tcMar>
          </w:tcPr>
          <w:p>
            <w:r>
              <w:rPr>
                <w:b/>
                <w:bCs/>
                <w:color w:val="FFFFFF"/>
                <w:sz w:val="20"/>
                <w:szCs w:val="20"/>
              </w:rPr>
              <w:t xml:space="preserve">What “good” looks like</w:t>
            </w:r>
          </w:p>
        </w:tc>
      </w:tr>
      <w:tr>
        <w:tc>
          <w:tcPr>
            <w:tcW w:type="dxa" w:w="2600"/>
            <w:shd w:fill="EDEDF2" w:val="clear"/>
            <w:tcMar>
              <w:top w:type="dxa" w:w="100"/>
              <w:left w:type="dxa" w:w="120"/>
              <w:bottom w:type="dxa" w:w="100"/>
              <w:right w:type="dxa" w:w="120"/>
            </w:tcMar>
          </w:tcPr>
          <w:p>
            <w:r>
              <w:rPr>
                <w:b w:val="false"/>
                <w:bCs w:val="false"/>
                <w:sz w:val="20"/>
                <w:szCs w:val="20"/>
              </w:rPr>
              <w:t xml:space="preserve">Data handling</w:t>
            </w:r>
          </w:p>
        </w:tc>
        <w:tc>
          <w:tcPr>
            <w:tcW w:type="dxa" w:w="6760"/>
            <w:tcMar>
              <w:top w:type="dxa" w:w="100"/>
              <w:left w:type="dxa" w:w="120"/>
              <w:bottom w:type="dxa" w:w="100"/>
              <w:right w:type="dxa" w:w="120"/>
            </w:tcMar>
          </w:tcPr>
          <w:p>
            <w:r>
              <w:rPr>
                <w:b w:val="false"/>
                <w:bCs w:val="false"/>
                <w:sz w:val="20"/>
                <w:szCs w:val="20"/>
              </w:rPr>
              <w:t xml:space="preserve">Correctly reconciles the numbers (waterfalls, allocation %, manager roll-ups); handles the messy raw-export sheet sensibly if touched.</w:t>
            </w:r>
          </w:p>
        </w:tc>
      </w:tr>
      <w:tr>
        <w:tc>
          <w:tcPr>
            <w:tcW w:type="dxa" w:w="2600"/>
            <w:shd w:fill="EDEDF2" w:val="clear"/>
            <w:tcMar>
              <w:top w:type="dxa" w:w="100"/>
              <w:left w:type="dxa" w:w="120"/>
              <w:bottom w:type="dxa" w:w="100"/>
              <w:right w:type="dxa" w:w="120"/>
            </w:tcMar>
          </w:tcPr>
          <w:p>
            <w:r>
              <w:rPr>
                <w:b w:val="false"/>
                <w:bCs w:val="false"/>
                <w:sz w:val="20"/>
                <w:szCs w:val="20"/>
              </w:rPr>
              <w:t xml:space="preserve">Reporting quality</w:t>
            </w:r>
          </w:p>
        </w:tc>
        <w:tc>
          <w:tcPr>
            <w:tcW w:type="dxa" w:w="6760"/>
            <w:tcMar>
              <w:top w:type="dxa" w:w="100"/>
              <w:left w:type="dxa" w:w="120"/>
              <w:bottom w:type="dxa" w:w="100"/>
              <w:right w:type="dxa" w:w="120"/>
            </w:tcMar>
          </w:tcPr>
          <w:p>
            <w:r>
              <w:rPr>
                <w:b w:val="false"/>
                <w:bCs w:val="false"/>
                <w:sz w:val="20"/>
                <w:szCs w:val="20"/>
              </w:rPr>
              <w:t xml:space="preserve">Clear, accurate, and something a real CIO/board could actually use.</w:t>
            </w:r>
          </w:p>
        </w:tc>
      </w:tr>
      <w:tr>
        <w:tc>
          <w:tcPr>
            <w:tcW w:type="dxa" w:w="2600"/>
            <w:shd w:fill="EDEDF2" w:val="clear"/>
            <w:tcMar>
              <w:top w:type="dxa" w:w="100"/>
              <w:left w:type="dxa" w:w="120"/>
              <w:bottom w:type="dxa" w:w="100"/>
              <w:right w:type="dxa" w:w="120"/>
            </w:tcMar>
          </w:tcPr>
          <w:p>
            <w:r>
              <w:rPr>
                <w:b w:val="false"/>
                <w:bCs w:val="false"/>
                <w:sz w:val="20"/>
                <w:szCs w:val="20"/>
              </w:rPr>
              <w:t xml:space="preserve">Research depth</w:t>
            </w:r>
          </w:p>
        </w:tc>
        <w:tc>
          <w:tcPr>
            <w:tcW w:type="dxa" w:w="6760"/>
            <w:tcMar>
              <w:top w:type="dxa" w:w="100"/>
              <w:left w:type="dxa" w:w="120"/>
              <w:bottom w:type="dxa" w:w="100"/>
              <w:right w:type="dxa" w:w="120"/>
            </w:tcMar>
          </w:tcPr>
          <w:p>
            <w:r>
              <w:rPr>
                <w:b w:val="false"/>
                <w:bCs w:val="false"/>
                <w:sz w:val="20"/>
                <w:szCs w:val="20"/>
              </w:rPr>
              <w:t xml:space="preserve">Goes beyond the obvious; insights are correct and well-supported by the data.</w:t>
            </w:r>
          </w:p>
        </w:tc>
      </w:tr>
      <w:tr>
        <w:tc>
          <w:tcPr>
            <w:tcW w:type="dxa" w:w="2600"/>
            <w:shd w:fill="EDEDF2" w:val="clear"/>
            <w:tcMar>
              <w:top w:type="dxa" w:w="100"/>
              <w:left w:type="dxa" w:w="120"/>
              <w:bottom w:type="dxa" w:w="100"/>
              <w:right w:type="dxa" w:w="120"/>
            </w:tcMar>
          </w:tcPr>
          <w:p>
            <w:r>
              <w:rPr>
                <w:b w:val="false"/>
                <w:bCs w:val="false"/>
                <w:sz w:val="20"/>
                <w:szCs w:val="20"/>
              </w:rPr>
              <w:t xml:space="preserve">Agentic AI design</w:t>
            </w:r>
          </w:p>
        </w:tc>
        <w:tc>
          <w:tcPr>
            <w:tcW w:type="dxa" w:w="6760"/>
            <w:tcMar>
              <w:top w:type="dxa" w:w="100"/>
              <w:left w:type="dxa" w:w="120"/>
              <w:bottom w:type="dxa" w:w="100"/>
              <w:right w:type="dxa" w:w="120"/>
            </w:tcMar>
          </w:tcPr>
          <w:p>
            <w:r>
              <w:rPr>
                <w:b w:val="false"/>
                <w:bCs w:val="false"/>
                <w:sz w:val="20"/>
                <w:szCs w:val="20"/>
              </w:rPr>
              <w:t xml:space="preserve">Genuinely agentic (multi-step, tool-using, grounded), not a dressed-up single prompt; handles ambiguity and failure gracefully.</w:t>
            </w:r>
          </w:p>
        </w:tc>
      </w:tr>
      <w:tr>
        <w:tc>
          <w:tcPr>
            <w:tcW w:type="dxa" w:w="2600"/>
            <w:shd w:fill="EDEDF2" w:val="clear"/>
            <w:tcMar>
              <w:top w:type="dxa" w:w="100"/>
              <w:left w:type="dxa" w:w="120"/>
              <w:bottom w:type="dxa" w:w="100"/>
              <w:right w:type="dxa" w:w="120"/>
            </w:tcMar>
          </w:tcPr>
          <w:p>
            <w:r>
              <w:rPr>
                <w:b w:val="false"/>
                <w:bCs w:val="false"/>
                <w:sz w:val="20"/>
                <w:szCs w:val="20"/>
              </w:rPr>
              <w:t xml:space="preserve">Engineering craft</w:t>
            </w:r>
          </w:p>
        </w:tc>
        <w:tc>
          <w:tcPr>
            <w:tcW w:type="dxa" w:w="6760"/>
            <w:tcMar>
              <w:top w:type="dxa" w:w="100"/>
              <w:left w:type="dxa" w:w="120"/>
              <w:bottom w:type="dxa" w:w="100"/>
              <w:right w:type="dxa" w:w="120"/>
            </w:tcMar>
          </w:tcPr>
          <w:p>
            <w:r>
              <w:rPr>
                <w:b w:val="false"/>
                <w:bCs w:val="false"/>
                <w:sz w:val="20"/>
                <w:szCs w:val="20"/>
              </w:rPr>
              <w:t xml:space="preserve">Code is organized enough to run and explain; sensible use of AI coding tools is fine and expected — we want to see how you direct them.</w:t>
            </w:r>
          </w:p>
        </w:tc>
      </w:tr>
      <w:tr>
        <w:tc>
          <w:tcPr>
            <w:tcW w:type="dxa" w:w="2600"/>
            <w:shd w:fill="EDEDF2" w:val="clear"/>
            <w:tcMar>
              <w:top w:type="dxa" w:w="100"/>
              <w:left w:type="dxa" w:w="120"/>
              <w:bottom w:type="dxa" w:w="100"/>
              <w:right w:type="dxa" w:w="120"/>
            </w:tcMar>
          </w:tcPr>
          <w:p>
            <w:r>
              <w:rPr>
                <w:b w:val="false"/>
                <w:bCs w:val="false"/>
                <w:sz w:val="20"/>
                <w:szCs w:val="20"/>
              </w:rPr>
              <w:t xml:space="preserve">Exploration &amp; initiative</w:t>
            </w:r>
          </w:p>
        </w:tc>
        <w:tc>
          <w:tcPr>
            <w:tcW w:type="dxa" w:w="6760"/>
            <w:tcMar>
              <w:top w:type="dxa" w:w="100"/>
              <w:left w:type="dxa" w:w="120"/>
              <w:bottom w:type="dxa" w:w="100"/>
              <w:right w:type="dxa" w:w="120"/>
            </w:tcMar>
          </w:tcPr>
          <w:p>
            <w:r>
              <w:rPr>
                <w:b w:val="false"/>
                <w:bCs w:val="false"/>
                <w:sz w:val="20"/>
                <w:szCs w:val="20"/>
              </w:rPr>
              <w:t xml:space="preserve">Evidence you tried more than one approach, made a judgment call, or pursued something interesting beyond the minimum.</w:t>
            </w:r>
          </w:p>
        </w:tc>
      </w:tr>
      <w:tr>
        <w:tc>
          <w:tcPr>
            <w:tcW w:type="dxa" w:w="2600"/>
            <w:shd w:fill="EDEDF2" w:val="clear"/>
            <w:tcMar>
              <w:top w:type="dxa" w:w="100"/>
              <w:left w:type="dxa" w:w="120"/>
              <w:bottom w:type="dxa" w:w="100"/>
              <w:right w:type="dxa" w:w="120"/>
            </w:tcMar>
          </w:tcPr>
          <w:p>
            <w:r>
              <w:rPr>
                <w:b w:val="false"/>
                <w:bCs w:val="false"/>
                <w:sz w:val="20"/>
                <w:szCs w:val="20"/>
              </w:rPr>
              <w:t xml:space="preserve">Communication</w:t>
            </w:r>
          </w:p>
        </w:tc>
        <w:tc>
          <w:tcPr>
            <w:tcW w:type="dxa" w:w="6760"/>
            <w:tcMar>
              <w:top w:type="dxa" w:w="100"/>
              <w:left w:type="dxa" w:w="120"/>
              <w:bottom w:type="dxa" w:w="100"/>
              <w:right w:type="dxa" w:w="120"/>
            </w:tcMar>
          </w:tcPr>
          <w:p>
            <w:r>
              <w:rPr>
                <w:b w:val="false"/>
                <w:bCs w:val="false"/>
                <w:sz w:val="20"/>
                <w:szCs w:val="20"/>
              </w:rPr>
              <w:t xml:space="preserve">Can explain what they built and why, including trade-offs and things that didn't work.</w:t>
            </w:r>
          </w:p>
        </w:tc>
      </w:tr>
    </w:tbl>
    <w:p>
      <w:pPr>
        <w:pStyle w:val="Heading1"/>
        <w:spacing w:after="160" w:before="320"/>
      </w:pPr>
      <w:r>
        <w:t xml:space="preserve">7. Logistics</w:t>
      </w:r>
    </w:p>
    <w:p>
      <w:pPr>
        <w:pStyle w:val="ListParagraph"/>
        <w:numPr>
          <w:ilvl w:val="0"/>
          <w:numId w:val="2"/>
        </w:numPr>
        <w:spacing w:after="80"/>
      </w:pPr>
      <w:r>
        <w:t xml:space="preserve">Each candidate works independently, in their own environment, on their own tools.</w:t>
      </w:r>
    </w:p>
    <w:p>
      <w:pPr>
        <w:pStyle w:val="ListParagraph"/>
        <w:numPr>
          <w:ilvl w:val="0"/>
          <w:numId w:val="2"/>
        </w:numPr>
        <w:spacing w:after="80"/>
      </w:pPr>
      <w:r>
        <w:t xml:space="preserve">Time box is a placeholder (5–7 days) — set whatever's realistic and tell both candidates the same deadline.</w:t>
      </w:r>
    </w:p>
    <w:p>
      <w:pPr>
        <w:pStyle w:val="ListParagraph"/>
        <w:numPr>
          <w:ilvl w:val="0"/>
          <w:numId w:val="2"/>
        </w:numPr>
        <w:spacing w:after="80"/>
      </w:pPr>
      <w:r>
        <w:t xml:space="preserve">Review is a live walkthrough: each candidate demos and talks through their own build; questions are fair game.</w:t>
      </w:r>
    </w:p>
    <w:p>
      <w:pPr>
        <w:pStyle w:val="ListParagraph"/>
        <w:numPr>
          <w:ilvl w:val="0"/>
          <w:numId w:val="2"/>
        </w:numPr>
        <w:spacing w:after="80"/>
      </w:pPr>
      <w:r>
        <w:t xml:space="preserve">Using AI coding assistants (Claude, Copilot, etc.) to help build the solution is expected, not penalized — that's part of “using their capabilities.”</w:t>
      </w:r>
    </w:p>
    <w:p>
      <w:pPr>
        <w:pStyle w:val="ListParagraph"/>
        <w:numPr>
          <w:ilvl w:val="0"/>
          <w:numId w:val="2"/>
        </w:numPr>
        <w:spacing w:after="80"/>
      </w:pPr>
      <w:r>
        <w:t xml:space="preserve">No further data will be provided — if something looks missing or ambiguous, that's an intentional judgment call for the candidate to make and explain.</w:t>
      </w:r>
    </w:p>
    <w:p>
      <w:pPr>
        <w:spacing w:after="200"/>
      </w:pPr>
    </w:p>
    <w:p>
      <w:pPr>
        <w:pBdr>
          <w:top w:val="single" w:color="BFBFBF" w:sz="6" w:space="1"/>
        </w:pBdr>
        <w:spacing w:before="200"/>
      </w:pPr>
      <w:r>
        <w:rPr>
          <w:i/>
          <w:iCs/>
          <w:color w:val="595959"/>
          <w:sz w:val="16"/>
          <w:szCs w:val="16"/>
        </w:rPr>
        <w:t xml:space="preserve">Prepared by Husnain · Beacon Capital Stewardship dataset is entirely synthetic, generated for this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2026-08-03T11:05:48.353Z</dcterms:created>
  <dcterms:modified xsi:type="dcterms:W3CDTF">2026-08-03T11:05:48.353Z</dcterms:modified>
</cp:coreProperties>
</file>

<file path=docProps/custom.xml><?xml version="1.0" encoding="utf-8"?>
<Properties xmlns="http://schemas.openxmlformats.org/officeDocument/2006/custom-properties" xmlns:vt="http://schemas.openxmlformats.org/officeDocument/2006/docPropsVTypes"/>
</file>