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2321" w14:textId="77777777" w:rsidR="00A42EAF" w:rsidRPr="00FC60E3" w:rsidRDefault="005F628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Chapter </w:t>
      </w:r>
      <w:r w:rsidR="000F192D" w:rsidRPr="00FC60E3">
        <w:rPr>
          <w:rFonts w:asciiTheme="minorHAnsi" w:hAnsiTheme="minorHAnsi"/>
        </w:rPr>
        <w:t>12</w:t>
      </w:r>
      <w:r w:rsidR="00D55DB1" w:rsidRPr="00FC60E3">
        <w:rPr>
          <w:rFonts w:asciiTheme="minorHAnsi" w:hAnsiTheme="minorHAnsi"/>
        </w:rPr>
        <w:t xml:space="preserve"> Investments: Debt and Equity Securities</w:t>
      </w:r>
    </w:p>
    <w:p w14:paraId="0FDF6C80" w14:textId="77777777" w:rsidR="00A42EAF" w:rsidRPr="00FC60E3" w:rsidRDefault="00A42EAF" w:rsidP="00A42EAF">
      <w:pPr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Review </w:t>
      </w:r>
      <w:r w:rsidR="00841121" w:rsidRPr="00FC60E3">
        <w:rPr>
          <w:rFonts w:asciiTheme="minorHAnsi" w:hAnsiTheme="minorHAnsi"/>
        </w:rPr>
        <w:t>P</w:t>
      </w:r>
      <w:r w:rsidRPr="00FC60E3">
        <w:rPr>
          <w:rFonts w:asciiTheme="minorHAnsi" w:hAnsiTheme="minorHAnsi"/>
        </w:rPr>
        <w:t>roblem</w:t>
      </w:r>
    </w:p>
    <w:p w14:paraId="0952373B" w14:textId="77777777" w:rsidR="00A42EAF" w:rsidRPr="00FC60E3" w:rsidRDefault="00841121" w:rsidP="00A42EAF">
      <w:pPr>
        <w:rPr>
          <w:rFonts w:asciiTheme="minorHAnsi" w:hAnsiTheme="minorHAnsi"/>
          <w:color w:val="FF33CC"/>
          <w:szCs w:val="24"/>
        </w:rPr>
      </w:pPr>
      <w:r w:rsidRPr="00FC60E3">
        <w:rPr>
          <w:rFonts w:asciiTheme="minorHAnsi" w:hAnsiTheme="minorHAnsi"/>
          <w:b/>
          <w:bCs/>
          <w:color w:val="0080A3"/>
          <w:szCs w:val="24"/>
        </w:rPr>
        <w:t>Investments in Debt and Equity Securities</w:t>
      </w:r>
      <w:r w:rsidR="00A42EAF" w:rsidRPr="00FC60E3">
        <w:rPr>
          <w:rFonts w:asciiTheme="minorHAnsi" w:hAnsiTheme="minorHAnsi"/>
          <w:color w:val="FF33CC"/>
          <w:szCs w:val="24"/>
        </w:rPr>
        <w:t xml:space="preserve"> </w:t>
      </w:r>
    </w:p>
    <w:p w14:paraId="321D85E9" w14:textId="77777777" w:rsidR="00A42EAF" w:rsidRPr="00FC60E3" w:rsidRDefault="004862C6" w:rsidP="004862C6">
      <w:pPr>
        <w:autoSpaceDE w:val="0"/>
        <w:autoSpaceDN w:val="0"/>
        <w:adjustRightInd w:val="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On January 1, 2018, Schultz, Inc., purchased the following securities. According to Schultz’s business model and the intention to influence the decisions of the investees, Schultz classifies the securities as follows:</w:t>
      </w:r>
    </w:p>
    <w:p w14:paraId="31A70D51" w14:textId="77777777" w:rsidR="004862C6" w:rsidRPr="00FC60E3" w:rsidRDefault="004862C6" w:rsidP="004862C6">
      <w:pPr>
        <w:autoSpaceDE w:val="0"/>
        <w:autoSpaceDN w:val="0"/>
        <w:adjustRightInd w:val="0"/>
        <w:rPr>
          <w:rFonts w:asciiTheme="minorHAnsi" w:hAnsiTheme="minorHAnsi"/>
        </w:rPr>
      </w:pPr>
    </w:p>
    <w:p w14:paraId="70B6B5D0" w14:textId="77777777" w:rsidR="00A42EAF" w:rsidRPr="00FC60E3" w:rsidRDefault="00A42EAF" w:rsidP="00A42EAF">
      <w:pPr>
        <w:rPr>
          <w:rFonts w:asciiTheme="minorHAnsi" w:hAnsiTheme="minorHAnsi"/>
          <w:b/>
        </w:rPr>
      </w:pPr>
      <w:r w:rsidRPr="00FC60E3">
        <w:rPr>
          <w:rFonts w:asciiTheme="minorHAnsi" w:hAnsiTheme="minorHAnsi"/>
          <w:b/>
        </w:rPr>
        <w:t>Security</w:t>
      </w:r>
      <w:r w:rsidRPr="00FC60E3">
        <w:rPr>
          <w:rFonts w:asciiTheme="minorHAnsi" w:hAnsiTheme="minorHAnsi"/>
          <w:b/>
        </w:rPr>
        <w:tab/>
        <w:t xml:space="preserve">      Type</w:t>
      </w:r>
      <w:r w:rsidRPr="00FC60E3">
        <w:rPr>
          <w:rFonts w:asciiTheme="minorHAnsi" w:hAnsiTheme="minorHAnsi"/>
          <w:b/>
        </w:rPr>
        <w:tab/>
      </w:r>
      <w:r w:rsidRPr="00FC60E3">
        <w:rPr>
          <w:rFonts w:asciiTheme="minorHAnsi" w:hAnsiTheme="minorHAnsi"/>
          <w:b/>
        </w:rPr>
        <w:tab/>
      </w:r>
      <w:r w:rsidR="00E1406C" w:rsidRPr="00FC60E3">
        <w:rPr>
          <w:rFonts w:asciiTheme="minorHAnsi" w:hAnsiTheme="minorHAnsi"/>
          <w:b/>
        </w:rPr>
        <w:t xml:space="preserve">    </w:t>
      </w:r>
      <w:r w:rsidRPr="00FC60E3">
        <w:rPr>
          <w:rFonts w:asciiTheme="minorHAnsi" w:hAnsiTheme="minorHAnsi"/>
          <w:b/>
        </w:rPr>
        <w:t>Classification</w:t>
      </w:r>
      <w:r w:rsidRPr="00FC60E3">
        <w:rPr>
          <w:rFonts w:asciiTheme="minorHAnsi" w:hAnsiTheme="minorHAnsi"/>
          <w:b/>
        </w:rPr>
        <w:tab/>
      </w:r>
      <w:r w:rsidR="00E1406C" w:rsidRPr="00FC60E3">
        <w:rPr>
          <w:rFonts w:asciiTheme="minorHAnsi" w:hAnsiTheme="minorHAnsi"/>
          <w:b/>
        </w:rPr>
        <w:tab/>
        <w:t xml:space="preserve">     </w:t>
      </w:r>
      <w:r w:rsidR="004862C6" w:rsidRPr="00FC60E3">
        <w:rPr>
          <w:rFonts w:asciiTheme="minorHAnsi" w:hAnsiTheme="minorHAnsi"/>
          <w:b/>
        </w:rPr>
        <w:t xml:space="preserve">            </w:t>
      </w:r>
      <w:r w:rsidRPr="00FC60E3">
        <w:rPr>
          <w:rFonts w:asciiTheme="minorHAnsi" w:hAnsiTheme="minorHAnsi"/>
          <w:b/>
        </w:rPr>
        <w:t>Cost</w:t>
      </w:r>
    </w:p>
    <w:p w14:paraId="2C69E127" w14:textId="77777777" w:rsidR="00A42EAF" w:rsidRPr="00FC60E3" w:rsidRDefault="00A42EAF" w:rsidP="00A42EAF">
      <w:pPr>
        <w:ind w:firstLineChars="150" w:firstLine="36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1          Debt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="004862C6" w:rsidRPr="00FC60E3">
        <w:rPr>
          <w:rFonts w:asciiTheme="minorHAnsi" w:hAnsiTheme="minorHAnsi"/>
        </w:rPr>
        <w:t>FVTPL financial assets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>$2,500</w:t>
      </w:r>
    </w:p>
    <w:p w14:paraId="74EF60EB" w14:textId="77777777" w:rsidR="00A42EAF" w:rsidRPr="00FC60E3" w:rsidRDefault="00A42EAF" w:rsidP="00A42EAF">
      <w:pPr>
        <w:ind w:firstLineChars="150" w:firstLine="36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2          Debt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="004862C6" w:rsidRPr="00FC60E3">
        <w:rPr>
          <w:rFonts w:asciiTheme="minorHAnsi" w:hAnsiTheme="minorHAnsi"/>
        </w:rPr>
        <w:t>FVTPL financial assets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1,500</w:t>
      </w:r>
    </w:p>
    <w:p w14:paraId="1E6609B7" w14:textId="77777777" w:rsidR="00A42EAF" w:rsidRPr="00FC60E3" w:rsidRDefault="00A42EAF" w:rsidP="00A42EAF">
      <w:pPr>
        <w:ind w:firstLineChars="150" w:firstLine="36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3</w:t>
      </w:r>
      <w:r w:rsidRPr="00FC60E3">
        <w:rPr>
          <w:rFonts w:asciiTheme="minorHAnsi" w:hAnsiTheme="minorHAnsi"/>
        </w:rPr>
        <w:tab/>
      </w:r>
      <w:proofErr w:type="gramStart"/>
      <w:r w:rsidRPr="00FC60E3">
        <w:rPr>
          <w:rFonts w:asciiTheme="minorHAnsi" w:hAnsiTheme="minorHAnsi"/>
        </w:rPr>
        <w:tab/>
        <w:t xml:space="preserve">  Equity</w:t>
      </w:r>
      <w:proofErr w:type="gramEnd"/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="004862C6" w:rsidRPr="00FC60E3">
        <w:rPr>
          <w:rFonts w:asciiTheme="minorHAnsi" w:hAnsiTheme="minorHAnsi"/>
        </w:rPr>
        <w:t>FVTPL financial assets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1,750</w:t>
      </w:r>
    </w:p>
    <w:p w14:paraId="4B8F6C26" w14:textId="77777777" w:rsidR="00A42EAF" w:rsidRPr="00FC60E3" w:rsidRDefault="00A42EAF" w:rsidP="00A42EAF">
      <w:pPr>
        <w:ind w:firstLine="36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4</w:t>
      </w:r>
      <w:r w:rsidRPr="00FC60E3">
        <w:rPr>
          <w:rFonts w:asciiTheme="minorHAnsi" w:hAnsiTheme="minorHAnsi"/>
        </w:rPr>
        <w:tab/>
      </w:r>
      <w:proofErr w:type="gramStart"/>
      <w:r w:rsidRPr="00FC60E3">
        <w:rPr>
          <w:rFonts w:asciiTheme="minorHAnsi" w:hAnsiTheme="minorHAnsi"/>
        </w:rPr>
        <w:tab/>
        <w:t xml:space="preserve">  Debt</w:t>
      </w:r>
      <w:proofErr w:type="gramEnd"/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="004862C6" w:rsidRPr="00FC60E3">
        <w:rPr>
          <w:rFonts w:asciiTheme="minorHAnsi" w:hAnsiTheme="minorHAnsi"/>
        </w:rPr>
        <w:t>FVTOCI financial assets—debt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4,300</w:t>
      </w:r>
    </w:p>
    <w:p w14:paraId="5834D042" w14:textId="77777777" w:rsidR="00A42EAF" w:rsidRPr="00FC60E3" w:rsidRDefault="00A42EAF" w:rsidP="00A42EAF">
      <w:pPr>
        <w:ind w:firstLine="36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5</w:t>
      </w:r>
      <w:r w:rsidRPr="00FC60E3">
        <w:rPr>
          <w:rFonts w:asciiTheme="minorHAnsi" w:hAnsiTheme="minorHAnsi"/>
        </w:rPr>
        <w:tab/>
      </w:r>
      <w:proofErr w:type="gramStart"/>
      <w:r w:rsidRPr="00FC60E3">
        <w:rPr>
          <w:rFonts w:asciiTheme="minorHAnsi" w:hAnsiTheme="minorHAnsi"/>
        </w:rPr>
        <w:tab/>
        <w:t xml:space="preserve">  Equity</w:t>
      </w:r>
      <w:proofErr w:type="gramEnd"/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="004862C6" w:rsidRPr="00FC60E3">
        <w:rPr>
          <w:rFonts w:asciiTheme="minorHAnsi" w:hAnsiTheme="minorHAnsi"/>
        </w:rPr>
        <w:t>FVTOCI financial assets—equity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2,750</w:t>
      </w:r>
    </w:p>
    <w:p w14:paraId="7D2667BD" w14:textId="77777777" w:rsidR="00A42EAF" w:rsidRPr="00FC60E3" w:rsidRDefault="00A42EAF" w:rsidP="00A42EAF">
      <w:pPr>
        <w:rPr>
          <w:rFonts w:asciiTheme="minorHAnsi" w:hAnsiTheme="minorHAnsi"/>
        </w:rPr>
      </w:pPr>
      <w:r w:rsidRPr="00FC60E3">
        <w:rPr>
          <w:rFonts w:asciiTheme="minorHAnsi" w:hAnsiTheme="minorHAnsi"/>
        </w:rPr>
        <w:tab/>
      </w:r>
    </w:p>
    <w:p w14:paraId="4566AFDA" w14:textId="77777777" w:rsidR="00841121" w:rsidRPr="00FC60E3" w:rsidRDefault="00A42EAF" w:rsidP="00841121">
      <w:pPr>
        <w:ind w:firstLine="12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On March 31, one-half of Security 2 was sold for $900. During the year, interest and dividends were received as follows:</w:t>
      </w:r>
    </w:p>
    <w:p w14:paraId="0F751125" w14:textId="77777777" w:rsidR="00841121" w:rsidRPr="00FC60E3" w:rsidRDefault="00841121" w:rsidP="00841121">
      <w:pPr>
        <w:ind w:firstLine="120"/>
        <w:rPr>
          <w:rFonts w:asciiTheme="minorHAnsi" w:hAnsiTheme="minorHAnsi"/>
          <w:b/>
        </w:rPr>
      </w:pPr>
    </w:p>
    <w:p w14:paraId="191F6ED8" w14:textId="77777777" w:rsidR="00A42EAF" w:rsidRPr="00FC60E3" w:rsidRDefault="00A42EAF" w:rsidP="00A42EAF">
      <w:pPr>
        <w:ind w:firstLineChars="50" w:firstLine="120"/>
        <w:rPr>
          <w:rFonts w:asciiTheme="minorHAnsi" w:hAnsiTheme="minorHAnsi"/>
          <w:b/>
        </w:rPr>
      </w:pPr>
      <w:r w:rsidRPr="00FC60E3">
        <w:rPr>
          <w:rFonts w:asciiTheme="minorHAnsi" w:hAnsiTheme="minorHAnsi"/>
          <w:b/>
        </w:rPr>
        <w:t>Security</w:t>
      </w:r>
      <w:r w:rsidRPr="00FC60E3">
        <w:rPr>
          <w:rFonts w:asciiTheme="minorHAnsi" w:hAnsiTheme="minorHAnsi"/>
          <w:b/>
        </w:rPr>
        <w:tab/>
      </w:r>
      <w:r w:rsidRPr="00FC60E3">
        <w:rPr>
          <w:rFonts w:asciiTheme="minorHAnsi" w:hAnsiTheme="minorHAnsi"/>
          <w:b/>
        </w:rPr>
        <w:tab/>
        <w:t>Interest</w:t>
      </w:r>
      <w:r w:rsidRPr="00FC60E3">
        <w:rPr>
          <w:rFonts w:asciiTheme="minorHAnsi" w:hAnsiTheme="minorHAnsi"/>
          <w:b/>
        </w:rPr>
        <w:tab/>
      </w:r>
      <w:r w:rsidRPr="00FC60E3">
        <w:rPr>
          <w:rFonts w:asciiTheme="minorHAnsi" w:hAnsiTheme="minorHAnsi"/>
          <w:b/>
        </w:rPr>
        <w:tab/>
        <w:t>Dividends</w:t>
      </w:r>
    </w:p>
    <w:p w14:paraId="65EC02FF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1 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>$200</w:t>
      </w:r>
    </w:p>
    <w:p w14:paraId="2A3BE920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2 </w:t>
      </w:r>
      <w:r w:rsidRPr="00FC60E3">
        <w:rPr>
          <w:rFonts w:asciiTheme="minorHAnsi" w:hAnsiTheme="minorHAnsi"/>
        </w:rPr>
        <w:tab/>
      </w:r>
      <w:proofErr w:type="gramStart"/>
      <w:r w:rsidRPr="00FC60E3">
        <w:rPr>
          <w:rFonts w:asciiTheme="minorHAnsi" w:hAnsiTheme="minorHAnsi"/>
        </w:rPr>
        <w:tab/>
        <w:t xml:space="preserve">  85</w:t>
      </w:r>
      <w:proofErr w:type="gramEnd"/>
    </w:p>
    <w:p w14:paraId="576B2719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3 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>none</w:t>
      </w:r>
    </w:p>
    <w:p w14:paraId="44C7C5F2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4 </w:t>
      </w:r>
      <w:r w:rsidRPr="00FC60E3">
        <w:rPr>
          <w:rFonts w:asciiTheme="minorHAnsi" w:hAnsiTheme="minorHAnsi"/>
        </w:rPr>
        <w:tab/>
        <w:t xml:space="preserve">     435</w:t>
      </w:r>
    </w:p>
    <w:p w14:paraId="3F01A2EA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5 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>$200</w:t>
      </w:r>
    </w:p>
    <w:p w14:paraId="3CD3C838" w14:textId="77777777" w:rsidR="00A42EAF" w:rsidRPr="00FC60E3" w:rsidRDefault="00A42EAF" w:rsidP="00A42EAF">
      <w:pPr>
        <w:rPr>
          <w:rFonts w:asciiTheme="minorHAnsi" w:hAnsiTheme="minorHAnsi"/>
        </w:rPr>
      </w:pPr>
    </w:p>
    <w:p w14:paraId="23B4E4B0" w14:textId="77777777" w:rsidR="00A42EAF" w:rsidRPr="00FC60E3" w:rsidRDefault="00A42EAF" w:rsidP="00A42EAF">
      <w:pPr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The following fair market values are available on December 31, </w:t>
      </w:r>
      <w:r w:rsidR="00841121" w:rsidRPr="00FC60E3">
        <w:rPr>
          <w:rFonts w:asciiTheme="minorHAnsi" w:hAnsiTheme="minorHAnsi"/>
        </w:rPr>
        <w:t>201</w:t>
      </w:r>
      <w:r w:rsidR="004862C6" w:rsidRPr="00FC60E3">
        <w:rPr>
          <w:rFonts w:asciiTheme="minorHAnsi" w:hAnsiTheme="minorHAnsi"/>
        </w:rPr>
        <w:t>8</w:t>
      </w:r>
      <w:r w:rsidRPr="00FC60E3">
        <w:rPr>
          <w:rFonts w:asciiTheme="minorHAnsi" w:hAnsiTheme="minorHAnsi"/>
        </w:rPr>
        <w:t xml:space="preserve">. Schultz had no balance in its valuation adjustment accounts on January 1, </w:t>
      </w:r>
      <w:r w:rsidR="00841121" w:rsidRPr="00FC60E3">
        <w:rPr>
          <w:rFonts w:asciiTheme="minorHAnsi" w:hAnsiTheme="minorHAnsi"/>
        </w:rPr>
        <w:t>201</w:t>
      </w:r>
      <w:r w:rsidR="004862C6" w:rsidRPr="00FC60E3">
        <w:rPr>
          <w:rFonts w:asciiTheme="minorHAnsi" w:hAnsiTheme="minorHAnsi"/>
        </w:rPr>
        <w:t>8</w:t>
      </w:r>
      <w:r w:rsidRPr="00FC60E3">
        <w:rPr>
          <w:rFonts w:asciiTheme="minorHAnsi" w:hAnsiTheme="minorHAnsi"/>
        </w:rPr>
        <w:t>.</w:t>
      </w:r>
    </w:p>
    <w:p w14:paraId="775EB4F6" w14:textId="77777777" w:rsidR="00A42EAF" w:rsidRPr="00FC60E3" w:rsidRDefault="00A42EAF" w:rsidP="00A42EAF">
      <w:pPr>
        <w:rPr>
          <w:rFonts w:asciiTheme="minorHAnsi" w:hAnsiTheme="minorHAnsi"/>
          <w:b/>
        </w:rPr>
      </w:pPr>
      <w:r w:rsidRPr="00FC60E3">
        <w:rPr>
          <w:rFonts w:asciiTheme="minorHAnsi" w:hAnsiTheme="minorHAnsi"/>
          <w:b/>
        </w:rPr>
        <w:t>Security</w:t>
      </w:r>
      <w:r w:rsidRPr="00FC60E3">
        <w:rPr>
          <w:rFonts w:asciiTheme="minorHAnsi" w:hAnsiTheme="minorHAnsi"/>
          <w:b/>
        </w:rPr>
        <w:tab/>
      </w:r>
      <w:r w:rsidRPr="00FC60E3">
        <w:rPr>
          <w:rFonts w:asciiTheme="minorHAnsi" w:hAnsiTheme="minorHAnsi"/>
          <w:b/>
        </w:rPr>
        <w:tab/>
        <w:t>Market Value</w:t>
      </w:r>
    </w:p>
    <w:p w14:paraId="07512E8B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1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>$2,400</w:t>
      </w:r>
    </w:p>
    <w:p w14:paraId="507330A2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2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  950</w:t>
      </w:r>
    </w:p>
    <w:p w14:paraId="6E1DA225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3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1,600</w:t>
      </w:r>
    </w:p>
    <w:p w14:paraId="01E269D8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4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4,250</w:t>
      </w:r>
    </w:p>
    <w:p w14:paraId="66033572" w14:textId="77777777" w:rsidR="00A42EAF" w:rsidRPr="00FC60E3" w:rsidRDefault="00A42EAF" w:rsidP="00A42EAF">
      <w:pPr>
        <w:ind w:firstLine="48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5</w:t>
      </w:r>
      <w:r w:rsidRPr="00FC60E3">
        <w:rPr>
          <w:rFonts w:asciiTheme="minorHAnsi" w:hAnsiTheme="minorHAnsi"/>
        </w:rPr>
        <w:tab/>
      </w:r>
      <w:r w:rsidRPr="00FC60E3">
        <w:rPr>
          <w:rFonts w:asciiTheme="minorHAnsi" w:hAnsiTheme="minorHAnsi"/>
        </w:rPr>
        <w:tab/>
        <w:t xml:space="preserve"> 2,900</w:t>
      </w:r>
    </w:p>
    <w:p w14:paraId="2426362D" w14:textId="77777777" w:rsidR="00A42EAF" w:rsidRPr="00FC60E3" w:rsidRDefault="00A42EAF" w:rsidP="00A42EAF">
      <w:pPr>
        <w:rPr>
          <w:rFonts w:asciiTheme="minorHAnsi" w:hAnsiTheme="minorHAnsi"/>
        </w:rPr>
      </w:pPr>
    </w:p>
    <w:p w14:paraId="68F92C12" w14:textId="77777777" w:rsidR="00A42EAF" w:rsidRPr="00FC60E3" w:rsidRDefault="00A42EAF" w:rsidP="00A42EAF">
      <w:pPr>
        <w:rPr>
          <w:rFonts w:asciiTheme="minorHAnsi" w:hAnsiTheme="minorHAnsi"/>
        </w:rPr>
      </w:pPr>
      <w:r w:rsidRPr="00FC60E3">
        <w:rPr>
          <w:rFonts w:asciiTheme="minorHAnsi" w:hAnsiTheme="minorHAnsi"/>
        </w:rPr>
        <w:t>Required:</w:t>
      </w:r>
    </w:p>
    <w:p w14:paraId="3A1C9292" w14:textId="77777777" w:rsidR="00A42EAF" w:rsidRPr="00FC60E3" w:rsidRDefault="00A42EAF" w:rsidP="00A42EAF">
      <w:pPr>
        <w:rPr>
          <w:rFonts w:asciiTheme="minorHAnsi" w:hAnsiTheme="minorHAnsi"/>
        </w:rPr>
      </w:pPr>
      <w:r w:rsidRPr="00FC60E3">
        <w:rPr>
          <w:rFonts w:asciiTheme="minorHAnsi" w:hAnsiTheme="minorHAnsi"/>
        </w:rPr>
        <w:t xml:space="preserve">Record all necessary journal entries to account for these investments during </w:t>
      </w:r>
      <w:r w:rsidR="00841121" w:rsidRPr="00FC60E3">
        <w:rPr>
          <w:rFonts w:asciiTheme="minorHAnsi" w:hAnsiTheme="minorHAnsi"/>
        </w:rPr>
        <w:t>201</w:t>
      </w:r>
      <w:r w:rsidR="004862C6" w:rsidRPr="00FC60E3">
        <w:rPr>
          <w:rFonts w:asciiTheme="minorHAnsi" w:hAnsiTheme="minorHAnsi"/>
        </w:rPr>
        <w:t>8</w:t>
      </w:r>
      <w:r w:rsidRPr="00FC60E3">
        <w:rPr>
          <w:rFonts w:asciiTheme="minorHAnsi" w:hAnsiTheme="minorHAnsi"/>
        </w:rPr>
        <w:t>.</w:t>
      </w:r>
    </w:p>
    <w:p w14:paraId="752FB152" w14:textId="77777777" w:rsidR="00A42EAF" w:rsidRPr="00FC60E3" w:rsidRDefault="00A42EAF" w:rsidP="00A42EAF">
      <w:pPr>
        <w:rPr>
          <w:rFonts w:asciiTheme="minorHAnsi" w:hAnsiTheme="minorHAnsi"/>
        </w:rPr>
      </w:pPr>
    </w:p>
    <w:p w14:paraId="41B27F2A" w14:textId="77777777" w:rsidR="00A42EAF" w:rsidRPr="00FC60E3" w:rsidRDefault="00A42EAF" w:rsidP="00A42EAF">
      <w:pPr>
        <w:rPr>
          <w:rFonts w:asciiTheme="minorHAnsi" w:hAnsiTheme="minorHAnsi"/>
        </w:rPr>
      </w:pPr>
      <w:r w:rsidRPr="00FC60E3">
        <w:rPr>
          <w:rFonts w:asciiTheme="minorHAnsi" w:hAnsiTheme="minorHAnsi"/>
        </w:rPr>
        <w:t>Solution:</w:t>
      </w:r>
    </w:p>
    <w:p w14:paraId="77C54925" w14:textId="77777777" w:rsidR="00A42EAF" w:rsidRPr="00FC60E3" w:rsidRDefault="00A42EAF" w:rsidP="00A42EAF">
      <w:pPr>
        <w:rPr>
          <w:rFonts w:asciiTheme="minorHAnsi" w:hAnsiTheme="minorHAnsi"/>
        </w:rPr>
      </w:pPr>
      <w:r w:rsidRPr="00FC60E3">
        <w:rPr>
          <w:rFonts w:asciiTheme="minorHAnsi" w:hAnsiTheme="minorHAnsi"/>
        </w:rPr>
        <w:t>To account for these investments, four events must be accounted for:</w:t>
      </w:r>
    </w:p>
    <w:p w14:paraId="6693F6F1" w14:textId="77777777" w:rsidR="00A42EAF" w:rsidRPr="00FC60E3" w:rsidRDefault="00A42EAF" w:rsidP="00A42EAF">
      <w:pPr>
        <w:pStyle w:val="ListParagraph"/>
        <w:numPr>
          <w:ilvl w:val="0"/>
          <w:numId w:val="50"/>
        </w:numPr>
        <w:ind w:leftChars="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The initial purchase on January 1.</w:t>
      </w:r>
    </w:p>
    <w:p w14:paraId="557567F9" w14:textId="77777777" w:rsidR="00A42EAF" w:rsidRPr="00FC60E3" w:rsidRDefault="00A42EAF" w:rsidP="00A42EAF">
      <w:pPr>
        <w:pStyle w:val="ListParagraph"/>
        <w:numPr>
          <w:ilvl w:val="0"/>
          <w:numId w:val="50"/>
        </w:numPr>
        <w:ind w:leftChars="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The sale of one-half of Security 2 on March 31.</w:t>
      </w:r>
    </w:p>
    <w:p w14:paraId="14228EEE" w14:textId="77777777" w:rsidR="00A42EAF" w:rsidRPr="00FC60E3" w:rsidRDefault="00A42EAF" w:rsidP="00A42EAF">
      <w:pPr>
        <w:pStyle w:val="ListParagraph"/>
        <w:numPr>
          <w:ilvl w:val="0"/>
          <w:numId w:val="50"/>
        </w:numPr>
        <w:ind w:leftChars="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The receipt of interest and dividends during the year.</w:t>
      </w:r>
    </w:p>
    <w:p w14:paraId="5D30E326" w14:textId="46AA4914" w:rsidR="00FF5330" w:rsidRPr="00FC60E3" w:rsidRDefault="00A42EAF" w:rsidP="00FE3675">
      <w:pPr>
        <w:pStyle w:val="ListParagraph"/>
        <w:numPr>
          <w:ilvl w:val="0"/>
          <w:numId w:val="50"/>
        </w:numPr>
        <w:ind w:leftChars="0"/>
        <w:rPr>
          <w:rFonts w:asciiTheme="minorHAnsi" w:hAnsiTheme="minorHAnsi"/>
        </w:rPr>
      </w:pPr>
      <w:r w:rsidRPr="00FC60E3">
        <w:rPr>
          <w:rFonts w:asciiTheme="minorHAnsi" w:hAnsiTheme="minorHAnsi"/>
        </w:rPr>
        <w:t>The changes in value as of December 31.</w:t>
      </w:r>
    </w:p>
    <w:sectPr w:rsidR="00FF5330" w:rsidRPr="00FC60E3" w:rsidSect="00C44996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43ED" w14:textId="77777777" w:rsidR="005F5E5A" w:rsidRDefault="005F5E5A" w:rsidP="00DC76CE">
      <w:r>
        <w:separator/>
      </w:r>
    </w:p>
  </w:endnote>
  <w:endnote w:type="continuationSeparator" w:id="0">
    <w:p w14:paraId="18DBFC11" w14:textId="77777777" w:rsidR="005F5E5A" w:rsidRDefault="005F5E5A" w:rsidP="00DC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0EA48" w14:textId="77777777" w:rsidR="005F5E5A" w:rsidRDefault="005F5E5A" w:rsidP="000A7744">
    <w:pPr>
      <w:pStyle w:val="Footer"/>
      <w:jc w:val="center"/>
    </w:pPr>
    <w:r>
      <w:rPr>
        <w:color w:val="C0C0C0"/>
        <w:sz w:val="16"/>
        <w:szCs w:val="16"/>
      </w:rPr>
      <w:t>© 2017 Cengage Learning</w:t>
    </w:r>
    <w:r w:rsidRPr="000F32BF">
      <w:rPr>
        <w:color w:val="C0C0C0"/>
        <w:sz w:val="16"/>
        <w:szCs w:val="16"/>
      </w:rPr>
      <w:t>.</w:t>
    </w:r>
    <w:r>
      <w:rPr>
        <w:color w:val="C0C0C0"/>
        <w:sz w:val="16"/>
        <w:szCs w:val="16"/>
      </w:rPr>
      <w:t xml:space="preserve"> All Rights Reserved. </w:t>
    </w:r>
    <w:r w:rsidRPr="000F32BF">
      <w:rPr>
        <w:color w:val="C0C0C0"/>
        <w:sz w:val="16"/>
        <w:szCs w:val="16"/>
      </w:rPr>
      <w:t xml:space="preserve">This edition is intended for use outside of the U.S. only, with content that may be different from the U.S. Edition. </w:t>
    </w:r>
    <w:r>
      <w:rPr>
        <w:color w:val="C0C0C0"/>
        <w:sz w:val="16"/>
        <w:szCs w:val="16"/>
      </w:rPr>
      <w:t>May not be scanned, copied, duplicated, or posted to a publicly accessible website, in whole or in part.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FEAC" w14:textId="77777777" w:rsidR="005F5E5A" w:rsidRDefault="005F5E5A" w:rsidP="00DC76CE">
      <w:r>
        <w:separator/>
      </w:r>
    </w:p>
  </w:footnote>
  <w:footnote w:type="continuationSeparator" w:id="0">
    <w:p w14:paraId="79508537" w14:textId="77777777" w:rsidR="005F5E5A" w:rsidRDefault="005F5E5A" w:rsidP="00DC7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695"/>
    <w:multiLevelType w:val="hybridMultilevel"/>
    <w:tmpl w:val="2BEEC99A"/>
    <w:lvl w:ilvl="0" w:tplc="BE8CB7B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C96D71"/>
    <w:multiLevelType w:val="hybridMultilevel"/>
    <w:tmpl w:val="952E741C"/>
    <w:lvl w:ilvl="0" w:tplc="177E88B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9966B6"/>
    <w:multiLevelType w:val="hybridMultilevel"/>
    <w:tmpl w:val="1D2EE2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4A0035"/>
    <w:multiLevelType w:val="hybridMultilevel"/>
    <w:tmpl w:val="390CDA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9C13C6"/>
    <w:multiLevelType w:val="hybridMultilevel"/>
    <w:tmpl w:val="883CF7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D932D1"/>
    <w:multiLevelType w:val="hybridMultilevel"/>
    <w:tmpl w:val="7F4ADC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8920444"/>
    <w:multiLevelType w:val="hybridMultilevel"/>
    <w:tmpl w:val="9FFE8606"/>
    <w:lvl w:ilvl="0" w:tplc="CA4C42D4">
      <w:start w:val="1"/>
      <w:numFmt w:val="decimal"/>
      <w:lvlText w:val="%1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09AB0A08"/>
    <w:multiLevelType w:val="hybridMultilevel"/>
    <w:tmpl w:val="E610A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C64D4"/>
    <w:multiLevelType w:val="hybridMultilevel"/>
    <w:tmpl w:val="D27EB8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5F6AFD"/>
    <w:multiLevelType w:val="hybridMultilevel"/>
    <w:tmpl w:val="548272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E3C3EA9"/>
    <w:multiLevelType w:val="hybridMultilevel"/>
    <w:tmpl w:val="11309E4C"/>
    <w:lvl w:ilvl="0" w:tplc="BE8CB7B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EA039E"/>
    <w:multiLevelType w:val="hybridMultilevel"/>
    <w:tmpl w:val="D6982600"/>
    <w:lvl w:ilvl="0" w:tplc="044C233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2D53B31"/>
    <w:multiLevelType w:val="hybridMultilevel"/>
    <w:tmpl w:val="2FF42328"/>
    <w:lvl w:ilvl="0" w:tplc="B48ABD2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41406C5"/>
    <w:multiLevelType w:val="hybridMultilevel"/>
    <w:tmpl w:val="C92AC6F4"/>
    <w:lvl w:ilvl="0" w:tplc="BE8CB7B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417FE8"/>
    <w:multiLevelType w:val="hybridMultilevel"/>
    <w:tmpl w:val="60A4FEDE"/>
    <w:lvl w:ilvl="0" w:tplc="BE8CB7B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3E4A86"/>
    <w:multiLevelType w:val="hybridMultilevel"/>
    <w:tmpl w:val="912CAF8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3CA3569"/>
    <w:multiLevelType w:val="hybridMultilevel"/>
    <w:tmpl w:val="6D7A7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91115C"/>
    <w:multiLevelType w:val="hybridMultilevel"/>
    <w:tmpl w:val="611243B2"/>
    <w:lvl w:ilvl="0" w:tplc="B48ABD2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2B6628"/>
    <w:multiLevelType w:val="hybridMultilevel"/>
    <w:tmpl w:val="F02ECA54"/>
    <w:lvl w:ilvl="0" w:tplc="B48ABD2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7800218"/>
    <w:multiLevelType w:val="hybridMultilevel"/>
    <w:tmpl w:val="135E69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8B0121D"/>
    <w:multiLevelType w:val="hybridMultilevel"/>
    <w:tmpl w:val="40624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93627BD"/>
    <w:multiLevelType w:val="hybridMultilevel"/>
    <w:tmpl w:val="4386BF5A"/>
    <w:lvl w:ilvl="0" w:tplc="044C233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1A712A"/>
    <w:multiLevelType w:val="hybridMultilevel"/>
    <w:tmpl w:val="6CCC2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2150E08"/>
    <w:multiLevelType w:val="hybridMultilevel"/>
    <w:tmpl w:val="1332D79C"/>
    <w:lvl w:ilvl="0" w:tplc="DA360B42">
      <w:start w:val="5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41715A9"/>
    <w:multiLevelType w:val="hybridMultilevel"/>
    <w:tmpl w:val="766A5A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74527B"/>
    <w:multiLevelType w:val="hybridMultilevel"/>
    <w:tmpl w:val="EE1C606A"/>
    <w:lvl w:ilvl="0" w:tplc="BE8CB7B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CC340A5"/>
    <w:multiLevelType w:val="hybridMultilevel"/>
    <w:tmpl w:val="5C0ED9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1266CF"/>
    <w:multiLevelType w:val="hybridMultilevel"/>
    <w:tmpl w:val="DEBC60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E50C6C"/>
    <w:multiLevelType w:val="hybridMultilevel"/>
    <w:tmpl w:val="8F0E8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3BF3DA4"/>
    <w:multiLevelType w:val="hybridMultilevel"/>
    <w:tmpl w:val="1108D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4152E50"/>
    <w:multiLevelType w:val="hybridMultilevel"/>
    <w:tmpl w:val="E5F6BD44"/>
    <w:lvl w:ilvl="0" w:tplc="044C233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7427D10"/>
    <w:multiLevelType w:val="hybridMultilevel"/>
    <w:tmpl w:val="22E2B7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99B058E"/>
    <w:multiLevelType w:val="hybridMultilevel"/>
    <w:tmpl w:val="F02ECA54"/>
    <w:lvl w:ilvl="0" w:tplc="B48ABD2E">
      <w:start w:val="1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4D2C4734"/>
    <w:multiLevelType w:val="hybridMultilevel"/>
    <w:tmpl w:val="BBD2ED56"/>
    <w:lvl w:ilvl="0" w:tplc="044C233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F37333B"/>
    <w:multiLevelType w:val="hybridMultilevel"/>
    <w:tmpl w:val="30E2A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C857CD"/>
    <w:multiLevelType w:val="hybridMultilevel"/>
    <w:tmpl w:val="59BCD8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0C902D7"/>
    <w:multiLevelType w:val="hybridMultilevel"/>
    <w:tmpl w:val="46BE71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1846B86"/>
    <w:multiLevelType w:val="hybridMultilevel"/>
    <w:tmpl w:val="34FCE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1852F56"/>
    <w:multiLevelType w:val="hybridMultilevel"/>
    <w:tmpl w:val="60E6F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2071CE3"/>
    <w:multiLevelType w:val="hybridMultilevel"/>
    <w:tmpl w:val="E95E7BAE"/>
    <w:lvl w:ilvl="0" w:tplc="B48ABD2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2A13F2E"/>
    <w:multiLevelType w:val="hybridMultilevel"/>
    <w:tmpl w:val="E1504CD4"/>
    <w:lvl w:ilvl="0" w:tplc="DAE4D9A2">
      <w:start w:val="3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702E3742">
      <w:start w:val="1"/>
      <w:numFmt w:val="lowerLetter"/>
      <w:lvlText w:val="%2."/>
      <w:lvlJc w:val="left"/>
      <w:pPr>
        <w:ind w:left="2400" w:hanging="480"/>
      </w:pPr>
      <w:rPr>
        <w:rFonts w:hint="default"/>
      </w:rPr>
    </w:lvl>
    <w:lvl w:ilvl="2" w:tplc="F618C21C">
      <w:start w:val="1"/>
      <w:numFmt w:val="decimal"/>
      <w:lvlText w:val="%3."/>
      <w:lvlJc w:val="left"/>
      <w:pPr>
        <w:ind w:left="28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56891DD6"/>
    <w:multiLevelType w:val="hybridMultilevel"/>
    <w:tmpl w:val="5EB49C7C"/>
    <w:lvl w:ilvl="0" w:tplc="044C233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9723046"/>
    <w:multiLevelType w:val="hybridMultilevel"/>
    <w:tmpl w:val="40EE7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DF142BA"/>
    <w:multiLevelType w:val="hybridMultilevel"/>
    <w:tmpl w:val="55285A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E62236C"/>
    <w:multiLevelType w:val="hybridMultilevel"/>
    <w:tmpl w:val="4A10DD4C"/>
    <w:lvl w:ilvl="0" w:tplc="B48ABD2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0EB64CB"/>
    <w:multiLevelType w:val="hybridMultilevel"/>
    <w:tmpl w:val="912CAF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36B5987"/>
    <w:multiLevelType w:val="hybridMultilevel"/>
    <w:tmpl w:val="A880E80C"/>
    <w:lvl w:ilvl="0" w:tplc="12083774">
      <w:start w:val="1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DEA7C81"/>
    <w:multiLevelType w:val="hybridMultilevel"/>
    <w:tmpl w:val="87A432AA"/>
    <w:lvl w:ilvl="0" w:tplc="BE8CB7B4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E4945C8"/>
    <w:multiLevelType w:val="hybridMultilevel"/>
    <w:tmpl w:val="A0C64A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F78277D"/>
    <w:multiLevelType w:val="hybridMultilevel"/>
    <w:tmpl w:val="34FCED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FBE2B72"/>
    <w:multiLevelType w:val="hybridMultilevel"/>
    <w:tmpl w:val="4A5ADD9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EA08F95C">
      <w:start w:val="1"/>
      <w:numFmt w:val="lowerRoman"/>
      <w:lvlText w:val="%2.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00B2AB3"/>
    <w:multiLevelType w:val="hybridMultilevel"/>
    <w:tmpl w:val="850CAE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16E59F3"/>
    <w:multiLevelType w:val="hybridMultilevel"/>
    <w:tmpl w:val="33F0F40E"/>
    <w:lvl w:ilvl="0" w:tplc="B48ABD2E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4692111"/>
    <w:multiLevelType w:val="hybridMultilevel"/>
    <w:tmpl w:val="608C6A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54E030C"/>
    <w:multiLevelType w:val="hybridMultilevel"/>
    <w:tmpl w:val="271CAD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87E3C70"/>
    <w:multiLevelType w:val="hybridMultilevel"/>
    <w:tmpl w:val="F3E4FB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A1C4F00"/>
    <w:multiLevelType w:val="hybridMultilevel"/>
    <w:tmpl w:val="DE8AD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9394280">
    <w:abstractNumId w:val="29"/>
  </w:num>
  <w:num w:numId="2" w16cid:durableId="717439531">
    <w:abstractNumId w:val="14"/>
  </w:num>
  <w:num w:numId="3" w16cid:durableId="1952202989">
    <w:abstractNumId w:val="0"/>
  </w:num>
  <w:num w:numId="4" w16cid:durableId="699014496">
    <w:abstractNumId w:val="12"/>
  </w:num>
  <w:num w:numId="5" w16cid:durableId="198594854">
    <w:abstractNumId w:val="44"/>
  </w:num>
  <w:num w:numId="6" w16cid:durableId="1306353479">
    <w:abstractNumId w:val="43"/>
  </w:num>
  <w:num w:numId="7" w16cid:durableId="1790590642">
    <w:abstractNumId w:val="30"/>
  </w:num>
  <w:num w:numId="8" w16cid:durableId="1147749272">
    <w:abstractNumId w:val="16"/>
  </w:num>
  <w:num w:numId="9" w16cid:durableId="1644694291">
    <w:abstractNumId w:val="55"/>
  </w:num>
  <w:num w:numId="10" w16cid:durableId="1880630906">
    <w:abstractNumId w:val="21"/>
  </w:num>
  <w:num w:numId="11" w16cid:durableId="24596904">
    <w:abstractNumId w:val="11"/>
  </w:num>
  <w:num w:numId="12" w16cid:durableId="1433938032">
    <w:abstractNumId w:val="40"/>
  </w:num>
  <w:num w:numId="13" w16cid:durableId="863905177">
    <w:abstractNumId w:val="54"/>
  </w:num>
  <w:num w:numId="14" w16cid:durableId="1802773186">
    <w:abstractNumId w:val="17"/>
  </w:num>
  <w:num w:numId="15" w16cid:durableId="1601376742">
    <w:abstractNumId w:val="51"/>
  </w:num>
  <w:num w:numId="16" w16cid:durableId="540442096">
    <w:abstractNumId w:val="7"/>
  </w:num>
  <w:num w:numId="17" w16cid:durableId="2111314058">
    <w:abstractNumId w:val="50"/>
  </w:num>
  <w:num w:numId="18" w16cid:durableId="2043553770">
    <w:abstractNumId w:val="41"/>
  </w:num>
  <w:num w:numId="19" w16cid:durableId="2105301002">
    <w:abstractNumId w:val="33"/>
  </w:num>
  <w:num w:numId="20" w16cid:durableId="1816293046">
    <w:abstractNumId w:val="39"/>
  </w:num>
  <w:num w:numId="21" w16cid:durableId="1667399541">
    <w:abstractNumId w:val="28"/>
  </w:num>
  <w:num w:numId="22" w16cid:durableId="1213467416">
    <w:abstractNumId w:val="9"/>
  </w:num>
  <w:num w:numId="23" w16cid:durableId="1893467188">
    <w:abstractNumId w:val="18"/>
  </w:num>
  <w:num w:numId="24" w16cid:durableId="1613125830">
    <w:abstractNumId w:val="52"/>
  </w:num>
  <w:num w:numId="25" w16cid:durableId="322780577">
    <w:abstractNumId w:val="38"/>
  </w:num>
  <w:num w:numId="26" w16cid:durableId="350649918">
    <w:abstractNumId w:val="56"/>
  </w:num>
  <w:num w:numId="27" w16cid:durableId="1704867557">
    <w:abstractNumId w:val="19"/>
  </w:num>
  <w:num w:numId="28" w16cid:durableId="1337419796">
    <w:abstractNumId w:val="42"/>
  </w:num>
  <w:num w:numId="29" w16cid:durableId="1365254150">
    <w:abstractNumId w:val="32"/>
  </w:num>
  <w:num w:numId="30" w16cid:durableId="548490084">
    <w:abstractNumId w:val="22"/>
  </w:num>
  <w:num w:numId="31" w16cid:durableId="517545307">
    <w:abstractNumId w:val="49"/>
  </w:num>
  <w:num w:numId="32" w16cid:durableId="929511060">
    <w:abstractNumId w:val="34"/>
  </w:num>
  <w:num w:numId="33" w16cid:durableId="1690181464">
    <w:abstractNumId w:val="37"/>
  </w:num>
  <w:num w:numId="34" w16cid:durableId="1159426731">
    <w:abstractNumId w:val="23"/>
  </w:num>
  <w:num w:numId="35" w16cid:durableId="1110198378">
    <w:abstractNumId w:val="2"/>
  </w:num>
  <w:num w:numId="36" w16cid:durableId="313723001">
    <w:abstractNumId w:val="53"/>
  </w:num>
  <w:num w:numId="37" w16cid:durableId="1480851757">
    <w:abstractNumId w:val="24"/>
  </w:num>
  <w:num w:numId="38" w16cid:durableId="1983538189">
    <w:abstractNumId w:val="48"/>
  </w:num>
  <w:num w:numId="39" w16cid:durableId="5135456">
    <w:abstractNumId w:val="31"/>
  </w:num>
  <w:num w:numId="40" w16cid:durableId="1215967512">
    <w:abstractNumId w:val="4"/>
  </w:num>
  <w:num w:numId="41" w16cid:durableId="895049637">
    <w:abstractNumId w:val="5"/>
  </w:num>
  <w:num w:numId="42" w16cid:durableId="1752115096">
    <w:abstractNumId w:val="3"/>
  </w:num>
  <w:num w:numId="43" w16cid:durableId="573051850">
    <w:abstractNumId w:val="35"/>
  </w:num>
  <w:num w:numId="44" w16cid:durableId="1595743326">
    <w:abstractNumId w:val="27"/>
  </w:num>
  <w:num w:numId="45" w16cid:durableId="552275252">
    <w:abstractNumId w:val="8"/>
  </w:num>
  <w:num w:numId="46" w16cid:durableId="1125660559">
    <w:abstractNumId w:val="25"/>
  </w:num>
  <w:num w:numId="47" w16cid:durableId="209265907">
    <w:abstractNumId w:val="6"/>
  </w:num>
  <w:num w:numId="48" w16cid:durableId="279840012">
    <w:abstractNumId w:val="13"/>
  </w:num>
  <w:num w:numId="49" w16cid:durableId="1495990736">
    <w:abstractNumId w:val="20"/>
  </w:num>
  <w:num w:numId="50" w16cid:durableId="1149712822">
    <w:abstractNumId w:val="15"/>
  </w:num>
  <w:num w:numId="51" w16cid:durableId="601109256">
    <w:abstractNumId w:val="45"/>
  </w:num>
  <w:num w:numId="52" w16cid:durableId="486937639">
    <w:abstractNumId w:val="36"/>
  </w:num>
  <w:num w:numId="53" w16cid:durableId="1462773600">
    <w:abstractNumId w:val="46"/>
  </w:num>
  <w:num w:numId="54" w16cid:durableId="1767651075">
    <w:abstractNumId w:val="10"/>
  </w:num>
  <w:num w:numId="55" w16cid:durableId="1379890099">
    <w:abstractNumId w:val="47"/>
  </w:num>
  <w:num w:numId="56" w16cid:durableId="1667976629">
    <w:abstractNumId w:val="26"/>
  </w:num>
  <w:num w:numId="57" w16cid:durableId="732000072">
    <w:abstractNumId w:val="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87"/>
    <w:rsid w:val="00003297"/>
    <w:rsid w:val="00006C7C"/>
    <w:rsid w:val="00032519"/>
    <w:rsid w:val="000A7744"/>
    <w:rsid w:val="000E5176"/>
    <w:rsid w:val="000E7B79"/>
    <w:rsid w:val="000F192D"/>
    <w:rsid w:val="000F745E"/>
    <w:rsid w:val="001237AF"/>
    <w:rsid w:val="001323C6"/>
    <w:rsid w:val="00134DD5"/>
    <w:rsid w:val="001357D5"/>
    <w:rsid w:val="00142BBB"/>
    <w:rsid w:val="00146E37"/>
    <w:rsid w:val="00176FF4"/>
    <w:rsid w:val="0019191A"/>
    <w:rsid w:val="001B0727"/>
    <w:rsid w:val="001B4B5E"/>
    <w:rsid w:val="001C677C"/>
    <w:rsid w:val="001D2E14"/>
    <w:rsid w:val="00216C85"/>
    <w:rsid w:val="00252626"/>
    <w:rsid w:val="002557EF"/>
    <w:rsid w:val="00260869"/>
    <w:rsid w:val="002850D0"/>
    <w:rsid w:val="002A4FBC"/>
    <w:rsid w:val="002D0824"/>
    <w:rsid w:val="002D3062"/>
    <w:rsid w:val="003B68B4"/>
    <w:rsid w:val="003C2474"/>
    <w:rsid w:val="003C493F"/>
    <w:rsid w:val="003E4687"/>
    <w:rsid w:val="0042463D"/>
    <w:rsid w:val="00431F2E"/>
    <w:rsid w:val="004633EA"/>
    <w:rsid w:val="00473CF5"/>
    <w:rsid w:val="004862C6"/>
    <w:rsid w:val="0049305C"/>
    <w:rsid w:val="004953F8"/>
    <w:rsid w:val="004D5D99"/>
    <w:rsid w:val="00517BEC"/>
    <w:rsid w:val="005A1264"/>
    <w:rsid w:val="005F5E5A"/>
    <w:rsid w:val="005F6282"/>
    <w:rsid w:val="0061359C"/>
    <w:rsid w:val="00622E80"/>
    <w:rsid w:val="00635DA2"/>
    <w:rsid w:val="00686854"/>
    <w:rsid w:val="006B63F5"/>
    <w:rsid w:val="006D2CA7"/>
    <w:rsid w:val="00704033"/>
    <w:rsid w:val="007219FC"/>
    <w:rsid w:val="00761285"/>
    <w:rsid w:val="0076297F"/>
    <w:rsid w:val="00765EA4"/>
    <w:rsid w:val="007836AE"/>
    <w:rsid w:val="007B3119"/>
    <w:rsid w:val="007B5CF4"/>
    <w:rsid w:val="008037C0"/>
    <w:rsid w:val="00841121"/>
    <w:rsid w:val="00867820"/>
    <w:rsid w:val="008779CD"/>
    <w:rsid w:val="00883CCC"/>
    <w:rsid w:val="008E52D4"/>
    <w:rsid w:val="009279C3"/>
    <w:rsid w:val="009308D6"/>
    <w:rsid w:val="009843C6"/>
    <w:rsid w:val="00985D17"/>
    <w:rsid w:val="009A7576"/>
    <w:rsid w:val="009C453C"/>
    <w:rsid w:val="009C63F0"/>
    <w:rsid w:val="009E624D"/>
    <w:rsid w:val="00A12892"/>
    <w:rsid w:val="00A14306"/>
    <w:rsid w:val="00A22AF8"/>
    <w:rsid w:val="00A42EAF"/>
    <w:rsid w:val="00A72508"/>
    <w:rsid w:val="00AE2B54"/>
    <w:rsid w:val="00AE6F2E"/>
    <w:rsid w:val="00B24F25"/>
    <w:rsid w:val="00B32F7F"/>
    <w:rsid w:val="00B416DA"/>
    <w:rsid w:val="00BD7555"/>
    <w:rsid w:val="00C2012F"/>
    <w:rsid w:val="00C44996"/>
    <w:rsid w:val="00C71ECA"/>
    <w:rsid w:val="00C92123"/>
    <w:rsid w:val="00C97ECB"/>
    <w:rsid w:val="00CA64AF"/>
    <w:rsid w:val="00CB0D11"/>
    <w:rsid w:val="00CE2EB2"/>
    <w:rsid w:val="00D14C22"/>
    <w:rsid w:val="00D3533B"/>
    <w:rsid w:val="00D40C56"/>
    <w:rsid w:val="00D53D9A"/>
    <w:rsid w:val="00D55DB1"/>
    <w:rsid w:val="00D574A7"/>
    <w:rsid w:val="00D70671"/>
    <w:rsid w:val="00D920FB"/>
    <w:rsid w:val="00D9725F"/>
    <w:rsid w:val="00DA6A4F"/>
    <w:rsid w:val="00DB796C"/>
    <w:rsid w:val="00DC6942"/>
    <w:rsid w:val="00DC76CE"/>
    <w:rsid w:val="00E1406C"/>
    <w:rsid w:val="00E24AE6"/>
    <w:rsid w:val="00E30A7C"/>
    <w:rsid w:val="00E36B0D"/>
    <w:rsid w:val="00E40B0C"/>
    <w:rsid w:val="00EC0CCF"/>
    <w:rsid w:val="00ED630E"/>
    <w:rsid w:val="00EF6FAC"/>
    <w:rsid w:val="00F54F56"/>
    <w:rsid w:val="00F64BFD"/>
    <w:rsid w:val="00F65862"/>
    <w:rsid w:val="00FB00F3"/>
    <w:rsid w:val="00FB4C9B"/>
    <w:rsid w:val="00FB528C"/>
    <w:rsid w:val="00FC60E3"/>
    <w:rsid w:val="00FC7CB5"/>
    <w:rsid w:val="00FE3675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E4E8828"/>
  <w15:docId w15:val="{27A09AB8-91DB-4CC1-A0E9-7F5E7E31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FBC"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687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C7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DC76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76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DC76CE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630E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D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2679">
          <w:marLeft w:val="2535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874">
          <w:marLeft w:val="2535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60944">
          <w:marLeft w:val="253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1978">
          <w:marLeft w:val="25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8840">
          <w:marLeft w:val="2535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8967">
          <w:marLeft w:val="253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0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8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8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3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BenYoon</cp:lastModifiedBy>
  <cp:revision>3</cp:revision>
  <dcterms:created xsi:type="dcterms:W3CDTF">2022-04-25T00:40:00Z</dcterms:created>
  <dcterms:modified xsi:type="dcterms:W3CDTF">2022-04-25T00:41:00Z</dcterms:modified>
</cp:coreProperties>
</file>