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CA6" w:rsidRPr="003D1CA6" w:rsidRDefault="003D1CA6" w:rsidP="00873D4C">
      <w:pPr>
        <w:spacing w:after="0"/>
      </w:pPr>
      <w:r>
        <w:rPr>
          <w:b/>
        </w:rPr>
        <w:t>Directions:</w:t>
      </w:r>
      <w:r>
        <w:t xml:space="preserve"> Read the paragraph below</w:t>
      </w:r>
      <w:r w:rsidR="00FA29B4">
        <w:t>.  Write two conclusion sentences that could end the paragraph appropriately.  Be sure to use a different method for each conclusion sentence.</w:t>
      </w:r>
    </w:p>
    <w:p w:rsidR="00E511D7" w:rsidRDefault="00E511D7" w:rsidP="00873D4C">
      <w:pPr>
        <w:spacing w:after="0"/>
      </w:pPr>
    </w:p>
    <w:p w:rsidR="00E511D7" w:rsidRDefault="00E511D7" w:rsidP="00873D4C">
      <w:pPr>
        <w:spacing w:after="0"/>
      </w:pPr>
      <w:r>
        <w:t>The low-code move</w:t>
      </w:r>
      <w:r w:rsidR="003D1CA6">
        <w:t xml:space="preserve">ment can make complex programming tasks more available to people without a technical background.  Demand for people with technical skills has remained high, but there are not enough people with the desired skillsets.  Low-code platforms can help solve this problem.  </w:t>
      </w:r>
      <w:r w:rsidR="00EB4861">
        <w:t>These</w:t>
      </w:r>
      <w:r w:rsidR="003D1CA6">
        <w:t xml:space="preserve"> visual development tools reduce or completely remove the need for coding.  People without technical training can build simple applications quickly, without code.  Gartner Research (Vincent et al., 2019) predicts that 65% of application development will be done through low-code platforms.  The low-code movement has shown promise for building applications.  Businesses need to automate process</w:t>
      </w:r>
      <w:r w:rsidR="00EB4861">
        <w:t>es</w:t>
      </w:r>
      <w:r w:rsidR="003D1CA6">
        <w:t xml:space="preserve"> and develop apps for efficiency, but </w:t>
      </w:r>
      <w:r w:rsidR="00EB4861">
        <w:t>often</w:t>
      </w:r>
      <w:r w:rsidR="003D1CA6">
        <w:t xml:space="preserve">, the tasks are very specialized.  Den </w:t>
      </w:r>
      <w:proofErr w:type="spellStart"/>
      <w:r w:rsidR="003D1CA6">
        <w:t>Haan</w:t>
      </w:r>
      <w:proofErr w:type="spellEnd"/>
      <w:r w:rsidR="003D1CA6">
        <w:t xml:space="preserve"> (2020) noted that lo</w:t>
      </w:r>
      <w:r w:rsidR="00EB4861">
        <w:t>w-</w:t>
      </w:r>
      <w:r w:rsidR="003D1CA6">
        <w:t>co</w:t>
      </w:r>
      <w:r w:rsidR="00EB4861">
        <w:t>d</w:t>
      </w:r>
      <w:r w:rsidR="003D1CA6">
        <w:t xml:space="preserve">e lets business users create “departmental and functional applications on their own while still working under the governance and control of IT.”  </w:t>
      </w:r>
      <w:r w:rsidR="00EB4861">
        <w:t>People with expertise in their role</w:t>
      </w:r>
      <w:r w:rsidR="003D1CA6">
        <w:t xml:space="preserve"> can make their own programs based on what they know they need</w:t>
      </w:r>
      <w:r w:rsidR="00EB4861">
        <w:t xml:space="preserve"> as opposed to using generic ones</w:t>
      </w:r>
      <w:r w:rsidR="003D1CA6">
        <w:t xml:space="preserve">.  </w:t>
      </w:r>
      <w:r w:rsidR="00EB4861">
        <w:t>Furthermore, l</w:t>
      </w:r>
      <w:r w:rsidR="003D1CA6">
        <w:t xml:space="preserve">ow-code can support more access </w:t>
      </w:r>
      <w:r w:rsidR="00EB4861">
        <w:t>to</w:t>
      </w:r>
      <w:r w:rsidR="003D1CA6">
        <w:t xml:space="preserve"> data science.  </w:t>
      </w:r>
      <w:r w:rsidR="00EB4861">
        <w:t>T</w:t>
      </w:r>
      <w:r w:rsidR="003D1CA6">
        <w:t>raditionally</w:t>
      </w:r>
      <w:r w:rsidR="00EB4861">
        <w:t>, data science has</w:t>
      </w:r>
      <w:r w:rsidR="003D1CA6">
        <w:t xml:space="preserve"> been a difficult field to find “unicorn” candidates who know everything.  Low-code platforms, like </w:t>
      </w:r>
      <w:proofErr w:type="spellStart"/>
      <w:r w:rsidR="003D1CA6">
        <w:t>PyCaret</w:t>
      </w:r>
      <w:proofErr w:type="spellEnd"/>
      <w:r w:rsidR="003D1CA6">
        <w:t>, make machine learning and AI capabilities more accessible to novice</w:t>
      </w:r>
      <w:r w:rsidR="00EB4861">
        <w:t>s</w:t>
      </w:r>
      <w:r w:rsidR="003D1CA6">
        <w:t xml:space="preserve"> </w:t>
      </w:r>
      <w:r w:rsidR="00EB4861">
        <w:t xml:space="preserve">for </w:t>
      </w:r>
      <w:r w:rsidR="003D1CA6">
        <w:t>small</w:t>
      </w:r>
      <w:r w:rsidR="00EB4861">
        <w:t>er</w:t>
      </w:r>
      <w:r w:rsidR="003D1CA6">
        <w:t xml:space="preserve"> projects (</w:t>
      </w:r>
      <w:proofErr w:type="spellStart"/>
      <w:r w:rsidR="003D1CA6">
        <w:t>Woodie</w:t>
      </w:r>
      <w:proofErr w:type="spellEnd"/>
      <w:r w:rsidR="003D1CA6">
        <w:t>, 2020).  Increasing data literacy through experience with low-code platforms can improve business insights and decision-making.</w:t>
      </w:r>
      <w:r w:rsidR="000F1BFE">
        <w:t xml:space="preserve"> </w:t>
      </w:r>
      <w:r w:rsidR="000F1BFE" w:rsidRPr="000F1BFE">
        <w:rPr>
          <w:b/>
        </w:rPr>
        <w:t>[Conclusion Sentence</w:t>
      </w:r>
      <w:r w:rsidR="000F1BFE">
        <w:rPr>
          <w:b/>
        </w:rPr>
        <w:t xml:space="preserve"> Goes Here</w:t>
      </w:r>
      <w:r w:rsidR="000F1BFE" w:rsidRPr="000F1BFE">
        <w:rPr>
          <w:b/>
        </w:rPr>
        <w:t>]</w:t>
      </w:r>
    </w:p>
    <w:p w:rsidR="003D1CA6" w:rsidRDefault="003D1CA6" w:rsidP="00873D4C">
      <w:pPr>
        <w:spacing w:after="0"/>
      </w:pPr>
    </w:p>
    <w:tbl>
      <w:tblPr>
        <w:tblStyle w:val="TableGrid"/>
        <w:tblW w:w="0" w:type="auto"/>
        <w:tblLook w:val="04A0" w:firstRow="1" w:lastRow="0" w:firstColumn="1" w:lastColumn="0" w:noHBand="0" w:noVBand="1"/>
      </w:tblPr>
      <w:tblGrid>
        <w:gridCol w:w="9350"/>
      </w:tblGrid>
      <w:tr w:rsidR="000F1BFE" w:rsidTr="000F1BFE">
        <w:tc>
          <w:tcPr>
            <w:tcW w:w="9350" w:type="dxa"/>
            <w:shd w:val="clear" w:color="auto" w:fill="BFBFBF" w:themeFill="background1" w:themeFillShade="BF"/>
          </w:tcPr>
          <w:p w:rsidR="000F1BFE" w:rsidRDefault="000F1BFE" w:rsidP="000F1BFE">
            <w:pPr>
              <w:rPr>
                <w:b/>
              </w:rPr>
            </w:pPr>
            <w:r w:rsidRPr="003D1CA6">
              <w:rPr>
                <w:b/>
              </w:rPr>
              <w:t>Conclusion Sentence</w:t>
            </w:r>
            <w:r>
              <w:rPr>
                <w:b/>
              </w:rPr>
              <w:t xml:space="preserve"> 1</w:t>
            </w:r>
            <w:r w:rsidRPr="003D1CA6">
              <w:rPr>
                <w:b/>
              </w:rPr>
              <w:t>:</w:t>
            </w:r>
            <w:r>
              <w:t xml:space="preserve"> </w:t>
            </w:r>
          </w:p>
        </w:tc>
      </w:tr>
      <w:tr w:rsidR="000F1BFE" w:rsidTr="000F1BFE">
        <w:trPr>
          <w:trHeight w:val="755"/>
        </w:trPr>
        <w:tc>
          <w:tcPr>
            <w:tcW w:w="9350" w:type="dxa"/>
          </w:tcPr>
          <w:p w:rsidR="000F1BFE" w:rsidRDefault="000F1BFE" w:rsidP="00873D4C">
            <w:pPr>
              <w:rPr>
                <w:b/>
              </w:rPr>
            </w:pPr>
          </w:p>
        </w:tc>
      </w:tr>
      <w:tr w:rsidR="000F1BFE" w:rsidTr="000F1BFE">
        <w:tc>
          <w:tcPr>
            <w:tcW w:w="9350" w:type="dxa"/>
            <w:shd w:val="clear" w:color="auto" w:fill="BFBFBF" w:themeFill="background1" w:themeFillShade="BF"/>
          </w:tcPr>
          <w:p w:rsidR="000F1BFE" w:rsidRDefault="000F1BFE" w:rsidP="000F1BFE">
            <w:pPr>
              <w:rPr>
                <w:b/>
              </w:rPr>
            </w:pPr>
            <w:r w:rsidRPr="003D1CA6">
              <w:rPr>
                <w:b/>
              </w:rPr>
              <w:t>Conclusion Sentence</w:t>
            </w:r>
            <w:r>
              <w:rPr>
                <w:b/>
              </w:rPr>
              <w:t xml:space="preserve"> 2</w:t>
            </w:r>
            <w:r w:rsidRPr="003D1CA6">
              <w:rPr>
                <w:b/>
              </w:rPr>
              <w:t>:</w:t>
            </w:r>
            <w:r>
              <w:t xml:space="preserve"> </w:t>
            </w:r>
          </w:p>
        </w:tc>
      </w:tr>
      <w:tr w:rsidR="000F1BFE" w:rsidTr="000F1BFE">
        <w:trPr>
          <w:trHeight w:val="791"/>
        </w:trPr>
        <w:tc>
          <w:tcPr>
            <w:tcW w:w="9350" w:type="dxa"/>
          </w:tcPr>
          <w:p w:rsidR="000F1BFE" w:rsidRDefault="000F1BFE" w:rsidP="00873D4C">
            <w:pPr>
              <w:rPr>
                <w:b/>
              </w:rPr>
            </w:pPr>
          </w:p>
        </w:tc>
      </w:tr>
    </w:tbl>
    <w:p w:rsidR="00E511D7" w:rsidRDefault="00E511D7" w:rsidP="00873D4C">
      <w:pPr>
        <w:spacing w:after="0"/>
      </w:pPr>
    </w:p>
    <w:p w:rsidR="00506E4D" w:rsidRDefault="00506E4D" w:rsidP="00873D4C">
      <w:pPr>
        <w:spacing w:after="0"/>
      </w:pPr>
      <w:bookmarkStart w:id="0" w:name="_GoBack"/>
      <w:bookmarkEnd w:id="0"/>
    </w:p>
    <w:p w:rsidR="00506E4D" w:rsidRDefault="00506E4D" w:rsidP="00873D4C">
      <w:pPr>
        <w:spacing w:after="0"/>
      </w:pPr>
    </w:p>
    <w:p w:rsidR="000F1BFE" w:rsidRPr="000F1BFE" w:rsidRDefault="000F1BFE" w:rsidP="00873D4C">
      <w:pPr>
        <w:spacing w:after="0"/>
      </w:pPr>
      <w:r>
        <w:rPr>
          <w:b/>
        </w:rPr>
        <w:t>Sources</w:t>
      </w:r>
    </w:p>
    <w:p w:rsidR="00506E4D" w:rsidRDefault="00506E4D" w:rsidP="00873D4C">
      <w:pPr>
        <w:spacing w:after="0"/>
      </w:pPr>
      <w:r>
        <w:t xml:space="preserve">Den </w:t>
      </w:r>
      <w:proofErr w:type="spellStart"/>
      <w:r>
        <w:t>Haan</w:t>
      </w:r>
      <w:proofErr w:type="spellEnd"/>
      <w:r>
        <w:t xml:space="preserve">, J. (2020, September 2). The low-code movement has shifted into high gear - - and you can, </w:t>
      </w:r>
    </w:p>
    <w:p w:rsidR="00506E4D" w:rsidRDefault="00506E4D" w:rsidP="00506E4D">
      <w:pPr>
        <w:spacing w:after="0"/>
        <w:ind w:firstLine="720"/>
      </w:pPr>
      <w:proofErr w:type="gramStart"/>
      <w:r>
        <w:t>too</w:t>
      </w:r>
      <w:proofErr w:type="gramEnd"/>
      <w:r>
        <w:t xml:space="preserve">. </w:t>
      </w:r>
      <w:r>
        <w:rPr>
          <w:i/>
        </w:rPr>
        <w:t>Forbes</w:t>
      </w:r>
      <w:r>
        <w:t xml:space="preserve">. </w:t>
      </w:r>
      <w:hyperlink r:id="rId5" w:history="1">
        <w:r w:rsidRPr="00A071BB">
          <w:rPr>
            <w:rStyle w:val="Hyperlink"/>
          </w:rPr>
          <w:t>https://www.forbes.com/sites/forbestechcouncil/2020/09/02/the-low-code-</w:t>
        </w:r>
      </w:hyperlink>
    </w:p>
    <w:p w:rsidR="00506E4D" w:rsidRPr="00506E4D" w:rsidRDefault="00506E4D" w:rsidP="00506E4D">
      <w:pPr>
        <w:spacing w:after="0"/>
        <w:ind w:left="720"/>
      </w:pPr>
      <w:proofErr w:type="gramStart"/>
      <w:r w:rsidRPr="00506E4D">
        <w:t>movement-has-shifted-into-high-gearand-you-can-too</w:t>
      </w:r>
      <w:proofErr w:type="gramEnd"/>
      <w:r w:rsidRPr="00506E4D">
        <w:t>/?sh=63aa5bc776b8</w:t>
      </w:r>
    </w:p>
    <w:p w:rsidR="00506E4D" w:rsidRDefault="00506E4D" w:rsidP="00873D4C">
      <w:pPr>
        <w:spacing w:after="0"/>
      </w:pPr>
    </w:p>
    <w:p w:rsidR="00506E4D" w:rsidRDefault="00506E4D" w:rsidP="00873D4C">
      <w:pPr>
        <w:spacing w:after="0"/>
      </w:pPr>
      <w:r>
        <w:t xml:space="preserve">Vincent, P., </w:t>
      </w:r>
      <w:proofErr w:type="spellStart"/>
      <w:r>
        <w:t>Iijima</w:t>
      </w:r>
      <w:proofErr w:type="spellEnd"/>
      <w:r>
        <w:t xml:space="preserve">, K., Driver, M., Wong, J., and </w:t>
      </w:r>
      <w:proofErr w:type="spellStart"/>
      <w:r>
        <w:t>Natis</w:t>
      </w:r>
      <w:proofErr w:type="spellEnd"/>
      <w:r>
        <w:t xml:space="preserve">, Y. (2019, August 8). Magic quadrant for enterprise </w:t>
      </w:r>
    </w:p>
    <w:p w:rsidR="00506E4D" w:rsidRDefault="00506E4D" w:rsidP="00506E4D">
      <w:pPr>
        <w:spacing w:after="0"/>
        <w:ind w:firstLine="720"/>
      </w:pPr>
      <w:proofErr w:type="gramStart"/>
      <w:r>
        <w:t>low-code</w:t>
      </w:r>
      <w:proofErr w:type="gramEnd"/>
      <w:r>
        <w:t xml:space="preserve"> application platforms. </w:t>
      </w:r>
      <w:r>
        <w:rPr>
          <w:i/>
        </w:rPr>
        <w:t>Gartner</w:t>
      </w:r>
      <w:r>
        <w:t xml:space="preserve">. </w:t>
      </w:r>
    </w:p>
    <w:p w:rsidR="00506E4D" w:rsidRPr="00506E4D" w:rsidRDefault="00506E4D" w:rsidP="00506E4D">
      <w:pPr>
        <w:spacing w:after="0"/>
        <w:ind w:left="720"/>
      </w:pPr>
      <w:r w:rsidRPr="00506E4D">
        <w:t>https://b2bsalescafe.files.wordpress.com/2019/09/gartner-magic-quadrant-for-enterprise-low-code-application-platforms-august-2019.pdf</w:t>
      </w:r>
    </w:p>
    <w:p w:rsidR="00506E4D" w:rsidRDefault="00506E4D" w:rsidP="00873D4C">
      <w:pPr>
        <w:spacing w:after="0"/>
      </w:pPr>
    </w:p>
    <w:p w:rsidR="00506E4D" w:rsidRDefault="00506E4D" w:rsidP="00873D4C">
      <w:pPr>
        <w:spacing w:after="0"/>
      </w:pPr>
      <w:proofErr w:type="spellStart"/>
      <w:r>
        <w:t>Woodie</w:t>
      </w:r>
      <w:proofErr w:type="spellEnd"/>
      <w:r>
        <w:t xml:space="preserve">, A. (2020, September 2). Low-code can lower the barrier to entry for AI. </w:t>
      </w:r>
      <w:proofErr w:type="spellStart"/>
      <w:r w:rsidRPr="00506E4D">
        <w:rPr>
          <w:i/>
        </w:rPr>
        <w:t>Datanami</w:t>
      </w:r>
      <w:proofErr w:type="spellEnd"/>
      <w:r>
        <w:t xml:space="preserve">. </w:t>
      </w:r>
    </w:p>
    <w:p w:rsidR="00506E4D" w:rsidRDefault="00506E4D" w:rsidP="00506E4D">
      <w:pPr>
        <w:spacing w:after="0"/>
        <w:ind w:firstLine="720"/>
      </w:pPr>
      <w:r>
        <w:t>h</w:t>
      </w:r>
      <w:r w:rsidRPr="00506E4D">
        <w:t>ttps://www.datanami.com/2020/09/02/low-code-can-lower-the-barrier-to-entry-for-ai/</w:t>
      </w:r>
    </w:p>
    <w:sectPr w:rsidR="0050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5C"/>
    <w:multiLevelType w:val="hybridMultilevel"/>
    <w:tmpl w:val="CE5A0B94"/>
    <w:lvl w:ilvl="0" w:tplc="B3B00BF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E06E2"/>
    <w:multiLevelType w:val="hybridMultilevel"/>
    <w:tmpl w:val="BE622D08"/>
    <w:lvl w:ilvl="0" w:tplc="D91EF3D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4C"/>
    <w:rsid w:val="000F1BFE"/>
    <w:rsid w:val="003D1CA6"/>
    <w:rsid w:val="00506E4D"/>
    <w:rsid w:val="005E603D"/>
    <w:rsid w:val="00873D4C"/>
    <w:rsid w:val="00E511D7"/>
    <w:rsid w:val="00EB4861"/>
    <w:rsid w:val="00FA2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EBE0"/>
  <w15:chartTrackingRefBased/>
  <w15:docId w15:val="{8A33B342-DD61-4015-ABDE-B8A6BBC5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4C"/>
    <w:pPr>
      <w:ind w:left="720"/>
      <w:contextualSpacing/>
    </w:pPr>
  </w:style>
  <w:style w:type="character" w:styleId="Hyperlink">
    <w:name w:val="Hyperlink"/>
    <w:basedOn w:val="DefaultParagraphFont"/>
    <w:uiPriority w:val="99"/>
    <w:unhideWhenUsed/>
    <w:rsid w:val="00506E4D"/>
    <w:rPr>
      <w:color w:val="0563C1" w:themeColor="hyperlink"/>
      <w:u w:val="single"/>
    </w:rPr>
  </w:style>
  <w:style w:type="table" w:styleId="TableGrid">
    <w:name w:val="Table Grid"/>
    <w:basedOn w:val="TableNormal"/>
    <w:uiPriority w:val="39"/>
    <w:rsid w:val="000F1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forbestechcouncil/2020/09/02/the-low-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4</cp:revision>
  <dcterms:created xsi:type="dcterms:W3CDTF">2021-02-15T12:44:00Z</dcterms:created>
  <dcterms:modified xsi:type="dcterms:W3CDTF">2021-02-15T13:07:00Z</dcterms:modified>
</cp:coreProperties>
</file>