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D7DD2"/>
          <w:sz w:val="64"/>
          <w:szCs w:val="64"/>
        </w:rPr>
        <w:t xml:space="preserve">I</w:t>
      </w:r>
      <w:r>
        <w:rPr>
          <w:rFonts w:ascii="Calibri" w:cs="Calibri" w:eastAsia="Calibri" w:hAnsi="Calibri"/>
          <w:b/>
          <w:bCs/>
          <w:color w:val="1E2A38"/>
          <w:sz w:val="64"/>
          <w:szCs w:val="64"/>
        </w:rPr>
        <w:t xml:space="preserve">NeedACISO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FB3D3"/>
          <w:sz w:val="24"/>
          <w:szCs w:val="24"/>
        </w:rPr>
        <w:t xml:space="preserve">Security Leadership for Organizations Without a Security Team</w:t>
      </w:r>
    </w:p>
    <w:p>
      <w:pPr>
        <w:pBdr>
          <w:bottom w:val="single" w:color="2D7DD2" w:sz="8"/>
        </w:pBdr>
        <w:spacing w:after="100" w:before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2A38"/>
          <w:spacing w:val="60"/>
          <w:sz w:val="52"/>
          <w:szCs w:val="52"/>
        </w:rPr>
        <w:t xml:space="preserve">SCOPE OF SERVICES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A5568"/>
          <w:sz w:val="30"/>
          <w:szCs w:val="30"/>
        </w:rPr>
        <w:t xml:space="preserve">Virtual CISO &amp; Cybersecurity Advisory</w:t>
      </w:r>
    </w:p>
    <w:p>
      <w:pPr>
        <w:spacing w:after="0" w:before="40"/>
      </w:pPr>
    </w:p>
    <w:tbl>
      <w:tblPr>
        <w:tblW w:type="dxa" w:w="10080"/>
        <w:tblBorders>
          <w:top w:val="none"/>
          <w:left w:val="single" w:color="2D7DD2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DD2"/>
                <w:spacing w:val="30"/>
                <w:sz w:val="18"/>
                <w:szCs w:val="18"/>
              </w:rPr>
              <w:t xml:space="preserve">Prepared for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A38"/>
                <w:sz w:val="22"/>
                <w:szCs w:val="22"/>
              </w:rPr>
              <w:t xml:space="preserve">_________________________________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2D7DD2"/>
                <w:spacing w:val="30"/>
                <w:sz w:val="18"/>
                <w:szCs w:val="18"/>
              </w:rPr>
              <w:t xml:space="preserve">Date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A38"/>
                <w:sz w:val="22"/>
                <w:szCs w:val="22"/>
              </w:rPr>
              <w:t xml:space="preserve">_________________________________</w:t>
            </w:r>
          </w:p>
        </w:tc>
      </w:tr>
    </w:tbl>
    <w:p>
      <w:pPr>
        <w:spacing w:after="0" w:before="20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D7DD2"/>
          <w:spacing w:val="40"/>
          <w:sz w:val="18"/>
          <w:szCs w:val="18"/>
        </w:rPr>
        <w:t xml:space="preserve">ABOUT INEEDACISO</w:t>
      </w:r>
    </w:p>
    <w:p>
      <w:pPr>
        <w:pStyle w:val="Heading2"/>
        <w:spacing w:after="80" w:before="60"/>
      </w:pPr>
      <w:r>
        <w:rPr>
          <w:rFonts w:ascii="Calibri" w:cs="Calibri" w:eastAsia="Calibri" w:hAnsi="Calibri"/>
          <w:b/>
          <w:bCs/>
          <w:color w:val="1E2A38"/>
          <w:sz w:val="30"/>
          <w:szCs w:val="30"/>
        </w:rPr>
        <w:t xml:space="preserve">CISO-Level Security Leadership — Without the Enterprise Price Tag</w:t>
      </w:r>
    </w:p>
    <w:p>
      <w:pPr>
        <w:pBdr>
          <w:bottom w:val="single" w:color="2D7DD2" w:sz="8"/>
        </w:pBdr>
        <w:spacing w:after="100" w:before="6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INeedACISO provides virtual Chief Information Security Officer (vCISO) services to small and mid-size organizations that need executive-level security leadership but are not ready for — or do not require — a full-time hire.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Our engagements are led by a security executive with nearly 30 years of experience across network engineering, security operations, incident response, compliance program development, and C-suite advisory. We have served as Deputy CISO at a 50-state mortgage lender managing $30 billion in loan volume, and as virtual CISO to seven organizations simultaneously across NIST, ISO 27001, SOC 2, HIPAA, GLBA, and CMMC.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504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Experience Highlights</w:t>
            </w:r>
          </w:p>
        </w:tc>
      </w:tr>
      <w:tr>
        <w:tc>
          <w:tcPr>
            <w:tcW w:type="dxa" w:w="50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CISSP — Certified Information Systems Security Professional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CISA — Certified Information Systems Auditor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GSLC — GIAC Security Leadership Certification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US Marine Corps Veteran</w:t>
            </w:r>
          </w:p>
        </w:tc>
        <w:tc>
          <w:tcPr>
            <w:tcW w:type="dxa" w:w="50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Nearly 30 years in information security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Deputy CISO — $30B mortgage lender, 750K+ customers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vCISO to 7 organizations simultaneously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Breach response, compliance, SOC build-out</w:t>
            </w:r>
          </w:p>
        </w:tc>
      </w:tr>
    </w:tbl>
    <w:p>
      <w:pPr>
        <w:spacing w:after="0" w:before="12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D7DD2"/>
          <w:spacing w:val="40"/>
          <w:sz w:val="18"/>
          <w:szCs w:val="18"/>
        </w:rPr>
        <w:t xml:space="preserve">ENGAGEMENT MODELS</w:t>
      </w:r>
    </w:p>
    <w:p>
      <w:pPr>
        <w:pStyle w:val="Heading2"/>
        <w:spacing w:after="80" w:before="60"/>
      </w:pPr>
      <w:r>
        <w:rPr>
          <w:rFonts w:ascii="Calibri" w:cs="Calibri" w:eastAsia="Calibri" w:hAnsi="Calibri"/>
          <w:b/>
          <w:bCs/>
          <w:color w:val="1E2A38"/>
          <w:sz w:val="30"/>
          <w:szCs w:val="30"/>
        </w:rPr>
        <w:t xml:space="preserve">Three Ways to Work Together</w:t>
      </w:r>
    </w:p>
    <w:p>
      <w:pPr>
        <w:pBdr>
          <w:bottom w:val="single" w:color="2D7DD2" w:sz="8"/>
        </w:pBdr>
        <w:spacing w:after="100" w:before="6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Every client engagement is scoped to the organization's specific needs, regulatory obligations, and security maturity. We offer three primary engagement structures:</w:t>
      </w:r>
    </w:p>
    <w:p>
      <w:pPr>
        <w:spacing w:after="0" w:before="8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9800"/>
            <w:tcBorders>
              <w:top w:val="none"/>
              <w:left w:val="none"/>
              <w:bottom w:val="none"/>
              <w:right w:val="none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6"/>
                <w:szCs w:val="26"/>
              </w:rPr>
              <w:t xml:space="preserve">Monthly Retainer — Ongoing Virtual CISO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Ongoing fractional CISO engagement for organizations that need consistent security leadership, program oversight, and executive-level decision support.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$5,000 – $12,000 / month  ·  Month-to-month, no long-term commitment required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Included</w:t>
            </w:r>
          </w:p>
        </w:tc>
        <w:tc>
          <w:tcPr>
            <w:tcW w:type="dxa" w:w="504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Ideal For</w:t>
            </w:r>
          </w:p>
        </w:tc>
      </w:tr>
      <w:tr>
        <w:tc>
          <w:tcPr>
            <w:tcW w:type="dxa" w:w="50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Security program oversight and governance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Monthly executive security briefing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Policy development and maintenance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Vendor security review and oversight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Compliance program management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Incident response planning and support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Security awareness program guidance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Email and phone access to your vCISO</w:t>
            </w:r>
          </w:p>
        </w:tc>
        <w:tc>
          <w:tcPr>
            <w:tcW w:type="dxa" w:w="50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SaaS companies pursuing SOC 2 Type II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Financial services firms under GLBA Safeguards Rule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Organizations with ongoing compliance obligations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Companies that have outgrown informal security programs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Post-incident organizations rebuilding their program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9800"/>
            <w:tcBorders>
              <w:top w:val="none"/>
              <w:left w:val="none"/>
              <w:bottom w:val="none"/>
              <w:right w:val="none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6"/>
                <w:szCs w:val="26"/>
              </w:rPr>
              <w:t xml:space="preserve">Project-Based Engagement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Scoped, time-bound engagements for organizations with a specific deliverable — a gap assessment, compliance readiness project, policy suite, or audit preparation sprint.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$5,000 – $25,000 / project  ·  Fixed scope, fixed fee, defined deliverables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4536"/>
        <w:gridCol w:w="2016"/>
      </w:tblGrid>
      <w:tr>
        <w:tc>
          <w:tcPr>
            <w:tcW w:type="dxa" w:w="3528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4536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016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Typical Fee</w:t>
            </w:r>
          </w:p>
        </w:tc>
      </w:tr>
      <w:tr>
        <w:tc>
          <w:tcPr>
            <w:tcW w:type="dxa" w:w="352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Security Gap Assessment</w:t>
            </w:r>
          </w:p>
        </w:tc>
        <w:tc>
          <w:tcPr>
            <w:tcW w:type="dxa" w:w="453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Current state analysis, risk-ranked findings, remediation roadmap</w:t>
            </w:r>
          </w:p>
        </w:tc>
        <w:tc>
          <w:tcPr>
            <w:tcW w:type="dxa" w:w="201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$5,000 – $8,000</w:t>
            </w:r>
          </w:p>
        </w:tc>
      </w:tr>
      <w:tr>
        <w:tc>
          <w:tcPr>
            <w:tcW w:type="dxa" w:w="352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SOC 2 Readiness</w:t>
            </w:r>
          </w:p>
        </w:tc>
        <w:tc>
          <w:tcPr>
            <w:tcW w:type="dxa" w:w="453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Gap analysis, control mapping, policy suite, evidence preparation, auditor-ready documentation</w:t>
            </w:r>
          </w:p>
        </w:tc>
        <w:tc>
          <w:tcPr>
            <w:tcW w:type="dxa" w:w="201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$12,000 – $20,000</w:t>
            </w:r>
          </w:p>
        </w:tc>
      </w:tr>
      <w:tr>
        <w:tc>
          <w:tcPr>
            <w:tcW w:type="dxa" w:w="352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GLBA Safeguards Rule Compliance</w:t>
            </w:r>
          </w:p>
        </w:tc>
        <w:tc>
          <w:tcPr>
            <w:tcW w:type="dxa" w:w="453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Written Information Security Plan, risk assessment, service provider oversight program</w:t>
            </w:r>
          </w:p>
        </w:tc>
        <w:tc>
          <w:tcPr>
            <w:tcW w:type="dxa" w:w="201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$8,000 – $15,000</w:t>
            </w:r>
          </w:p>
        </w:tc>
      </w:tr>
      <w:tr>
        <w:tc>
          <w:tcPr>
            <w:tcW w:type="dxa" w:w="352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Policy Suite Development</w:t>
            </w:r>
          </w:p>
        </w:tc>
        <w:tc>
          <w:tcPr>
            <w:tcW w:type="dxa" w:w="453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Complete information security policy library — 8–12 policies tailored to your environment</w:t>
            </w:r>
          </w:p>
        </w:tc>
        <w:tc>
          <w:tcPr>
            <w:tcW w:type="dxa" w:w="201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$6,000 – $10,000</w:t>
            </w:r>
          </w:p>
        </w:tc>
      </w:tr>
      <w:tr>
        <w:tc>
          <w:tcPr>
            <w:tcW w:type="dxa" w:w="352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Audit Preparation Sprint</w:t>
            </w:r>
          </w:p>
        </w:tc>
        <w:tc>
          <w:tcPr>
            <w:tcW w:type="dxa" w:w="453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90-day readiness program, evidence folder, mock audit walkthrough</w:t>
            </w:r>
          </w:p>
        </w:tc>
        <w:tc>
          <w:tcPr>
            <w:tcW w:type="dxa" w:w="201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$10,000 – $18,000</w:t>
            </w:r>
          </w:p>
        </w:tc>
      </w:tr>
      <w:tr>
        <w:tc>
          <w:tcPr>
            <w:tcW w:type="dxa" w:w="352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Incident Response Planning</w:t>
            </w:r>
          </w:p>
        </w:tc>
        <w:tc>
          <w:tcPr>
            <w:tcW w:type="dxa" w:w="453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IR plan, playbooks, tabletop exercise, contact list, breach notification templates</w:t>
            </w:r>
          </w:p>
        </w:tc>
        <w:tc>
          <w:tcPr>
            <w:tcW w:type="dxa" w:w="201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$5,000 – $8,000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9800"/>
            <w:tcBorders>
              <w:top w:val="none"/>
              <w:left w:val="none"/>
              <w:bottom w:val="none"/>
              <w:right w:val="none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6"/>
                <w:szCs w:val="26"/>
              </w:rPr>
              <w:t xml:space="preserve">Light Advisory — Monthly Access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On-demand security advisory access for organizations that need a trusted expert available — without the scope of a full vCISO engagement. Ideal for organizations that have a functioning program but need a senior resource to pressure-test decisions and respond to emerging issues.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2D7DD2"/>
                <w:sz w:val="20"/>
                <w:szCs w:val="20"/>
              </w:rPr>
              <w:t xml:space="preserve">$2,000 – $3,500 / month  ·  Month-to-month, cancel anytime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What's Included</w:t>
            </w:r>
          </w:p>
        </w:tc>
        <w:tc>
          <w:tcPr>
            <w:tcW w:type="dxa" w:w="504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Ideal For</w:t>
            </w:r>
          </w:p>
        </w:tc>
      </w:tr>
      <w:tr>
        <w:tc>
          <w:tcPr>
            <w:tcW w:type="dxa" w:w="50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One 60-minute advisory call per 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Email access for time-sensitive questions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Document review (policy, vendor agreements, RFPs)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Priority access during security incidents</w:t>
            </w:r>
          </w:p>
        </w:tc>
        <w:tc>
          <w:tcPr>
            <w:tcW w:type="dxa" w:w="50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Startups and early-stage companies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Organizations between projects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Companies that just completed a compliance project and need ongoing oversight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Businesses that want a senior resource available without full retainer cost</w:t>
            </w:r>
          </w:p>
        </w:tc>
      </w:tr>
    </w:tbl>
    <w:p>
      <w:pPr>
        <w:spacing w:after="0" w:before="12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D7DD2"/>
          <w:spacing w:val="40"/>
          <w:sz w:val="18"/>
          <w:szCs w:val="18"/>
        </w:rPr>
        <w:t xml:space="preserve">FRAMEWORK EXPERIENCE</w:t>
      </w:r>
    </w:p>
    <w:p>
      <w:pPr>
        <w:pStyle w:val="Heading2"/>
        <w:spacing w:after="80" w:before="60"/>
      </w:pPr>
      <w:r>
        <w:rPr>
          <w:rFonts w:ascii="Calibri" w:cs="Calibri" w:eastAsia="Calibri" w:hAnsi="Calibri"/>
          <w:b/>
          <w:bCs/>
          <w:color w:val="1E2A38"/>
          <w:sz w:val="30"/>
          <w:szCs w:val="30"/>
        </w:rPr>
        <w:t xml:space="preserve">Regulatory Frameworks We Work In</w:t>
      </w:r>
    </w:p>
    <w:p>
      <w:pPr>
        <w:pBdr>
          <w:bottom w:val="single" w:color="2D7DD2" w:sz="8"/>
        </w:pBdr>
        <w:spacing w:after="100" w:before="6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Our engagements span the full range of compliance frameworks relevant to small and mid-size businesses in regulated industries. We have implemented, assessed, and managed programs under: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E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SOC 2 Type I &amp; II</w:t>
            </w:r>
          </w:p>
        </w:tc>
        <w:tc>
          <w:tcPr>
            <w:tcW w:type="dxa" w:w="7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System and Organization Controls — independent audit of security, availability, processing integrity, confidentiality, and privacy controls. Critical for SaaS companies, MSPs, and service businesses serving enterprise clients.</w:t>
            </w:r>
          </w:p>
        </w:tc>
      </w:tr>
      <w:tr>
        <w:tc>
          <w:tcPr>
            <w:tcW w:type="dxa" w:w="25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GLBA / FTC Safeguards Rule</w:t>
            </w:r>
          </w:p>
        </w:tc>
        <w:tc>
          <w:tcPr>
            <w:tcW w:type="dxa" w:w="7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Gramm-Leach-Bliley Act and the updated 2023 FTC Safeguards Rule — mandatory for mortgage brokers, tax preparers, insurance agents, financial planners, auto dealers, and other financial service providers.</w:t>
            </w:r>
          </w:p>
        </w:tc>
      </w:tr>
      <w:tr>
        <w:tc>
          <w:tcPr>
            <w:tcW w:type="dxa" w:w="25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E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HIPAA</w:t>
            </w:r>
          </w:p>
        </w:tc>
        <w:tc>
          <w:tcPr>
            <w:tcW w:type="dxa" w:w="7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Health Insurance Portability and Accountability Act — Security Rule and Privacy Rule compliance for covered entities and business associates handling protected health information.</w:t>
            </w:r>
          </w:p>
        </w:tc>
      </w:tr>
      <w:tr>
        <w:tc>
          <w:tcPr>
            <w:tcW w:type="dxa" w:w="25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PCI-DSS</w:t>
            </w:r>
          </w:p>
        </w:tc>
        <w:tc>
          <w:tcPr>
            <w:tcW w:type="dxa" w:w="7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Payment Card Industry Data Security Standard — applicable to any organization that stores, processes, or transmits cardholder data, regardless of size or transaction volume.</w:t>
            </w:r>
          </w:p>
        </w:tc>
      </w:tr>
      <w:tr>
        <w:tc>
          <w:tcPr>
            <w:tcW w:type="dxa" w:w="25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E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CMMC</w:t>
            </w:r>
          </w:p>
        </w:tc>
        <w:tc>
          <w:tcPr>
            <w:tcW w:type="dxa" w:w="7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Cybersecurity Maturity Model Certification — mandatory for defense contractors and subcontractors in the DoD supply chain handling Controlled Unclassified Information.</w:t>
            </w:r>
          </w:p>
        </w:tc>
      </w:tr>
      <w:tr>
        <w:tc>
          <w:tcPr>
            <w:tcW w:type="dxa" w:w="25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NIST CSF &amp; SP 800-171</w:t>
            </w:r>
          </w:p>
        </w:tc>
        <w:tc>
          <w:tcPr>
            <w:tcW w:type="dxa" w:w="7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NIST Cybersecurity Framework and Special Publication 800-171 — widely adopted as baseline security programs and required for organizations handling federal contract information.</w:t>
            </w:r>
          </w:p>
        </w:tc>
      </w:tr>
      <w:tr>
        <w:tc>
          <w:tcPr>
            <w:tcW w:type="dxa" w:w="25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E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GDPR / CCPA / State Privacy Laws</w:t>
            </w:r>
          </w:p>
        </w:tc>
        <w:tc>
          <w:tcPr>
            <w:tcW w:type="dxa" w:w="7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General Data Protection Regulation, California Consumer Privacy Act, and the growing patchwork of US state privacy regulations applicable to organizations collecting personal data from covered residents.</w:t>
            </w:r>
          </w:p>
        </w:tc>
      </w:tr>
    </w:tbl>
    <w:p>
      <w:pPr>
        <w:spacing w:after="0" w:before="12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D7DD2"/>
          <w:spacing w:val="40"/>
          <w:sz w:val="18"/>
          <w:szCs w:val="18"/>
        </w:rPr>
        <w:t xml:space="preserve">HOW IT WORKS</w:t>
      </w:r>
    </w:p>
    <w:p>
      <w:pPr>
        <w:pStyle w:val="Heading2"/>
        <w:spacing w:after="80" w:before="60"/>
      </w:pPr>
      <w:r>
        <w:rPr>
          <w:rFonts w:ascii="Calibri" w:cs="Calibri" w:eastAsia="Calibri" w:hAnsi="Calibri"/>
          <w:b/>
          <w:bCs/>
          <w:color w:val="1E2A38"/>
          <w:sz w:val="30"/>
          <w:szCs w:val="30"/>
        </w:rPr>
        <w:t xml:space="preserve">From Discovery to Engagement</w:t>
      </w:r>
    </w:p>
    <w:p>
      <w:pPr>
        <w:pBdr>
          <w:bottom w:val="single" w:color="2D7DD2" w:sz="8"/>
        </w:pBdr>
        <w:spacing w:after="100" w:before="6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Every engagement begins with a complimentary 30-minute discovery call to understand your current security posture, regulatory obligations, and near-term priorities. We do not sell from this call — we listen, assess, and provide a clear recommendation.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252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252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2520"/>
            <w:tcBorders>
              <w:top w:val="single" w:color="1E2A38" w:sz="4"/>
              <w:left w:val="single" w:color="1E2A38" w:sz="4"/>
              <w:bottom w:val="single" w:color="1E2A38" w:sz="4"/>
              <w:right w:val="single" w:color="1E2A38" w:sz="4"/>
            </w:tcBorders>
            <w:shd w:fill="1E2A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</w:tr>
      <w:tr>
        <w:tc>
          <w:tcPr>
            <w:tcW w:type="dxa" w:w="2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Discovery Call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30-minute complimentary call. No pitch. We listen, assess, and recommend.</w:t>
            </w:r>
          </w:p>
        </w:tc>
        <w:tc>
          <w:tcPr>
            <w:tcW w:type="dxa" w:w="2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Scope &amp; Proposal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Within 48 hours we provide a scoped proposal with clear deliverables and fixed pricing.</w:t>
            </w:r>
          </w:p>
        </w:tc>
        <w:tc>
          <w:tcPr>
            <w:tcW w:type="dxa" w:w="2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Kickoff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Engagement begins within one week of contract execution. Initial assessment and priority setting.</w:t>
            </w:r>
          </w:p>
        </w:tc>
        <w:tc>
          <w:tcPr>
            <w:tcW w:type="dxa" w:w="2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8"/>
                <w:sz w:val="20"/>
                <w:szCs w:val="20"/>
              </w:rPr>
              <w:t xml:space="preserve">Ongoing Delivery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Regular cadence of deliverables, reporting, and advisory access per engagement model.</w:t>
            </w:r>
          </w:p>
        </w:tc>
      </w:tr>
    </w:tbl>
    <w:p>
      <w:pPr>
        <w:spacing w:after="0" w:before="12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2D7DD2"/>
          <w:spacing w:val="40"/>
          <w:sz w:val="18"/>
          <w:szCs w:val="18"/>
        </w:rPr>
        <w:t xml:space="preserve">ENGAGEMENT TERMS</w:t>
      </w:r>
    </w:p>
    <w:p>
      <w:pPr>
        <w:pStyle w:val="Heading2"/>
        <w:spacing w:after="80" w:before="60"/>
      </w:pPr>
      <w:r>
        <w:rPr>
          <w:rFonts w:ascii="Calibri" w:cs="Calibri" w:eastAsia="Calibri" w:hAnsi="Calibri"/>
          <w:b/>
          <w:bCs/>
          <w:color w:val="1E2A38"/>
          <w:sz w:val="30"/>
          <w:szCs w:val="30"/>
        </w:rPr>
        <w:t xml:space="preserve">How We Structure Our Engagements</w:t>
      </w:r>
    </w:p>
    <w:p>
      <w:pPr>
        <w:pBdr>
          <w:bottom w:val="single" w:color="2D7DD2" w:sz="8"/>
        </w:pBdr>
        <w:spacing w:after="100" w:before="6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We believe in straightforward terms. No surprise fees, no opaque billing, no lock-in clauses.</w:t>
      </w:r>
    </w:p>
    <w:p>
      <w:pPr>
        <w:spacing w:after="0" w:before="60"/>
      </w:pP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Retainer engagements: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Month-to-month retainers with no long-term commitment required — cancel with 30 days' written notice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Project engagements: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Fixed fee with 50% due at engagement kickoff and 50% upon delivery of final deliverables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Light advisory: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Billed monthly, cancel anytime with 15 days' written notice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Billing: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All rates quoted in USD. Invoices issued on the 1st of each month for retainer and advisory engagements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Incident response: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Included at standard retainer rates for up to 8 hours per incident. Additional hours billed at $275/hour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Confidentiality: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All client information, systems access, and engagement details are treated as strictly confidential. NDA available upon request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2D7DD2" w:sz="24"/>
              <w:bottom w:val="none"/>
              <w:right w:val="none"/>
            </w:tcBorders>
            <w:shd w:fill="1E2A3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Ready to get started?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B3D3"/>
                <w:sz w:val="24"/>
                <w:szCs w:val="24"/>
              </w:rPr>
              <w:t xml:space="preserve">Schedule a complimentary 30-minute discovery call.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7FB3D3"/>
                <w:sz w:val="22"/>
                <w:szCs w:val="22"/>
              </w:rPr>
              <w:t xml:space="preserve">info@ineedaciso.com  ·  (972) 528-9855  ·  ineedaciso.com</w:t>
            </w:r>
          </w:p>
        </w:tc>
      </w:tr>
    </w:tbl>
    <w:p>
      <w:pPr>
        <w:spacing w:after="0" w:before="120"/>
      </w:pPr>
    </w:p>
    <w:p>
      <w:pPr>
        <w:pBdr>
          <w:bottom w:val="single" w:color="CBD5E0" w:sz="4"/>
        </w:pBdr>
        <w:spacing w:after="80" w:before="80"/>
      </w:pPr>
    </w:p>
    <w:p>
      <w:pPr>
        <w:spacing w:before="60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This document is provided for informational purposes and does not constitute a binding contract. Engagement terms, scope, and pricing are confirmed in a separate Statement of Work executed by both parties. INeedACISO services do not constitute legal advice. © 2026 INeedACISO · A division of JSH Stores, LLC · All rights reserved.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spacing w:before="60"/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© 2026 INeedACISO · A division of JSH Stores, LLC · info@ineedaciso.com · (972) 528-9855  ·  Page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of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920"/>
      <w:gridCol w:w="2160"/>
    </w:tblGrid>
    <w:tr>
      <w:tc>
        <w:tcPr>
          <w:tcW w:type="dxa" w:w="7920"/>
          <w:tcBorders>
            <w:top w:val="none"/>
            <w:left w:val="none"/>
            <w:bottom w:val="single" w:color="2D7DD2" w:sz="6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color w:val="2D7DD2"/>
              <w:sz w:val="22"/>
              <w:szCs w:val="22"/>
            </w:rPr>
            <w:t xml:space="preserve">I</w:t>
          </w:r>
          <w:r>
            <w:rPr>
              <w:rFonts w:ascii="Calibri" w:cs="Calibri" w:eastAsia="Calibri" w:hAnsi="Calibri"/>
              <w:b/>
              <w:bCs/>
              <w:color w:val="1E2A38"/>
              <w:sz w:val="22"/>
              <w:szCs w:val="22"/>
            </w:rPr>
            <w:t xml:space="preserve">NeedACISO</w:t>
          </w:r>
          <w:r>
            <w:rPr>
              <w:rFonts w:ascii="Calibri" w:cs="Calibri" w:eastAsia="Calibri" w:hAnsi="Calibri"/>
              <w:color w:val="718096"/>
              <w:sz w:val="20"/>
              <w:szCs w:val="20"/>
            </w:rPr>
            <w:t xml:space="preserve">  ·  Scope of Services</w:t>
          </w:r>
        </w:p>
      </w:tc>
      <w:tc>
        <w:tcPr>
          <w:tcW w:type="dxa" w:w="2160"/>
          <w:tcBorders>
            <w:top w:val="none"/>
            <w:left w:val="none"/>
            <w:bottom w:val="single" w:color="2D7DD2" w:sz="6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2D7DD2"/>
              <w:sz w:val="18"/>
              <w:szCs w:val="18"/>
            </w:rPr>
            <w:t xml:space="preserve">ineedaciso.com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2026-07-13T23:49:53.766Z</dcterms:created>
  <dcterms:modified xsi:type="dcterms:W3CDTF">2026-07-13T23:49:53.778Z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