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Sukhumvit Set" w:cs="Sukhumvit Set" w:eastAsia="Sukhumvit Set" w:hAnsi="Sukhumvit Set"/>
          <w:b/>
          <w:bCs/>
          <w:color w:val="1C1A17"/>
          <w:sz w:val="48"/>
          <w:szCs w:val="48"/>
        </w:rPr>
        <w:t xml:space="preserve">见茶山</w:t>
      </w:r>
    </w:p>
    <w:p>
      <w:pPr>
        <w:spacing w:after="340"/>
      </w:pPr>
      <w:r>
        <w:rPr>
          <w:rFonts w:ascii="Sukhumvit Set" w:cs="Sukhumvit Set" w:eastAsia="Sukhumvit Set" w:hAnsi="Sukhumvit Set"/>
          <w:b/>
          <w:bCs/>
          <w:color w:val="948E82"/>
          <w:spacing w:val="80"/>
          <w:sz w:val="16"/>
          <w:szCs w:val="16"/>
        </w:rPr>
        <w:t xml:space="preserve">J I A N   C H A</w:t>
      </w:r>
    </w:p>
    <w:p>
      <w:pPr>
        <w:spacing w:after="60" w:before="180"/>
      </w:pPr>
      <w:r>
        <w:rPr>
          <w:rFonts w:ascii="Sukhumvit Set" w:cs="Sukhumvit Set" w:eastAsia="Sukhumvit Set" w:hAnsi="Sukhumvit Set"/>
          <w:b/>
          <w:bCs/>
          <w:color w:val="948E82"/>
          <w:spacing w:val="30"/>
          <w:sz w:val="15"/>
          <w:szCs w:val="15"/>
        </w:rPr>
        <w:t xml:space="preserve">INTEGRATION ROADMAP · แผนพัฒนาและเชื่อมต่อระบบ</w:t>
      </w:r>
    </w:p>
    <w:p>
      <w:pPr>
        <w:spacing w:after="70"/>
      </w:pPr>
      <w:r>
        <w:rPr>
          <w:rFonts w:ascii="Sukhumvit Set" w:cs="Sukhumvit Set" w:eastAsia="Sukhumvit Set" w:hAnsi="Sukhumvit Set"/>
          <w:b/>
          <w:bCs/>
          <w:color w:val="1C1A17"/>
          <w:sz w:val="40"/>
          <w:szCs w:val="40"/>
        </w:rPr>
        <w:t xml:space="preserve">Module 02+ · Sales Forecast</w:t>
      </w:r>
    </w:p>
    <w:p>
      <w:pPr>
        <w:spacing w:after="260"/>
      </w:pPr>
      <w:r>
        <w:rPr>
          <w:rFonts w:ascii="Sukhumvit Set" w:cs="Sukhumvit Set" w:eastAsia="Sukhumvit Set" w:hAnsi="Sukhumvit Set"/>
          <w:color w:val="6E695F"/>
          <w:sz w:val="21"/>
          <w:szCs w:val="21"/>
        </w:rPr>
        <w:t xml:space="preserve">Route B auto-feed · Workbook write-back · BOM explosion · Store-level DRP</w:t>
      </w:r>
    </w:p>
    <w:p>
      <w:pPr>
        <w:pBdr>
          <w:bottom w:val="single" w:color="D8D1C3" w:sz="6"/>
        </w:pBdr>
        <w:spacing w:after="150"/>
      </w:pPr>
      <w:r>
        <w:rPr>
          <w:sz w:val="2"/>
          <w:szCs w:val="2"/>
        </w:rPr>
        <w:t xml:space="preserve"/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2600"/>
        <w:gridCol w:w="10200"/>
      </w:tblGrid>
      <w:tr>
        <w:trPr>
          <w:tblHeader/>
        </w:trPr>
        <w:tc>
          <w:tcPr>
            <w:tcW w:type="dxa" w:w="26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10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JC-IBP-RMP-M02P-001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Version</w:t>
            </w:r>
          </w:p>
        </w:tc>
        <w:tc>
          <w:tcPr>
            <w:tcW w:type="dxa" w:w="10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1.0 · 30 July 2026</w:t>
            </w:r>
          </w:p>
        </w:tc>
      </w:tr>
      <w:tr>
        <w:tc>
          <w:tcPr>
            <w:tcW w:type="dxa" w:w="2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10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Arin Tanakasemsup — SCM / IBP / IT Director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Baseline</w:t>
            </w:r>
          </w:p>
        </w:tc>
        <w:tc>
          <w:tcPr>
            <w:tcW w:type="dxa" w:w="10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Module 02+ v1.0 (production) — ดู SRS JC-IBP-SRS-M02P-001</w:t>
            </w:r>
          </w:p>
        </w:tc>
      </w:tr>
      <w:tr>
        <w:tc>
          <w:tcPr>
            <w:tcW w:type="dxa" w:w="2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Horizon</w:t>
            </w:r>
          </w:p>
        </w:tc>
        <w:tc>
          <w:tcPr>
            <w:tcW w:type="dxa" w:w="10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3 เฟส · ประมาณ 6 เดือน · ทบทวนทุกรอบ IBP</w:t>
            </w:r>
          </w:p>
        </w:tc>
      </w:tr>
    </w:tbl>
    <w:p>
      <w:pPr>
        <w:spacing w:after="120" w:before="22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โรดแมปนี้จัดลำดับจากสิ่งที่ปลดล็อกคุณค่าทางธุรกิจได้มากที่สุดต่อหน่วยความพยายาม ไม่ใช่จากความน่าสนใจทางเทคนิค งานที่ทำให้กระบวนการเดินได้เองโดยไม่ต้องพึ่งวินัยของคน (R-01, R-02) มาก่อน งานที่แก้ข้อจำกัดเชิงวิธีการที่ใหญ่ที่สุด (R-03) มาถัดไป และงานที่เพิ่มความละเอียดหรือความซับซ้อนของแบบจำลองอยู่ท้ายสุด — เพราะการเพิ่มวิธีพยากรณ์ให้ฉลาดขึ้นไม่มีประโยชน์ ถ้าข้อมูลยังต้องอัปโหลดด้วยมือทุกเดือน</w:t>
      </w:r>
    </w:p>
    <w:p>
      <w:pPr>
        <w:pStyle w:val="Heading1"/>
        <w:pageBreakBefore/>
        <w:spacing w:after="15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1. ภาพรวมสามเฟส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2000"/>
        <w:gridCol w:w="4400"/>
        <w:gridCol w:w="2400"/>
        <w:gridCol w:w="4000"/>
      </w:tblGrid>
      <w:tr>
        <w:trPr>
          <w:tblHeader/>
        </w:trPr>
        <w:tc>
          <w:tcPr>
            <w:tcW w:type="dxa" w:w="20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4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เป้าหมายของเฟส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รายการ</w:t>
            </w:r>
          </w:p>
        </w:tc>
        <w:tc>
          <w:tcPr>
            <w:tcW w:type="dxa" w:w="40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ผลลัพธ์ที่วัดได้เมื่อจบเฟส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1
0–2 เดือน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ตัดงานมือออกจากวงจร — ข้อมูลเข้าเอง ตัวเลขออกเอง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R-01 · R-02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รอบพยากรณ์เดือนถัดไปเสร็จได้โดยไม่มีการ export หรือ copy ด้วยมือแม้แต่ขั้นเดียว</w:t>
            </w:r>
          </w:p>
        </w:tc>
      </w:tr>
      <w:tr>
        <w:tc>
          <w:tcPr>
            <w:tcW w:type="dxa" w:w="2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
2–4 เดือน</w:t>
            </w:r>
          </w:p>
        </w:tc>
        <w:tc>
          <w:tcPr>
            <w:tcW w:type="dxa" w:w="4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ปิดช่องว่างเชิงวิธีการและ governance</w:t>
            </w:r>
          </w:p>
        </w:tc>
        <w:tc>
          <w:tcPr>
            <w:tcW w:type="dxa" w:w="2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R-03 · R-04 · R-05 · R-06</w:t>
            </w:r>
          </w:p>
        </w:tc>
        <w:tc>
          <w:tcPr>
            <w:tcW w:type="dxa" w:w="4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Suggested PR คำนวณจาก BOM จริง · override สืบย้อนได้ · เมทริกซ์ ABC×XYZ ใช้งานได้เต็ม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3
4–6 เดือน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เพิ่มความละเอียดและความแม่นยำ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R-07 · R-08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มีแผนจัดสรรรายสาขาป้อน DRP · WMAPE รวมดีขึ้นอย่างน้อย 2 จุดเปอร์เซ็นต์</w:t>
            </w:r>
          </w:p>
        </w:tc>
      </w:tr>
    </w:tbl>
    <w:p>
      <w:pPr>
        <w:pStyle w:val="Heading2"/>
        <w:spacing w:after="100" w:before="23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ลำดับความสำคัญและขนาดงานโดยสรุป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000"/>
        <w:gridCol w:w="4400"/>
        <w:gridCol w:w="1500"/>
        <w:gridCol w:w="1700"/>
        <w:gridCol w:w="2000"/>
        <w:gridCol w:w="2200"/>
      </w:tblGrid>
      <w:tr>
        <w:trPr>
          <w:tblHeader/>
        </w:trPr>
        <w:tc>
          <w:tcPr>
            <w:tcW w:type="dxa" w:w="10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รหัส</w:t>
            </w:r>
          </w:p>
        </w:tc>
        <w:tc>
          <w:tcPr>
            <w:tcW w:type="dxa" w:w="4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รายการ</w:t>
            </w:r>
          </w:p>
        </w:tc>
        <w:tc>
          <w:tcPr>
            <w:tcW w:type="dxa" w:w="15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</w:t>
            </w:r>
          </w:p>
        </w:tc>
        <w:tc>
          <w:tcPr>
            <w:tcW w:type="dxa" w:w="20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</w:t>
            </w:r>
          </w:p>
        </w:tc>
        <w:tc>
          <w:tcPr>
            <w:tcW w:type="dxa" w:w="2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R-01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Route B · Auto-feed ประวัติการขายจาก FoodStory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9C4A37"/>
                <w:sz w:val="17"/>
                <w:szCs w:val="17"/>
              </w:rPr>
              <w:t xml:space="preserve">P1 · สูง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 · 3–4 สัปดาห์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 + FoodStory vendor</w:t>
            </w:r>
          </w:p>
        </w:tc>
      </w:tr>
      <w:tr>
        <w:tc>
          <w:tcPr>
            <w:tcW w:type="dxa" w:w="1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R-02</w:t>
            </w:r>
          </w:p>
        </w:tc>
        <w:tc>
          <w:tcPr>
            <w:tcW w:type="dxa" w:w="4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เขียนค่า Consensus กลับเข้า IBP workbook</w:t>
            </w:r>
          </w:p>
        </w:tc>
        <w:tc>
          <w:tcPr>
            <w:tcW w:type="dxa" w:w="1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1</w:t>
            </w:r>
          </w:p>
        </w:tc>
        <w:tc>
          <w:tcPr>
            <w:tcW w:type="dxa" w:w="1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9C4A37"/>
                <w:sz w:val="17"/>
                <w:szCs w:val="17"/>
              </w:rPr>
              <w:t xml:space="preserve">P1 · สูง</w:t>
            </w:r>
          </w:p>
        </w:tc>
        <w:tc>
          <w:tcPr>
            <w:tcW w:type="dxa" w:w="2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 · 1–2 สัปดาห์</w:t>
            </w:r>
          </w:p>
        </w:tc>
        <w:tc>
          <w:tcPr>
            <w:tcW w:type="dxa" w:w="2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IBP + IT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R-03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BOM / Recipe explosion — แปลงแก้วเป็นวัตถุดิบ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9C4A37"/>
                <w:sz w:val="17"/>
                <w:szCs w:val="17"/>
              </w:rPr>
              <w:t xml:space="preserve">P1 · สูง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L · 6–8 สัปดาห์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SCM + Production + IT</w:t>
            </w:r>
          </w:p>
        </w:tc>
      </w:tr>
      <w:tr>
        <w:tc>
          <w:tcPr>
            <w:tcW w:type="dxa" w:w="1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R-04</w:t>
            </w:r>
          </w:p>
        </w:tc>
        <w:tc>
          <w:tcPr>
            <w:tcW w:type="dxa" w:w="4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เก็บ Override ถาวร + ผูกกับบัญชีผู้ใช้</w:t>
            </w:r>
          </w:p>
        </w:tc>
        <w:tc>
          <w:tcPr>
            <w:tcW w:type="dxa" w:w="1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1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8A6415"/>
                <w:sz w:val="17"/>
                <w:szCs w:val="17"/>
              </w:rPr>
              <w:t xml:space="preserve">P2 · กลาง</w:t>
            </w:r>
          </w:p>
        </w:tc>
        <w:tc>
          <w:tcPr>
            <w:tcW w:type="dxa" w:w="2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 · 3–4 สัปดาห์</w:t>
            </w:r>
          </w:p>
        </w:tc>
        <w:tc>
          <w:tcPr>
            <w:tcW w:type="dxa" w:w="2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R-05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เปิดใช้ XYZ segmentation ใน Module 3++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8A6415"/>
                <w:sz w:val="17"/>
                <w:szCs w:val="17"/>
              </w:rPr>
              <w:t xml:space="preserve">P2 · กลาง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 · 1 สัปดาห์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</w:t>
            </w:r>
          </w:p>
        </w:tc>
      </w:tr>
      <w:tr>
        <w:tc>
          <w:tcPr>
            <w:tcW w:type="dxa" w:w="1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R-06</w:t>
            </w:r>
          </w:p>
        </w:tc>
        <w:tc>
          <w:tcPr>
            <w:tcW w:type="dxa" w:w="4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Master data ช่องทาง/สาขา แทนกฎคำค้น</w:t>
            </w:r>
          </w:p>
        </w:tc>
        <w:tc>
          <w:tcPr>
            <w:tcW w:type="dxa" w:w="1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1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6E695F"/>
                <w:sz w:val="17"/>
                <w:szCs w:val="17"/>
              </w:rPr>
              <w:t xml:space="preserve">P3 · ต่ำ</w:t>
            </w:r>
          </w:p>
        </w:tc>
        <w:tc>
          <w:tcPr>
            <w:tcW w:type="dxa" w:w="2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 · 1–2 สัปดาห์</w:t>
            </w:r>
          </w:p>
        </w:tc>
        <w:tc>
          <w:tcPr>
            <w:tcW w:type="dxa" w:w="2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 + SCM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R-07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พยากรณ์รายสาขา (Store-level) สำหรับ DRP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8A6415"/>
                <w:sz w:val="17"/>
                <w:szCs w:val="17"/>
              </w:rPr>
              <w:t xml:space="preserve">P2 · กลาง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L · 6–8 สัปดาห์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SCM + IT</w:t>
            </w:r>
          </w:p>
        </w:tc>
      </w:tr>
      <w:tr>
        <w:tc>
          <w:tcPr>
            <w:tcW w:type="dxa" w:w="1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7"/>
                <w:szCs w:val="17"/>
              </w:rPr>
              <w:t xml:space="preserve">R-08</w:t>
            </w:r>
          </w:p>
        </w:tc>
        <w:tc>
          <w:tcPr>
            <w:tcW w:type="dxa" w:w="4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เพิ่มวิธี Holt-Winters และ intermittent demand</w:t>
            </w:r>
          </w:p>
        </w:tc>
        <w:tc>
          <w:tcPr>
            <w:tcW w:type="dxa" w:w="1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3</w:t>
            </w:r>
          </w:p>
        </w:tc>
        <w:tc>
          <w:tcPr>
            <w:tcW w:type="dxa" w:w="1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6E695F"/>
                <w:sz w:val="17"/>
                <w:szCs w:val="17"/>
              </w:rPr>
              <w:t xml:space="preserve">P3 · ต่ำ</w:t>
            </w:r>
          </w:p>
        </w:tc>
        <w:tc>
          <w:tcPr>
            <w:tcW w:type="dxa" w:w="2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 · 3–4 สัปดาห์</w:t>
            </w:r>
          </w:p>
        </w:tc>
        <w:tc>
          <w:tcPr>
            <w:tcW w:type="dxa" w:w="2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IBP + IT</w:t>
            </w:r>
          </w:p>
        </w:tc>
      </w:tr>
    </w:tbl>
    <w:p>
      <w:pPr>
        <w:spacing w:after="120" w:before="120"/>
      </w:pPr>
      <w:r>
        <w:rPr>
          <w:rFonts w:ascii="Sukhumvit Set" w:cs="Sukhumvit Set" w:eastAsia="Sukhumvit Set" w:hAnsi="Sukhumvit Set"/>
          <w:color w:val="6E695F"/>
          <w:sz w:val="18"/>
          <w:szCs w:val="18"/>
        </w:rPr>
        <w:t xml:space="preserve">ขนาดงาน: S ≈ 1–2 สัปดาห์ · M ≈ 3–4 สัปดาห์ · L ≈ 6–8 สัปดาห์ (ประมาณการสำหรับทีมพัฒนา 1 คนเต็มเวลา ไม่รวมเวลารอ master data จากฝ่ายอื่น ซึ่งมักเป็นตัวกำหนดเวลาจริงของ R-03 และ R-06)</w:t>
      </w:r>
    </w:p>
    <w:p>
      <w:pPr>
        <w:pStyle w:val="Heading1"/>
        <w:pageBreakBefore/>
        <w:spacing w:after="15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2. รายละเอียดรายรายการ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R-01 · Route B · Auto-feed ประวัติการขายจาก FoodStory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1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9C4A37"/>
                <w:sz w:val="17"/>
                <w:szCs w:val="17"/>
              </w:rPr>
              <w:t xml:space="preserve">P1 · สูง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 · 3–4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 + FoodStory vendor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สิทธิ์ scheduled export ใน FoodStory · โฟลเดอร์ปลายทางที่ IT ควบคุม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ทุกวันนี้ผู้วางแผนต้อง export ไฟล์เองทุกรอบ ซึ่งเป็นงานซ้ำที่ผิดพลาดได้ และทำให้ความถี่ของการพยากรณ์ผูกกับวินัยของคน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ตั้ง scheduled export จาก FoodStory เข้าโฟลเดอร์ OneDrive/SharePoint ปลายทางทุกวันที่ 1 ของเดือน แล้วให้โมดูลอ่านไฟล์ล่าสุดจากโฟลเดอร์นั้นแทนการอัปโหลดมือ · ถ้า FoodStory เปิด API ให้ใช้ ให้เรียกผ่าน service layer ขององค์กรแทน ไม่เรียกตรงจากหน้าเว็บเพื่อไม่ให้ token รั่ว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เปิดหน้า Control Tower แล้วเห็นข้อมูลเดือนล่าสุดโดยไม่ต้องอัปโหลด · มี timestamp ของไฟล์ต้นทางแสดงบนหน้าจอ · ถ้าไฟล์ไม่มาตามกำหนด ระบบแจ้งเตือนแทนที่จะแสดงข้อมูลเก่าเงียบ ๆ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R-02 · เขียนค่า Consensus กลับเข้า IBP workbook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1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9C4A37"/>
                <w:sz w:val="17"/>
                <w:szCs w:val="17"/>
              </w:rPr>
              <w:t xml:space="preserve">P1 · สูง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 · 1–2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IBP + IT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R-01 (เพื่อให้ไฟล์อยู่ที่เดียวกันเสมอ) · โครงสร้าง workbook v6.30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ตอนนี้ผลพยากรณ์ต้อง copy กลับเข้า workbook ด้วยมือ ซึ่งเป็นจุดที่ตัวเลขเพี้ยนได้และทำให้ audit trail ขาดตอน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กำหนดรูปแบบชีตกลาง (staging sheet) ที่ workbook v6.30 ดึงด้วย Power Query จากไฟล์ export ของโมดูล — คีย์ SKU × เดือน × ช่องทาง พร้อมคอลัมน์ Final, วิธี, WMAPE, เหตุผล, ผู้ทบทวน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เปิด workbook แล้วกด Refresh ตัวเลข Consensus อัปเดตครบทุก SKU ที่มีในไฟล์ · ค่าที่ override มาพร้อมเหตุผลทุกแถว · ไม่มีการพิมพ์ตัวเลขด้วยมือในกระบวนการ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R-03 · BOM / Recipe explosion — แปลงแก้วเป็นวัตถุดิบ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9C4A37"/>
                <w:sz w:val="17"/>
                <w:szCs w:val="17"/>
              </w:rPr>
              <w:t xml:space="preserve">P1 · สูง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L · 6–8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SCM + Production + IT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Master สูตรจากฝ่ายผลิต (งานหลัก) · ปิด reconciliation gap 218,807 หน่วยก่อน (ดู C-03 ใน SRS)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ข้อจำกัดใหญ่ที่สุดที่เหลืออยู่ · Suggested PR ตอนนี้ใช้ดัชนีดีมานด์รวมตัวเดียว ซึ่งสมมติว่าสัดส่วนวัตถุดิบต่อแก้วคงที่ทุกเมนู — ไม่จริงเมื่อ mix เปลี่ยน และ mix ของ JIAN CHA เปลี่ยนแรง (Smoothie 68.8% ของรายได้วันเดียว)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สร้าง master สูตรการผลิต: 1 แก้วของแต่ละ SKU ใช้วัตถุดิบรหัสใดปริมาณเท่าไร รวม topping และ yield loss แล้วให้โมดูลคูณพยากรณ์ราย SKU เข้ากับสูตร ได้ความต้องการวัตถุดิบรายรหัส แล้วส่งเข้า Suggested PR แทนดัชนีรวม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Suggested PR ราย SKU วัตถุดิบคำนวณจาก forecast × BOM ไม่ใช่ index · ตรวจสอบย้อนกลับได้ว่าความต้องการวัตถุดิบแต่ละตัวมาจากเมนูใดบ้าง · ผลต่างจากการเบิกจริงย้อนหลัง 3 เดือนไม่เกิน ±15%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R-04 · เก็บ Override ถาวร + ผูกกับบัญชีผู้ใช้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8A6415"/>
                <w:sz w:val="17"/>
                <w:szCs w:val="17"/>
              </w:rPr>
              <w:t xml:space="preserve">P2 · กลาง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 · 3–4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มาตรฐาน authentication ขององค์กร · การย้ายโมดูลออกจาก artifact sandbox ไปเป็น internal web app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Cowork artifact ใช้ browser storage ไม่ได้ override จึงหายเมื่อรีเฟรช และช่อง 'ผู้ทบทวน' เป็นการประกาศตนเอง ไม่ใช่การยืนยันตัวตน — ไม่พอสำหรับ governance ระยะยาว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ย้าย override ไปเก็บที่ชั้นข้อมูลขององค์กร (SharePoint list, Dataverse หรือ SQL ตามมาตรฐาน IT) ผูกกับบัญชี Microsoft 365 ของผู้ปรับ พร้อม timestamp และเวอร์ชันของรอบพยากรณ์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ปิดหน้าแล้วเปิดใหม่ override ยังอยู่ · ชื่อผู้ปรับมาจากบัญชีที่ล็อกอิน ไม่ใช่ช่องพิมพ์ · ดูประวัติย้อนหลังได้ว่ารอบไหนใครปรับอะไร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R-05 · เปิดใช้ XYZ segmentation ใน Module 3++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8A6415"/>
                <w:sz w:val="17"/>
                <w:szCs w:val="17"/>
              </w:rPr>
              <w:t xml:space="preserve">P2 · กลาง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 · 1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ไม่มี — ทำได้ทันทีหลังมีข้อมูล ≥3 เดือน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เมทริกซ์ 9-box ใน Module 3++ ยังว่างเพราะขาดประวัติ OUT รายเดือน ซึ่งตอนนี้ Module 02+ ถือไว้ในหน่วยความจำอยู่แล้ว — เป็นงานเชื่อมสายไฟ ไม่ใช่งานสร้างใหม่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ส่งอนุกรมรายเดือนจาก FC.series เข้าตัวแปร HIST ที่ Module 3++ รออยู่ ระบบจะคำนวณ CV แล้วจัดกลุ่ม X/Y/Z อัตโนมัติตามที่เขียนไว้แล้ว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เมทริกซ์ ABC × XYZ แสดงจำนวน SKU ครบทุกช่อง · นโยบายสต็อกต่อช่องใช้งานได้จริง · ค่า CV ตรวจสอบย้อนกลับได้จากชีต History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R-06 · Master data ช่องทาง/สาขา แทนกฎคำค้น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2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6E695F"/>
                <w:sz w:val="17"/>
                <w:szCs w:val="17"/>
              </w:rPr>
              <w:t xml:space="preserve">P3 · ต่ำ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 · 1–2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IT + SCM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Master สาขาที่เป็นทางการจากฝ่ายพัฒนาธุรกิจ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การจับกลุ่มช่องทางด้วยคำค้นทำงานได้ดีแต่เปราะ — สาขาใหม่ที่ตั้งชื่อไม่ตามแบบแผนจะตกไปกลุ่ม 'อื่น ๆ' โดยไม่มีใครสังเกต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ทำตารางอ้างอิงสาขา: รหัสสาขา → ประเภท (FC/MS) → ภูมิภาค → ช่องทางหลัก แล้วให้โมดูล join แทนการเดาจากชื่อ · เก็บกฎคำค้นไว้เป็น fallback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ทุกสาขาใน export ถูกจับกลุ่มได้ 100% · มีรายงานเตือนเมื่อพบรหัสสาขาที่ไม่มีใน master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R-07 · พยากรณ์รายสาขา (Store-level) สำหรับ DRP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3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8A6415"/>
                <w:sz w:val="17"/>
                <w:szCs w:val="17"/>
              </w:rPr>
              <w:t xml:space="preserve">P2 · กลาง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L · 6–8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SCM + IT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R-03 (เพื่อให้แปลงเป็นวัตถุดิบได้) · ข้อมูลรายสาขาจาก FoodStory ที่มีรหัสสาขาครบ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การจัดสรรสินค้าไปสาขายังใช้สัดส่วนยอดขายย้อนหลัง ซึ่งไม่รองรับสาขาใหม่ที่กำลัง ramp (เช่น JF058 +27.1%) และสาขาที่กำลังถดถอย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ขยายมิติจาก SKU × ช่องทาง เป็น SKU × สาขา โดยพยากรณ์ที่ระดับ SKU ก่อน แล้วกระจายลงสาขาด้วยสัดส่วนที่ปรับตามแนวโน้มรายสาขา (top-down with proportions) แทนการพยากรณ์รายสาขาตรง ๆ ซึ่งข้อมูลเบาบางเกินไป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ได้แผนจัดสรรรายสาขาที่ผลรวมเท่ากับพยากรณ์ระดับ SKU พอดี · สาขาใหม่ได้รับการปฏิบัติต่างจากสาขาที่นิ่งแล้ว · ใช้ป้อน DRP ได้</w:t>
      </w:r>
    </w:p>
    <w:p>
      <w:pPr>
        <w:spacing w:after="70" w:before="260"/>
      </w:pPr>
      <w:r>
        <w:rPr>
          <w:rFonts w:ascii="Sukhumvit Set" w:cs="Sukhumvit Set" w:eastAsia="Sukhumvit Set" w:hAnsi="Sukhumvit Set"/>
          <w:b/>
          <w:bCs/>
          <w:color w:val="1C1A17"/>
          <w:sz w:val="23"/>
          <w:szCs w:val="23"/>
        </w:rPr>
        <w:t xml:space="preserve">R-08 · เพิ่มวิธี Holt-Winters และ intermittent demand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700"/>
        <w:gridCol w:w="2100"/>
        <w:gridCol w:w="2400"/>
        <w:gridCol w:w="3400"/>
        <w:gridCol w:w="3200"/>
      </w:tblGrid>
      <w:tr>
        <w:trPr>
          <w:tblHeader/>
        </w:trPr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เฟส</w:t>
            </w:r>
          </w:p>
        </w:tc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ลำดับความสำคัญ</w:t>
            </w:r>
          </w:p>
        </w:tc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ขนาดงาน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เจ้าของงาน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สิ่งที่ต้องมีก่อน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Phase 3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6E695F"/>
                <w:sz w:val="17"/>
                <w:szCs w:val="17"/>
              </w:rPr>
              <w:t xml:space="preserve">P3 · ต่ำ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 · 3–4 สัปดาห์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IBP + IT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ประวัติ ≥24 เดือน · R-01 เพื่อสะสมข้อมูลอัตโนมัติ</w:t>
            </w:r>
          </w:p>
        </w:tc>
      </w:tr>
    </w:tbl>
    <w:p>
      <w:pPr>
        <w:spacing w:after="60" w:before="12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ทำไมต้องทำ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เมื่อมีประวัติครบ 24 เดือน วิธีที่จับทั้งแนวโน้มและฤดูกาลพร้อมกันจะเหนือกว่า Seasonal-12 เปล่า ๆ · และ SKU ที่ขายกระท่อนกระแท่น (Class Z) ต้องใช้วิธีเฉพาะอย่าง Croston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ทำอะไร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เพิ่ม Holt-Winters (additive และ multiplicative) และ Croston/TSB เข้าไปในชุดวิธีที่แข่งกัน โครงสร้าง backtest ที่มีอยู่รองรับได้ทันทีโดยไม่ต้องแก้</w:t>
      </w:r>
    </w:p>
    <w:p>
      <w:pPr>
        <w:spacing w:after="60" w:before="60"/>
      </w:pPr>
      <w:r>
        <w:rPr>
          <w:rFonts w:ascii="Sukhumvit Set" w:cs="Sukhumvit Set" w:eastAsia="Sukhumvit Set" w:hAnsi="Sukhumvit Set"/>
          <w:b/>
          <w:bCs/>
          <w:color w:val="948E82"/>
          <w:sz w:val="18"/>
          <w:szCs w:val="18"/>
        </w:rPr>
        <w:t xml:space="preserve">เกณฑ์การยอมรับ (Acceptance criteria)</w:t>
      </w:r>
    </w:p>
    <w:p>
      <w:pPr>
        <w:spacing w:after="150" w:before="0"/>
      </w:pPr>
      <w:r>
        <w:rPr>
          <w:rFonts w:ascii="Sukhumvit Set" w:cs="Sukhumvit Set" w:eastAsia="Sukhumvit Set" w:hAnsi="Sukhumvit Set"/>
          <w:color w:val="1C1A17"/>
          <w:sz w:val="19"/>
          <w:szCs w:val="19"/>
        </w:rPr>
        <w:t xml:space="preserve">วิธีใหม่เข้าร่วมการแข่งขันและถูกเลือกเฉพาะเมื่อชนะจริงบน holdout · WMAPE รวมถ่วงน้ำหนักดีขึ้นอย่างน้อย 2 จุดเปอร์เซ็นต์</w:t>
      </w:r>
    </w:p>
    <w:p>
      <w:pPr>
        <w:pStyle w:val="Heading1"/>
        <w:pageBreakBefore/>
        <w:spacing w:after="15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3. ความเสี่ยงของโรดแมปและข้อควรระวัง</w:t>
      </w:r>
    </w:p>
    <w:tbl>
      <w:tblPr>
        <w:tblW w:type="dxa" w:w="128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4200"/>
        <w:gridCol w:w="3800"/>
        <w:gridCol w:w="4800"/>
      </w:tblGrid>
      <w:tr>
        <w:trPr>
          <w:tblHeader/>
        </w:trPr>
        <w:tc>
          <w:tcPr>
            <w:tcW w:type="dxa" w:w="4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ความเสี่ยง</w:t>
            </w:r>
          </w:p>
        </w:tc>
        <w:tc>
          <w:tcPr>
            <w:tcW w:type="dxa" w:w="38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ผลกระทบ</w:t>
            </w:r>
          </w:p>
        </w:tc>
        <w:tc>
          <w:tcPr>
            <w:tcW w:type="dxa" w:w="48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6"/>
                <w:szCs w:val="16"/>
              </w:rPr>
              <w:t xml:space="preserve">แนวทางจัดการ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Master สูตรการผลิต (BOM) ไม่พร้อมตามกำหนด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R-03 เลื่อน ทำให้ Suggested PR ยังใช้ดัชนีรวมต่อไป และ R-07 ที่พึ่ง R-03 เลื่อนตาม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เริ่มเก็บสูตรของ 20 SKU แรกที่คิดเป็นดีมานด์ 80% ก่อน ไม่ต้องรอครบทุก SKU · ใช้หลัก Pareto เดียวกับ ABC ใน Module 3++</w:t>
            </w:r>
          </w:p>
        </w:tc>
      </w:tr>
      <w:tr>
        <w:tc>
          <w:tcPr>
            <w:tcW w:type="dxa" w:w="4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FoodStory ไม่เปิด scheduled export หรือ API</w:t>
            </w:r>
          </w:p>
        </w:tc>
        <w:tc>
          <w:tcPr>
            <w:tcW w:type="dxa" w:w="3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R-01 ทำไม่ได้ตามที่ออกแบบ ต้องคงการอัปโหลดมือไว้</w:t>
            </w:r>
          </w:p>
        </w:tc>
        <w:tc>
          <w:tcPr>
            <w:tcW w:type="dxa" w:w="4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ทางเลือกสำรอง: ให้ผู้วางแผนวางไฟล์ลงโฟลเดอร์ที่กำหนดแทน แล้วโมดูลอ่านไฟล์ล่าสุด — ลดงานมือลงได้บางส่วนโดยไม่ต้องพึ่ง vendor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reconciliation gap 218,807 หน่วยยังไม่ถูกปิด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แม้ BOM จะถูกต้อง Suggested PR ก็ยังผิดเพราะยอดคงเหลือตั้งต้นผิด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ต้องปิด inventory accuracy เป็นเงื่อนไขก่อนเริ่ม R-03 ไม่ใช่งานคู่ขนาน — ระบุไว้เป็น dependency อย่างชัดเจน</w:t>
            </w:r>
          </w:p>
        </w:tc>
      </w:tr>
      <w:tr>
        <w:tc>
          <w:tcPr>
            <w:tcW w:type="dxa" w:w="4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ย้ายออกจาก artifact sandbox ไปเป็น web app ภายใน (จำเป็นสำหรับ R-04)</w:t>
            </w:r>
          </w:p>
        </w:tc>
        <w:tc>
          <w:tcPr>
            <w:tcW w:type="dxa" w:w="3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ต้องมี hosting, authentication และกระบวนการ deploy ซึ่งเป็นภาระต่อเนื่อง</w:t>
            </w:r>
          </w:p>
        </w:tc>
        <w:tc>
          <w:tcPr>
            <w:tcW w:type="dxa" w:w="4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ประเมินร่วมกับแผน IT ขององค์กร · ถ้ายังไม่พร้อม ให้คง export Excel เป็น audit trail ต่อไป ซึ่งใช้งานได้จริงในระหว่างนี้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ผู้ใช้เคยชินกับการ override จนไม่ดูสาเหตุ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ระบบกลายเป็นการพิมพ์ตัวเลขที่คิดไว้แล้ว ไม่ใช่การพยากรณ์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7"/>
                <w:szCs w:val="17"/>
              </w:rPr>
              <w:t xml:space="preserve">ทบทวนอัตราส่วน override ต่อรอบเป็น KPI ของกระบวนการ · ถ้าเกิน 30% ของ SKU แปลว่าโมเดลหรือข้อมูลมีปัญหา ต้องแก้ที่ต้นเหตุ</w:t>
            </w:r>
          </w:p>
        </w:tc>
      </w:tr>
    </w:tbl>
    <w:p>
      <w:pPr>
        <w:pBdr>
          <w:top w:val="single" w:color="D8D1C3" w:sz="6"/>
        </w:pBdr>
        <w:spacing w:before="360"/>
      </w:pPr>
      <w:r>
        <w:rPr>
          <w:rFonts w:ascii="Sukhumvit Set" w:cs="Sukhumvit Set" w:eastAsia="Sukhumvit Set" w:hAnsi="Sukhumvit Set"/>
          <w:color w:val="948E82"/>
          <w:sz w:val="17"/>
          <w:szCs w:val="17"/>
        </w:rPr>
        <w:t xml:space="preserve">จบเอกสาร · JC-IBP-RMP-M02P-001 v1.0 · 30 กรกฎาคม 2026 · SCM / IBP / IT</w:t>
      </w:r>
    </w:p>
    <w:sectPr>
      <w:pgSz w:w="16838" w:h="11906" w:orient="landscape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ukhumvit Set" w:cs="Sukhumvit Set" w:eastAsia="Sukhumvit Set" w:hAnsi="Sukhumvit Set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02+ Sales Forecast — Integration Roadmap</dc:title>
  <dc:creator>Arin Tanakasemsup · SCM/IBP/IT Director</dc:creator>
  <cp:lastModifiedBy>Un-named</cp:lastModifiedBy>
  <cp:revision>1</cp:revision>
  <dcterms:created xsi:type="dcterms:W3CDTF">2026-07-30T15:12:33.225Z</dcterms:created>
  <dcterms:modified xsi:type="dcterms:W3CDTF">2026-07-30T15:12:33.225Z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