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Sukhumvit Set" w:cs="Sukhumvit Set" w:eastAsia="Sukhumvit Set" w:hAnsi="Sukhumvit Set"/>
          <w:b/>
          <w:bCs/>
          <w:color w:val="1C1A17"/>
          <w:sz w:val="56"/>
          <w:szCs w:val="56"/>
        </w:rPr>
        <w:t xml:space="preserve">见茶山</w:t>
      </w:r>
    </w:p>
    <w:p>
      <w:pPr>
        <w:spacing w:after="420"/>
      </w:pPr>
      <w:r>
        <w:rPr>
          <w:rFonts w:ascii="Sukhumvit Set" w:cs="Sukhumvit Set" w:eastAsia="Sukhumvit Set" w:hAnsi="Sukhumvit Set"/>
          <w:b/>
          <w:bCs/>
          <w:color w:val="948E82"/>
          <w:spacing w:val="80"/>
          <w:sz w:val="17"/>
          <w:szCs w:val="17"/>
        </w:rPr>
        <w:t xml:space="preserve">J I A N   C H A</w:t>
      </w:r>
    </w:p>
    <w:p>
      <w:pPr>
        <w:spacing w:after="60" w:before="200"/>
      </w:pPr>
      <w:r>
        <w:rPr>
          <w:rFonts w:ascii="Sukhumvit Set" w:cs="Sukhumvit Set" w:eastAsia="Sukhumvit Set" w:hAnsi="Sukhumvit Set"/>
          <w:b/>
          <w:bCs/>
          <w:color w:val="948E82"/>
          <w:spacing w:val="30"/>
          <w:sz w:val="15"/>
          <w:szCs w:val="15"/>
        </w:rPr>
        <w:t xml:space="preserve">SOFTWARE REQUIREMENTS SPECIFICATION · เอกสารข้อกำหนดสำหรับการพัฒนา</w:t>
      </w:r>
    </w:p>
    <w:p>
      <w:pPr>
        <w:spacing w:after="80"/>
      </w:pPr>
      <w:r>
        <w:rPr>
          <w:rFonts w:ascii="Sukhumvit Set" w:cs="Sukhumvit Set" w:eastAsia="Sukhumvit Set" w:hAnsi="Sukhumvit Set"/>
          <w:b/>
          <w:bCs/>
          <w:color w:val="1C1A17"/>
          <w:sz w:val="44"/>
          <w:szCs w:val="44"/>
        </w:rPr>
        <w:t xml:space="preserve">Module 02+ · Sales Forecast</w:t>
      </w:r>
    </w:p>
    <w:p>
      <w:pPr>
        <w:spacing w:after="300"/>
      </w:pPr>
      <w:r>
        <w:rPr>
          <w:rFonts w:ascii="Sukhumvit Set" w:cs="Sukhumvit Set" w:eastAsia="Sukhumvit Set" w:hAnsi="Sukhumvit Set"/>
          <w:color w:val="6E695F"/>
          <w:sz w:val="22"/>
          <w:szCs w:val="22"/>
        </w:rPr>
        <w:t xml:space="preserve">Monthly Rolling Demand Forecast from FoodStory POS — by Menu/SKU × Channel</w:t>
      </w:r>
    </w:p>
    <w:p>
      <w:pPr>
        <w:pBdr>
          <w:bottom w:val="single" w:color="D8D1C3" w:sz="6"/>
        </w:pBdr>
        <w:spacing w:after="16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</w:r>
          </w:p>
        </w:tc>
        <w:tc>
          <w:tcPr>
            <w:tcW w:type="dxa" w:w="6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JC-IBP-SRS-M02P-001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Version</w:t>
            </w:r>
          </w:p>
        </w:tc>
        <w:tc>
          <w:tcPr>
            <w:tcW w:type="dxa" w:w="6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1.0 (Baseline for development)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Date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30 July 2026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System</w:t>
            </w:r>
          </w:p>
        </w:tc>
        <w:tc>
          <w:tcPr>
            <w:tcW w:type="dxa" w:w="6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JIAN CHA IBP Demand-Sensing &amp; S&amp;OP Control Tower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Module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02+ · Sales Forecast (Monthly Rolling)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Arin Tanakasemsup — SCM / IBP / IT Director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Audience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IT Development team, System Integrator, QA/UAT team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Status</w:t>
            </w:r>
          </w:p>
        </w:tc>
        <w:tc>
          <w:tcPr>
            <w:tcW w:type="dxa" w:w="6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Released for development · ผ่านการทดสอบ regression แล้ว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Integration Roadmap v1.0 · UAT Test Script v1.0 · User Manual (TH) v1.0</w:t>
            </w:r>
          </w:p>
        </w:tc>
      </w:tr>
    </w:tbl>
    <w:p>
      <w:pPr>
        <w:spacing w:before="300"/>
      </w:pPr>
      <w:r>
        <w:rPr>
          <w:rFonts w:ascii="Sukhumvit Set" w:cs="Sukhumvit Set" w:eastAsia="Sukhumvit Set" w:hAnsi="Sukhumvit Set"/>
          <w:i/>
          <w:iCs/>
          <w:color w:val="6E695F"/>
          <w:sz w:val="18"/>
          <w:szCs w:val="18"/>
        </w:rPr>
        <w:t xml:space="preserve">เอกสารนี้เป็นข้อกำหนดสำหรับทีมพัฒนา ใช้เป็นฐานในการต่อยอด บำรุงรักษา และผสานระบบเข้ากับ ERP / POS / BI ขององค์กร — โมดูลที่อธิบายในเอกสารนี้ทำงานได้จริงแล้วบน production artifact</w:t>
      </w:r>
    </w:p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สารบัญ · 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1. วัตถุประสงค์และขอบเขต · Purpose and Scope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1.1 ปัญหาทางธุรกิจที่แก้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ก่อนมี Module 02+ ตัวเลข Baseline และ Consensus รายเมนูของ JIAN CHA มาจาก IBP workbook ที่ปรับมือเดือนละครั้ง และการดึงยอดขายจริงต้องรอรอบ demand review ทำให้เกิดสามปัญหา: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รอบการอัปเดตช้า — ยอดขายจริงจาก POS ไม่ถูกนำเข้ากระบวนการพยากรณ์จนกว่าจะปิดรอบ ทำให้ demand signal ล่าช้า 2–4 สัปดาห์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ใช้วิธีพยากรณ์เดียวกับทุก SKU — เมนูที่มีฤดูกาลชัด เมนูที่กำลัง ramp และเมนูที่นิ่ง ถูกพยากรณ์ด้วยตรรกะเดียวกัน ทำให้เกิด over-forecast ในกลุ่มขาลง (ดู time-fence conflict −20% ใน Module 03)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ไม่มีร่องรอยการตัดสินใจ — เมื่อผู้วางแผนปรับตัวเลขในที่ประชุม ไม่มีระบบบันทึกว่าใครปรับ ปรับเท่าไร และด้วยเหตุผลอะไร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1.2 วัตถุประสงค์ของโมดูล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ให้ผู้วางแผนอัปเดตตัวเลขพยากรณ์เดือนถัดไปได้เองทันที จากประวัติการขายจริงใน FoodStory POS โดยไม่ต้องพึ่งทีม IT หรือรอบ workbook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เลือกวิธีพยากรณ์ที่เหมาะสมที่สุดแยกราย SKU × ช่องทาง โดยตัดสินจากความแม่นยำที่วัดได้ (backtest) ไม่ใช่จากความเคยชิน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แสดงส่วนต่างระหว่างพยากรณ์จาก POS กับ Baseline/Consensus v6.30 เพื่อให้ที่ประชุม Demand Review มีวาระที่เจาะจงและอิงหลักฐาน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บันทึกการปรับตัวเลขด้วยมือพร้อมเหตุผลและผู้ปรับ เป็น audit trail ตามหลัก IBP governance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ส่งผลพยากรณ์ต่อไปยัง Suggested PR / PO trigger เพื่อปิดวงจร demand-to-supply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1.3 ขอบเขต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อยู่ในขอบเขต (In scope)</w:t>
            </w:r>
          </w:p>
        </w:tc>
        <w:tc>
          <w:tcPr>
            <w:tcW w:type="dxa" w:w="45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อยู่นอกขอบเขต (Out of scope)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นำเข้าไฟล์ประวัติการขายรายเดือนจาก FoodStory POS (CSV/XLSX)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การเชื่อมต่อ API อัตโนมัติกับ FoodStory (ดู Roadmap R-01)</w:t>
            </w:r>
          </w:p>
        </w:tc>
      </w:tr>
      <w:tr>
        <w:tc>
          <w:tcPr>
            <w:tcW w:type="dxa" w:w="4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พยากรณ์รายเดือนถัดไป ถึง +3 เดือน ราย SKU × ช่องทาง</w:t>
            </w:r>
          </w:p>
        </w:tc>
        <w:tc>
          <w:tcPr>
            <w:tcW w:type="dxa" w:w="4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พยากรณ์รายวัน รายสัปดาห์ หรือรายสาขา (ดู Roadmap R-07)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เปรียบเทียบกับ Baseline / Consensus v6.30 พร้อมธงเตือน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การเขียนค่ากลับเข้า IBP workbook อัตโนมัติ (ดู Roadmap R-02)</w:t>
            </w:r>
          </w:p>
        </w:tc>
      </w:tr>
      <w:tr>
        <w:tc>
          <w:tcPr>
            <w:tcW w:type="dxa" w:w="4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บันทึก override พร้อมเหตุผลและผู้ทบทวน (ภายใน session)</w:t>
            </w:r>
          </w:p>
        </w:tc>
        <w:tc>
          <w:tcPr>
            <w:tcW w:type="dxa" w:w="4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การเก็บ override ถาวรในฐานข้อมูล (ดู Roadmap R-04)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ส่งดัชนีดีมานด์รวมต่อเข้า Suggested PR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การกระจายพยากรณ์เป็นวัตถุดิบผ่าน BOM (ดู Roadmap R-03)</w:t>
            </w:r>
          </w:p>
        </w:tc>
      </w:tr>
      <w:tr>
        <w:tc>
          <w:tcPr>
            <w:tcW w:type="dxa" w:w="4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ส่งออก Excel 4 ชีต และ CSV</w:t>
            </w:r>
          </w:p>
        </w:tc>
        <w:tc>
          <w:tcPr>
            <w:tcW w:type="dxa" w:w="4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การอนุมัติแบบ workflow หลายลำดับชั้น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2. สถาปัตยกรรมระบบ · Solution Architecture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2.1 หลักการออกแบบ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โมดูลถูกออกแบบเป็น zero-backend client-side module ทั้งหมด ไฟล์ที่ผู้ใช้อัปโหลดถูกอ่านด้วย FileReader API ในเบราว์เซอร์ ประมวลผล และแสดงผลในหน้าเดียวกัน ไม่มี endpoint สำหรับอัปโหลด ไม่มีฐานข้อมูล และไม่มี state ที่คงอยู่หลังรีเฟรชหน้า</w:t>
      </w:r>
    </w:p>
    <w:p>
      <w:pPr>
        <w:spacing w:after="20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เหตุผลของการเลือกสถาปัตยกรรมนี้มีสามข้อ: (1) ข้อมูลยอดขายรายสาขาเป็นข้อมูลอ่อนไหว การไม่ส่งออกจากเครื่องผู้ใช้ตัดความเสี่ยงด้าน data governance ออกทั้งหมด (2) ผู้วางแผนใช้งานได้ทันทีโดยไม่ต้องรอ provisioning หรือสิทธิ์เข้าถึงระบบใหม่ (3) โมดูลทำงานได้แม้เครือข่ายภายในไม่เสถียร เพราะไม่พึ่ง server call ระหว่างใช้งาน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2.2 ลำดับการประมวลผล (Processing pipeline)</w:t>
      </w:r>
    </w:p>
    <w:p>
      <w:pPr>
        <w:pBdr>
          <w:top w:val="single" w:color="D8D1C3" w:sz="2"/>
          <w:bottom w:val="single" w:color="D8D1C3" w:sz="2"/>
          <w:left w:val="single" w:color="D8D1C3" w:sz="2"/>
          <w:right w:val="single" w:color="D8D1C3" w:sz="2"/>
        </w:pBdr>
        <w:shd w:fill="EAE4D8" w:val="clear"/>
        <w:spacing w:after="120" w:before="60"/>
      </w:pP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FoodStory export (.csv / .xlsx)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|  FileReader — เครื่องผู้ใช้เท่านั้น ไม่มีการส่งขึ้น server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v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parseCSV()  |  XLSX.read()      ตัวแยกวิเคราะห์ CSV ของโมดูลเอง / SheetJS เฉพาะ .xlsx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v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loadAOA()                       ตรวจหาแถวหัวตาราง + เดาคอลัมน์ (keyword -&gt; content)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v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buildSeries()                   { code||channel : [v1 ... vn] } เรียงตามแกนเดือน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v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runEngine()                     winsorize -&gt; backtest 7 วิธี -&gt; เลือก WMAPE ต่ำสุด -&gt; พยากรณ์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v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buildSkuRows()                  รวมช่องทางเป็นราย SKU + join DATA.menu + คำนวณ gap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v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render / override               KPI · method mix · ตาราง · ช่อง override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v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exportFC()  syncExplorer()  toPR()      Excel 4 ชีต · Data Explorer · Suggested PR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2.3 จุดเชื่อมต่อกับโค้ดเดิม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โมดูลแตะโค้ดเดิมเพียง 4 จุด และมีเพียงจุดเดียวที่แก้ไขพฤติกรรมของฟังก์ชันที่มีอยู่แล้ว: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900"/>
        <w:gridCol w:w="4600"/>
        <w:gridCol w:w="2500"/>
      </w:tblGrid>
      <w:tr>
        <w:trPr>
          <w:tblHeader/>
        </w:trPr>
        <w:tc>
          <w:tcPr>
            <w:tcW w:type="dxa" w:w="19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สัญลักษณ์เดิม</w:t>
            </w:r>
          </w:p>
        </w:tc>
        <w:tc>
          <w:tcPr>
            <w:tcW w:type="dxa" w:w="46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การใช้งานโดย Module 02+</w:t>
            </w:r>
          </w:p>
        </w:tc>
        <w:tc>
          <w:tcPr>
            <w:tcW w:type="dxa" w:w="25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ความเสี่ยง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DATA.menu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อ่านอย่างเดียว join ด้วย sku (upper-case, trim) เพื่อดึง Baseline/Consensus มาคำนวณ gap และใช้สร้างชุด DEMO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ต่ำ — ถ้าไม่มี คอลัมน์ gap แสดง — โดยไม่ throw</w:t>
            </w:r>
          </w:p>
        </w:tc>
      </w:tr>
      <w:tr>
        <w:tc>
          <w:tcPr>
            <w:tcW w:type="dxa" w:w="1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DATASETS</w:t>
            </w:r>
          </w:p>
        </w:tc>
        <w:tc>
          <w:tcPr>
            <w:tcW w:type="dxa" w:w="4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เพิ่ม 1 รายการ DATASETS.forecast ตอน script eval ชี้ไปที่อาเรย์ FCROWS</w:t>
            </w:r>
          </w:p>
        </w:tc>
        <w:tc>
          <w:tcPr>
            <w:tcW w:type="dxa" w:w="2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ต่ำ — ต้องลงทะเบียนก่อน DOMContentLoaded เท่านั้น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PARAM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เพิ่มคีย์ basis และ fcIndex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ต่ำ</w:t>
            </w:r>
          </w:p>
        </w:tc>
      </w:tr>
      <w:tr>
        <w:tc>
          <w:tcPr>
            <w:tcW w:type="dxa" w:w="1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recomputePR()</w:t>
            </w:r>
          </w:p>
        </w:tc>
        <w:tc>
          <w:tcPr>
            <w:tcW w:type="dxa" w:w="4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ถูกแก้ให้คำนวณ dailyEff / dosEff ก่อน แล้วใช้ค่านั้นแทน avgDaily</w:t>
            </w:r>
          </w:p>
        </w:tc>
        <w:tc>
          <w:tcPr>
            <w:tcW w:type="dxa" w:w="2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ปานกลาง — เป็นฟังก์ชันเดิมเพียงตัวเดียวที่ถูกแก้</w:t>
            </w:r>
          </w:p>
        </w:tc>
      </w:tr>
    </w:tbl>
    <w:p>
      <w:pPr>
        <w:spacing w:after="120" w:before="12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เมื่อ PARAM.basis เป็น "jun" (ค่าตั้งต้น) ตัวคูณ K มีค่าเท่ากับ 1 พอดี ทำให้ dailyEff เท่ากับ avgDaily และพฤติกรรมของ Suggested PR เหมือนเดิมทุกประการ การเปลี่ยนไปใช้ฐานพยากรณ์เป็น opt-in และย้อนกลับได้จากหน้าจอ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2.4 Dependency ภายนอก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Dependency</w:t>
            </w:r>
          </w:p>
        </w:tc>
        <w:tc>
          <w:tcPr>
            <w:tcW w:type="dxa" w:w="36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ใช้ทำอะไร</w:t>
            </w:r>
          </w:p>
        </w:tc>
        <w:tc>
          <w:tcPr>
            <w:tcW w:type="dxa" w:w="28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พฤติกรรมเมื่อโหลดไม่ได้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SheetJS xlsx 0.18.5 (cdnjs)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อ่านไฟล์ .xlsx/.xls และเขียน Excel export 4 ชีต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ลดระดับอย่างนุ่มนวล — .csv ใช้ตัวแยกวิเคราะห์ของโมดูลเอง และ export เปลี่ยนเป็น CSV พร้อมแจ้งเตือน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Google Fonts (IBM Plex Sans Thai / Noto Sans Thai)</w:t>
            </w:r>
          </w:p>
        </w:tc>
        <w:tc>
          <w:tcPr>
            <w:tcW w:type="dxa" w:w="3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ฟอนต์สำรองเมื่อเครื่องไม่มี Sukhumvit</w:t>
            </w:r>
          </w:p>
        </w:tc>
        <w:tc>
          <w:tcPr>
            <w:tcW w:type="dxa" w:w="2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กระทบเฉพาะรูปลักษณ์</w:t>
            </w:r>
          </w:p>
        </w:tc>
      </w:tr>
    </w:tbl>
    <w:p>
      <w:pPr>
        <w:spacing w:after="120" w:before="10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ไม่มี dependency อื่น ไม่มี framework ไม่มี build tool โค้ดเป็น JavaScript ES5-compatible จึงรันได้ทั้งใน Cowork artifact sandbox และเบราว์เซอร์องค์กรทั่วไปโดยไม่ต้อง polyfill</w:t>
      </w:r>
    </w:p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3. ข้อกำหนดข้อมูลนำเข้า · Data Contract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3.1 รูปแบบที่รองรับ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โมดูลรองรับสองรูปแบบ และตรวจจับให้อัตโนมัติ หากพบหัวคอลัมน์ที่แปลงเป็นเดือนได้ตั้งแต่ 3 คอลัมน์ขึ้นไป จะถือว่าเป็น wide มิฉะนั้นถือเป็น long</w:t>
      </w:r>
    </w:p>
    <w:p>
      <w:pPr>
        <w:pStyle w:val="Heading3"/>
        <w:spacing w:after="90" w:before="180"/>
      </w:pPr>
      <w:r>
        <w:rPr>
          <w:rFonts w:ascii="Sukhumvit Set" w:cs="Sukhumvit Set" w:eastAsia="Sukhumvit Set" w:hAnsi="Sukhumvit Set"/>
          <w:b/>
          <w:bCs/>
          <w:color w:val="6E695F"/>
          <w:sz w:val="21"/>
          <w:szCs w:val="21"/>
        </w:rPr>
        <w:t xml:space="preserve">รูปแบบ Long (แนะนำ) — 1 แถว = 1 SKU × 1 เดือน × 1 ช่องทาง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900"/>
        <w:gridCol w:w="1300"/>
        <w:gridCol w:w="900"/>
        <w:gridCol w:w="4900"/>
      </w:tblGrid>
      <w:tr>
        <w:trPr>
          <w:tblHeader/>
        </w:trPr>
        <w:tc>
          <w:tcPr>
            <w:tcW w:type="dxa" w:w="19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คอลัมน์</w:t>
            </w:r>
          </w:p>
        </w:tc>
        <w:tc>
          <w:tcPr>
            <w:tcW w:type="dxa" w:w="13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ชนิด</w:t>
            </w:r>
          </w:p>
        </w:tc>
        <w:tc>
          <w:tcPr>
            <w:tcW w:type="dxa" w:w="9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บังคับ</w:t>
            </w:r>
          </w:p>
        </w:tc>
        <w:tc>
          <w:tcPr>
            <w:tcW w:type="dxa" w:w="49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คำอธิบาย / กติกา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month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string/date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ใช่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เดือนของยอดขาย รองรับ YYYY-MM, YYYY-MM-DD, DD/MM/YYYY, MM/YYYY, YYYYMM, ชื่อเดือนไทยย่อ/เต็ม และชื่อเดือนอังกฤษ รองรับปี พ.ศ. และปี 2 หลัก</w:t>
            </w:r>
          </w:p>
        </w:tc>
      </w:tr>
      <w:tr>
        <w:tc>
          <w:tcPr>
            <w:tcW w:type="dxa" w:w="1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sku_code</w:t>
            </w:r>
          </w:p>
        </w:tc>
        <w:tc>
          <w:tcPr>
            <w:tcW w:type="dxa" w:w="1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ใช่</w:t>
            </w:r>
          </w:p>
        </w:tc>
        <w:tc>
          <w:tcPr>
            <w:tcW w:type="dxa" w:w="4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รหัสสินค้า/เมนู ใช้เป็นคีย์หลัก ต้องตรงกับรหัสใน IBP workbook จึงจะ join กับ Baseline/Consensus ได้ (เทียบแบบ upper-case และตัดช่องว่าง)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menu_name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ไม่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ชื่อที่แสดงในตาราง หากไม่มีจะใช้รหัสแทน</w:t>
            </w:r>
          </w:p>
        </w:tc>
      </w:tr>
      <w:tr>
        <w:tc>
          <w:tcPr>
            <w:tcW w:type="dxa" w:w="1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channel</w:t>
            </w:r>
          </w:p>
        </w:tc>
        <w:tc>
          <w:tcPr>
            <w:tcW w:type="dxa" w:w="1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ไม่</w:t>
            </w:r>
          </w:p>
        </w:tc>
        <w:tc>
          <w:tcPr>
            <w:tcW w:type="dxa" w:w="4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ช่องทาง/สาขา/ประเภทออเดอร์ ผ่านกฎจับกลุ่มก่อนใช้งาน หากไม่มีคอลัมน์นี้ ระบบรวมเป็นช่องทางเดียว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qty_cups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ใช่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จำนวนขาย (แก้ว/หน่วย) รองรับตัวคั่นหลักพันและวงเล็บแทนค่าลบ</w:t>
            </w:r>
          </w:p>
        </w:tc>
      </w:tr>
      <w:tr>
        <w:tc>
          <w:tcPr>
            <w:tcW w:type="dxa" w:w="1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net_sales</w:t>
            </w:r>
          </w:p>
        </w:tc>
        <w:tc>
          <w:tcPr>
            <w:tcW w:type="dxa" w:w="1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ไม่</w:t>
            </w:r>
          </w:p>
        </w:tc>
        <w:tc>
          <w:tcPr>
            <w:tcW w:type="dxa" w:w="4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ยอดขายสุทธิ ใช้เมื่อเลือกพยากรณ์บนฐานมูลค่า</w:t>
            </w:r>
          </w:p>
        </w:tc>
      </w:tr>
    </w:tbl>
    <w:p>
      <w:pPr>
        <w:pStyle w:val="Heading3"/>
        <w:spacing w:after="90" w:before="180"/>
      </w:pPr>
      <w:r>
        <w:rPr>
          <w:rFonts w:ascii="Sukhumvit Set" w:cs="Sukhumvit Set" w:eastAsia="Sukhumvit Set" w:hAnsi="Sukhumvit Set"/>
          <w:b/>
          <w:bCs/>
          <w:color w:val="6E695F"/>
          <w:sz w:val="21"/>
          <w:szCs w:val="21"/>
        </w:rPr>
        <w:t xml:space="preserve">รูปแบบ Wide — 1 แถว = 1 SKU (× ช่องทาง) เดือนเป็นหัวคอลัมน์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คอลัมน์ระบุตัวตน (รหัส / ชื่อ / ช่องทาง) อยู่ซ้ายมือ ตามด้วยคอลัมน์เดือนที่หัวตารางแปลงเป็นเดือนได้ ระบบ pivot ให้อัตโนมัติ ผลลัพธ์ต้องเท่ากับไฟล์ long ที่มีข้อมูลชุดเดียวกันทุกประการ (ข้อนี้ถูกทดสอบใน regression suite)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3.2 กติกาการแปลงเดือน (Month parsing)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600"/>
        <w:gridCol w:w="1500"/>
        <w:gridCol w:w="4900"/>
      </w:tblGrid>
      <w:tr>
        <w:trPr>
          <w:tblHeader/>
        </w:trPr>
        <w:tc>
          <w:tcPr>
            <w:tcW w:type="dxa" w:w="26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ค่าที่รับเข้า</w:t>
            </w:r>
          </w:p>
        </w:tc>
        <w:tc>
          <w:tcPr>
            <w:tcW w:type="dxa" w:w="15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ผลลัพธ์</w:t>
            </w:r>
          </w:p>
        </w:tc>
        <w:tc>
          <w:tcPr>
            <w:tcW w:type="dxa" w:w="49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หมายเหตุ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2026-06 / 2026-06-15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2026-06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ISO — รูปแบบที่แนะนำ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15/06/2569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2026-06</w:t>
            </w:r>
          </w:p>
        </w:tc>
        <w:tc>
          <w:tcPr>
            <w:tcW w:type="dxa" w:w="4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วัน/เดือน/ปี พ.ศ. → หักลบ 543 อัตโนมัติ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มิ.ย. 69 / มิถุนายน 2569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2026-06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ชื่อเดือนไทยย่อและเต็ม + ปี 2 หรือ 4 หลัก</w:t>
            </w:r>
          </w:p>
        </w:tc>
      </w:tr>
      <w:tr>
        <w:tc>
          <w:tcPr>
            <w:tcW w:type="dxa" w:w="26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Jun-2026 / June 26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2026-06</w:t>
            </w:r>
          </w:p>
        </w:tc>
        <w:tc>
          <w:tcPr>
            <w:tcW w:type="dxa" w:w="4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ชื่อเดือนอังกฤษ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202606 / 6/2026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2026-06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รูปแบบกระชับ</w:t>
            </w:r>
          </w:p>
        </w:tc>
      </w:tr>
    </w:tbl>
    <w:p>
      <w:pPr>
        <w:spacing w:after="120" w:before="10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กติกาปีสองหลัก: แปลงเป็น ค.ศ. ก่อน (yy + 2000) หากผลลัพธ์เกินปีปัจจุบัน + 5 ปี จะตีความเป็นปี พ.ศ. ย่อแทน (yy + 2500 − 543) ดังนั้น "69" → 2026 และ "26" → 2026 ทั้งคู่ ซึ่งตรงกับการใช้งานจริงในไทย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3.3 การเดาคอลัมน์อัตโนมัติ (Column auto-mapping)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ระบบเดาสองชั้น ชั้นแรกจับคู่จากคำในหัวตาราง (รองรับทั้งไทยและอังกฤษ ตัดช่องว่าง ขีด จุด และวงเล็บออกก่อนเทียบ) หากไม่พบ ชั้นที่สองวิเคราะห์จากเนื้อข้อมูล 40 แถวแรก: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คอลัมน์เดือน = คอลัมน์ที่ค่าอย่างน้อย 70% แปลงเป็นเดือนได้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คอลัมน์รหัส = คอลัมน์ข้อความคอลัมน์แรกที่ไม่ใช่คอลัมน์เดือน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คอลัมน์จำนวน = คอลัมน์ตัวเลขคอลัมน์ขวาสุดที่ไม่ใช่รหัส เดือน หรือมูลค่า</w:t>
      </w:r>
    </w:p>
    <w:p>
      <w:pPr>
        <w:spacing w:after="120" w:before="10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ผลการเดาทุกครั้งแสดงให้ผู้ใช้แก้ไขได้ และระบบเตือนเมื่อคอลัมน์เดือนที่เดาไว้ไม่ผ่านการตรวจเนื้อข้อมูล ข้อกำหนดนี้สำคัญ เพราะรายงานจาก FoodStory มักมีแถวหัวรายงานคั่นก่อนหัวตารางจริง — ระบบเลือกแถวที่มีเซลล์ไม่ว่างมากที่สุดใน 6 แถวแรกเป็นหัวตาราง โดยแถวที่พบก่อนชนะเมื่อเสมอกัน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3.4 กฎจับกลุ่มช่องทาง (Channel bucketing)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ค่าดิบในคอลัมน์ช่องทางถูกจับเข้ากลุ่มด้วยกฎคำค้นที่ผู้ใช้แก้ไขได้จากหน้าจอ รูปแบบบรรทัดละหนึ่งกลุ่ม: ชื่อกลุ่ม = คำค้น1, คำค้น2 การเทียบเป็นแบบ substring ไม่สนใจตัวพิมพ์ กลุ่มแรกที่ตรงชนะ ค่าที่ไม่เข้ากฎใดตกไปยังกลุ่มตั้งต้น</w:t>
      </w:r>
    </w:p>
    <w:p>
      <w:pPr>
        <w:pBdr>
          <w:top w:val="single" w:color="D8D1C3" w:sz="2"/>
          <w:bottom w:val="single" w:color="D8D1C3" w:sz="2"/>
          <w:left w:val="single" w:color="D8D1C3" w:sz="2"/>
          <w:right w:val="single" w:color="D8D1C3" w:sz="2"/>
        </w:pBdr>
        <w:shd w:fill="EAE4D8" w:val="clear"/>
        <w:spacing w:after="120" w:before="60"/>
      </w:pP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Delivery = grab, แกร็บ, line, lineman, ไลน์แมน, robinhood, panda, foodpanda, shopee, delivery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FC (Franchise) = jf, franchise, แฟรนไชส์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MS (Master/Company) = jc, master, company, บริษัท</w:t>
      </w:r>
    </w:p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4. กลไกพยากรณ์ · Forecast Engine Specification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4.1 การเตรียมอนุกรมเวลา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รวมยอดตามคีย์ code||channel และแกนเดือนที่เรียงแล้ว เดือนที่ไม่มีข้อมูลนับเป็น 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ตัดศูนย์นำหน้าออก (leading zeros) — SKU ที่เพิ่งเปิดขายกลางอนุกรมจะเริ่มนับประวัติจากเดือนแรกที่มียอดจริง เพื่อไม่ให้ค่าเฉลี่ยถูกกดด้วยศูนย์ก่อนเปิดตัว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ศูนย์ท้ายอนุกรมถูกเก็บไว้ เพราะเป็นสัญญาณของสินค้าที่หยุดขาย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ตัวเลือก "ตัดเดือนล่าสุดทิ้ง" สำหรับกรณีที่ export มาระหว่างเดือนและข้อมูลเดือนล่าสุดยังไม่ครบ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4.2 การจัดการค่าผิดปกติ (Winsorization)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เปิดใช้เป็นค่าตั้งต้น ใช้เฉพาะกับอนุกรมที่มีอย่างน้อย 5 จุด คำนวณค่ามัธยฐาน (median) และ MAD (median absolute deviation) แล้วตัดค่าที่อยู่นอกช่วง median ± 3 × 1.4826 × MAD ให้เท่าขอบเขต โดยขอบล่างไม่ต่ำกว่า 0</w:t>
      </w:r>
    </w:p>
    <w:p>
      <w:pPr>
        <w:pBdr>
          <w:top w:val="single" w:color="D8D1C3" w:sz="2"/>
          <w:bottom w:val="single" w:color="D8D1C3" w:sz="2"/>
          <w:left w:val="single" w:color="D8D1C3" w:sz="2"/>
          <w:right w:val="single" w:color="D8D1C3" w:sz="2"/>
        </w:pBdr>
        <w:shd w:fill="EAE4D8" w:val="clear"/>
        <w:spacing w:after="120" w:before="60"/>
      </w:pP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hi = median + 3 * 1.4826 * MAD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lo = max(0, median - 3 * 1.4826 * MAD)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v' = min(hi, max(lo, v))        // ใช้เฉพาะตอน fit ไม่แก้ข้อมูลต้นฉบับที่แสดง</w:t>
      </w:r>
    </w:p>
    <w:p>
      <w:pPr>
        <w:spacing w:after="120" w:before="10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จำนวนจุดที่ถูกตัดแสดงเป็นธง "⚡ ตัด outlier n" ในตาราง เพื่อให้ผู้วางแผนรู้ว่าเดือนโปรโมชันถูกลดน้ำหนักลง เหตุผลที่ใช้ MAD แทนส่วนเบี่ยงเบนมาตรฐาน คือ MAD ทนต่อค่าผิดปกติเอง จึงไม่ถูกยืดโดยจุดที่ต้องการตัด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4.3 วิธีพยากรณ์ทั้งเจ็ด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ให้ a = [a₁ … aₙ] คืออนุกรมยอดขายรายเดือนหลัง winsorize และ h คือระยะพยากรณ์ (จำนวนเดือนนับจากเดือนล่าสุด)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200"/>
        <w:gridCol w:w="1500"/>
        <w:gridCol w:w="4300"/>
        <w:gridCol w:w="2000"/>
      </w:tblGrid>
      <w:tr>
        <w:trPr>
          <w:tblHeader/>
        </w:trPr>
        <w:tc>
          <w:tcPr>
            <w:tcW w:type="dxa" w:w="1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รหัส</w:t>
            </w:r>
          </w:p>
        </w:tc>
        <w:tc>
          <w:tcPr>
            <w:tcW w:type="dxa" w:w="15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ชื่อ</w:t>
            </w:r>
          </w:p>
        </w:tc>
        <w:tc>
          <w:tcPr>
            <w:tcW w:type="dxa" w:w="43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สูตร</w:t>
            </w:r>
          </w:p>
        </w:tc>
        <w:tc>
          <w:tcPr>
            <w:tcW w:type="dxa" w:w="2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ประวัติขั้นต่ำ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naive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Naive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F = aₙ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1 เดือน</w:t>
            </w:r>
          </w:p>
        </w:tc>
      </w:tr>
      <w:tr>
        <w:tc>
          <w:tcPr>
            <w:tcW w:type="dxa" w:w="1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ma3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MA-3M</w:t>
            </w:r>
          </w:p>
        </w:tc>
        <w:tc>
          <w:tcPr>
            <w:tcW w:type="dxa" w:w="4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F = mean(aₙ₋₂ … aₙ)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2 เดือน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ma6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MA-6M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F = mean(aₙ₋₅ … aₙ)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4 เดือน</w:t>
            </w:r>
          </w:p>
        </w:tc>
      </w:tr>
      <w:tr>
        <w:tc>
          <w:tcPr>
            <w:tcW w:type="dxa" w:w="1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wma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WMA</w:t>
            </w:r>
          </w:p>
        </w:tc>
        <w:tc>
          <w:tcPr>
            <w:tcW w:type="dxa" w:w="4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F = (0.5aₙ + 0.3aₙ₋₁ + 0.2aₙ₋₂) / Σw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3 เดือน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ses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SES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Lₜ = αaₜ + (1−α)Lₜ₋₁ ; F = Lₙ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3 เดือน</w:t>
            </w:r>
          </w:p>
        </w:tc>
      </w:tr>
      <w:tr>
        <w:tc>
          <w:tcPr>
            <w:tcW w:type="dxa" w:w="1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trend</w:t>
            </w:r>
          </w:p>
        </w:tc>
        <w:tc>
          <w:tcPr>
            <w:tcW w:type="dxa" w:w="15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Linear Trend</w:t>
            </w:r>
          </w:p>
        </w:tc>
        <w:tc>
          <w:tcPr>
            <w:tcW w:type="dxa" w:w="4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OLS บน 6 จุดล่าสุด ; F = a₀ + b(k−1+h)</w:t>
            </w:r>
          </w:p>
        </w:tc>
        <w:tc>
          <w:tcPr>
            <w:tcW w:type="dxa" w:w="2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3 เดือน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snaive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Seasonal-12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F = aₙ₋₁₂₊ₕ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12 เดือน</w:t>
            </w:r>
          </w:p>
        </w:tc>
      </w:tr>
    </w:tbl>
    <w:p>
      <w:pPr>
        <w:spacing w:after="120" w:before="10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ค่าพยากรณ์ทุกวิธีถูก clamp ไม่ให้ต่ำกว่า 0 วิธีที่ประวัติไม่พอจะไม่ถูกนำมาแข่ง ค่าตั้งต้นของ α คือ 0.3 ปรับได้จากหน้าจอ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4.4 การเลือกวิธีด้วย backtest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สำหรับแต่ละอนุกรม ระบบกัน holdout ไว้ h_hold เดือนท้าย โดย h_hold = min(ค่าที่ผู้ใช้ตั้ง, n − 3) เพื่อให้เหลือข้อมูลฝึกอย่างน้อย 3 เดือนเสมอ ถ้าเหลือไม่พอจะไม่ทำ backtest และตกไปใช้ naive พร้อมติดธง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ที่แต่ละจุด t ในช่วง holdout ระบบฝึกด้วย a[1..t−1] แล้วพยากรณ์ 1 ก้าวไปยัง t (rolling-origin evaluation) สะสมค่าความคลาดเคลื่อน แล้วคำนวณ:</w:t>
      </w:r>
    </w:p>
    <w:p>
      <w:pPr>
        <w:pBdr>
          <w:top w:val="single" w:color="D8D1C3" w:sz="2"/>
          <w:bottom w:val="single" w:color="D8D1C3" w:sz="2"/>
          <w:left w:val="single" w:color="D8D1C3" w:sz="2"/>
          <w:right w:val="single" w:color="D8D1C3" w:sz="2"/>
        </w:pBdr>
        <w:shd w:fill="EAE4D8" w:val="clear"/>
        <w:spacing w:after="120" w:before="60"/>
      </w:pP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WMAPE = Σ |Fₜ − Aₜ|  /  Σ Aₜ          ยิ่งต่ำยิ่งแม่น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Bias  = Σ (Fₜ − Aₜ)  /  Σ Aₜ          บวก = พยากรณ์สูงเกิน (เสี่ยง overstock)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                                       ลบ  = พยากรณ์ต่ำเกิน (เสี่ยง stockout)</w:t>
      </w:r>
    </w:p>
    <w:p>
      <w:pPr>
        <w:spacing w:after="120" w:before="10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เลือกวิธีที่ WMAPE ต่ำสุด เมื่อค่าเท่ากันจะเลือกวิธีที่เรียบง่ายกว่าตามลำดับ naive → ma3 → wma → ma6 → ses → trend → snaive ซึ่งเป็นหลักการ parsimony ที่ป้องกันการ overfit ในอนุกรมสั้น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เหตุผลที่ใช้ WMAPE แทน MAPE: MAPE หารด้วยค่าจริงรายจุด ทำให้เดือนที่ยอดต่ำมากสร้างเปอร์เซ็นต์ผิดพลาดมหาศาลและครอบงำค่าเฉลี่ย ส่วน WMAPE ถ่วงน้ำหนักด้วยปริมาณจริง จึงสะท้อนผลกระทบทางธุรกิจได้ตรงกว่า และสอดคล้องกับตัวชี้วัดที่ใช้ใน IBP workbook อยู่แล้ว (Jun WMAPE 14.4%)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4.5 การปรับตามจำนวนวันในเดือน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เปิดใช้เป็นค่าตั้งต้น ค่าพยากรณ์ถูกคูณด้วยอัตราส่วนจำนวนวันในเดือนเป้าหมาย ต่อค่าเฉลี่ยจำนวนวันของ 3 เดือนล่าสุด</w:t>
      </w:r>
    </w:p>
    <w:p>
      <w:pPr>
        <w:pBdr>
          <w:top w:val="single" w:color="D8D1C3" w:sz="2"/>
          <w:bottom w:val="single" w:color="D8D1C3" w:sz="2"/>
          <w:left w:val="single" w:color="D8D1C3" w:sz="2"/>
          <w:right w:val="single" w:color="D8D1C3" w:sz="2"/>
        </w:pBdr>
        <w:shd w:fill="EAE4D8" w:val="clear"/>
        <w:spacing w:after="120" w:before="60"/>
      </w:pP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dayFactor = daysIn(targetMonth) / mean(daysIn(3 เดือนล่าสุด))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Forecast  = round( rawForecast * dayFactor )</w:t>
      </w:r>
    </w:p>
    <w:p>
      <w:pPr>
        <w:spacing w:after="120" w:before="10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สำหรับธุรกิจเครื่องดื่มที่ขายทุกวัน ความต่างระหว่างเดือน 28 วันกับ 31 วันคือประมาณ 10% ซึ่งมากพอที่จะกลบสัญญาณดีมานด์จริงถ้าไม่ปรับ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4.6 ธงเตือนอัตโนมัติ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ธง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เงื่อนไข</w:t>
            </w:r>
          </w:p>
        </w:tc>
        <w:tc>
          <w:tcPr>
            <w:tcW w:type="dxa" w:w="3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การกระทำที่คาดหวัง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🆕 ประวัติสั้น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จำนวนเดือนที่มีข้อมูล &lt; เกณฑ์ขั้นต่ำ (ตั้งต้น 4)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ผู้วางแผนต้องกำหนดตัวเลขเอง — ระบบไม่มีฐานพอ</w:t>
            </w:r>
          </w:p>
        </w:tc>
      </w:tr>
      <w:tr>
        <w:tc>
          <w:tcPr>
            <w:tcW w:type="dxa" w:w="2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⏹ ไม่มียอด 2 เดือน</w:t>
            </w:r>
          </w:p>
        </w:tc>
        <w:tc>
          <w:tcPr>
            <w:tcW w:type="dxa" w:w="3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สองเดือนล่าสุดเป็น 0</w:t>
            </w:r>
          </w:p>
        </w:tc>
        <w:tc>
          <w:tcPr>
            <w:tcW w:type="dxa" w:w="3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บังคับพยากรณ์เป็น 0 · ตรวจสอบว่าเลิกขายหรือข้อมูลขาด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⚠ WMAPE สูง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WMAPE ของวิธีที่เลือก &gt; 30%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อนุกรมผันผวนเกินกว่าจะพยากรณ์เชิงสถิติ — ใช้ดุลพินิจ</w:t>
            </w:r>
          </w:p>
        </w:tc>
      </w:tr>
      <w:tr>
        <w:tc>
          <w:tcPr>
            <w:tcW w:type="dxa" w:w="2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⚡ ตัด outlier n</w:t>
            </w:r>
          </w:p>
        </w:tc>
        <w:tc>
          <w:tcPr>
            <w:tcW w:type="dxa" w:w="3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มีจุดถูก winsorize</w:t>
            </w:r>
          </w:p>
        </w:tc>
        <w:tc>
          <w:tcPr>
            <w:tcW w:type="dxa" w:w="3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ตรวจว่าเป็นเดือนโปรโมชันหรือข้อมูลผิด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📈 / 📉 gap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|พยากรณ์ − Consensus| / Consensus &gt; เกณฑ์ (ตั้งต้น 15%)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ต้องนำเข้าวาระ Demand Review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5. ผลลัพธ์และการเชื่อมต่อ · Outputs and Integration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5.1 การเทียบกับ Baseline / Consensus v6.30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ในมุมมองรวมราย SKU ระบบ join กับ DATA.menu ด้วยรหัส SKU แล้วคำนวณ gap = (Final − Consensus) / Consensus × 100 ค่า Final คือค่าที่ผ่าน override แล้ว (ถ้ามี) มิฉะนั้นคือค่าพยากรณ์ ธงเตือนจะติดเมื่อค่าสัมบูรณ์ของ gap เกินเกณฑ์ที่ตั้งไว้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5.2 กลไก Override และ audit trail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ผู้ใช้แก้ตัวเลขได้ทั้งระดับ SKU และระดับ SKU × ช่องทาง ระบบเก็บเป็นเรกคอร์ด { qty, reason, by, at } โดย by ดึงจากช่อง "ผู้ทบทวน" และ at คือเดือนเป้าหมาย เมื่อมี override ที่ระดับ SKU ค่านั้นจะแทนที่ผลรวมของช่องทางทั้งหมด</w:t>
      </w:r>
    </w:p>
    <w:p>
      <w:pPr>
        <w:spacing w:after="180" w:before="0"/>
      </w:pPr>
      <w:r>
        <w:rPr>
          <w:rFonts w:ascii="Sukhumvit Set" w:cs="Sukhumvit Set" w:eastAsia="Sukhumvit Set" w:hAnsi="Sukhumvit Set"/>
          <w:b/>
          <w:bCs/>
          <w:color w:val="1C1A17"/>
          <w:sz w:val="20"/>
          <w:szCs w:val="20"/>
        </w:rPr>
        <w:t xml:space="preserve">ข้อจำกัดที่ต้องรับทราบ: </w:t>
      </w: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Cowork artifact ไม่อนุญาตให้ใช้ localStorage หรือ sessionStorage ดังนั้น override เก็บอยู่ในหน่วยความจำของหน้าเว็บเท่านั้น และหายเมื่อรีเฟรช การส่งออก Excel จึงเป็นทั้งกลไกบันทึกถาวรและ audit trail — ข้อกำหนดนี้ถูกแสดงบนหน้าจอให้ผู้ใช้เห็นตลอดเวลา และมีแผนแก้ในโรดแมป R-04</w:t>
      </w:r>
    </w:p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5.3 โครงสร้างไฟล์ส่งออก Excel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ชีต</w:t>
            </w:r>
          </w:p>
        </w:tc>
        <w:tc>
          <w:tcPr>
            <w:tcW w:type="dxa" w:w="69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เนื้อหา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Forecast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หนึ่งแถวต่อรายการตามมุมมองที่เลือก: รหัส ชื่อ (ช่องทาง) พยากรณ์ Override Final เดือนล่าสุด Δ% วิธี WMAPE% Bias% Baseline Consensus Gap% ธง เหตุผล ผู้ทบทวน</w:t>
            </w:r>
          </w:p>
        </w:tc>
      </w:tr>
      <w:tr>
        <w:tc>
          <w:tcPr>
            <w:tcW w:type="dxa" w:w="21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History</w:t>
            </w:r>
          </w:p>
        </w:tc>
        <w:tc>
          <w:tcPr>
            <w:tcW w:type="dxa" w:w="6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เมทริกซ์ประวัติเต็ม — รหัส ชื่อ ช่องทาง แล้วตามด้วยหนึ่งคอลัมน์ต่อเดือน ใช้ตรวจสอบย้อนกลับและนำเข้า workbook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MethodScores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WMAPE ของทั้ง 7 วิธีต่อหนึ่ง SKU × ช่องทาง พร้อมวิธีที่ระบบเลือก — ใช้ในการกำกับดูแล (governance) และตรวจสอบว่าการเลือกวิธีสมเหตุสมผล</w:t>
            </w:r>
          </w:p>
        </w:tc>
      </w:tr>
      <w:tr>
        <w:tc>
          <w:tcPr>
            <w:tcW w:type="dxa" w:w="21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Overrides</w:t>
            </w:r>
          </w:p>
        </w:tc>
        <w:tc>
          <w:tcPr>
            <w:tcW w:type="dxa" w:w="6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เฉพาะรายการที่ถูกแก้: คีย์ รหัส ช่องทาง เดือน ค่าที่ระบบพยากรณ์ ค่าที่แก้ เหตุผล ผู้ทบทวน</w:t>
            </w:r>
          </w:p>
        </w:tc>
      </w:tr>
    </w:tbl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5.4 การป้อนต่อเข้า Suggested PR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โมดูลคำนวณ Demand Index = ผลรวมพยากรณ์เดือนเป้าหมาย ÷ ผลรวมยอดจริงเดือนล่าสุด แล้วนำไปคูณอัตราการเบิกใช้วัตถุดิบเดิม เพื่อคำนวณ Suggested PR และ Cover-Days ใหม่</w:t>
      </w:r>
    </w:p>
    <w:p>
      <w:pPr>
        <w:pBdr>
          <w:top w:val="single" w:color="D8D1C3" w:sz="2"/>
          <w:bottom w:val="single" w:color="D8D1C3" w:sz="2"/>
          <w:left w:val="single" w:color="D8D1C3" w:sz="2"/>
          <w:right w:val="single" w:color="D8D1C3" w:sz="2"/>
        </w:pBdr>
        <w:shd w:fill="EAE4D8" w:val="clear"/>
        <w:spacing w:after="120" w:before="60"/>
      </w:pP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K          = (basis == "fc") ? demandIndex : 1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dailyEff   = avgDaily * K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dosEff     = ending / dailyEff</w:t>
      </w:r>
      <w:r>
        <w:br/>
      </w:r>
      <w:r>
        <w:rPr>
          <w:rFonts w:ascii="Courier New" w:cs="Courier New" w:eastAsia="Courier New" w:hAnsi="Courier New"/>
          <w:color w:val="1C1A17"/>
          <w:sz w:val="17"/>
          <w:szCs w:val="17"/>
        </w:rPr>
        <w:t xml:space="preserve">PR         = max(0, dailyEff * targetCover − ending)</w:t>
      </w:r>
    </w:p>
    <w:p>
      <w:pPr>
        <w:spacing w:after="120" w:before="0"/>
      </w:pPr>
      <w:r>
        <w:rPr>
          <w:rFonts w:ascii="Sukhumvit Set" w:cs="Sukhumvit Set" w:eastAsia="Sukhumvit Set" w:hAnsi="Sukhumvit Set"/>
          <w:b/>
          <w:bCs/>
          <w:color w:val="9C4A37"/>
          <w:sz w:val="20"/>
          <w:szCs w:val="20"/>
        </w:rPr>
        <w:t xml:space="preserve">ข้อจำกัดเชิงวิธีการ: </w:t>
      </w: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พยากรณ์อยู่ในหน่วยแก้ว ส่วนสต๊อกอยู่ในหน่วยวัตถุดิบ การใช้ดัชนีรวมตัวเดียวถือว่าสัดส่วนการใช้วัตถุดิบต่อแก้วคงที่ทุก SKU ซึ่งไม่จริงเมื่อ mix เปลี่ยน วิธีที่ถูกต้องคือกระจายพยากรณ์ผ่าน BOM ราย SKU (โรดแมป R-03) จนกว่าจะถึงเวลานั้น ค่านี้เป็นสัญญาณเชิงทิศทาง ไม่ใช่ปริมาณสั่งซื้อที่ผูกพัน</w:t>
      </w:r>
    </w:p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6. ข้อกำหนดที่ไม่ใช่ฟังก์ชัน · Non-Functional Requirements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1000"/>
        <w:gridCol w:w="1700"/>
        <w:gridCol w:w="6300"/>
      </w:tblGrid>
      <w:tr>
        <w:trPr>
          <w:tblHeader/>
        </w:trPr>
        <w:tc>
          <w:tcPr>
            <w:tcW w:type="dxa" w:w="10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รหัส</w:t>
            </w:r>
          </w:p>
        </w:tc>
        <w:tc>
          <w:tcPr>
            <w:tcW w:type="dxa" w:w="1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ด้าน</w:t>
            </w:r>
          </w:p>
        </w:tc>
        <w:tc>
          <w:tcPr>
            <w:tcW w:type="dxa" w:w="63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ข้อกำหนด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ประมวลผลไฟล์ 5,000 แถว × 200 SKU × 3 ช่องทาง ให้เสร็จภายใน 3 วินาทีบนโน้ตบุ๊กมาตรฐานองค์กร การเรนเดอร์ตารางจำกัดที่ 250 แถว ส่วนการส่งออกครบทุกแถว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NFR-02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6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ไฟล์ยอดขายต้องไม่ถูกส่งออกจากเครื่องผู้ใช้ ห้ามมี network call ที่บรรจุข้อมูลยอดขาย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ต้องใช้งานได้เมื่อ CDN ภายนอกเข้าไม่ถึง โดยเส้นทาง CSV ต้องทำงานได้เต็มรูปแบบ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NFR-04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6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รองรับ Chrome / Edge เวอร์ชันปัจจุบันและถอยหลัง 2 เวอร์ชัน โค้ดต้องเป็น ES5-compatible ไม่พึ่ง build tool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หน้าจอทั้งหมดเป็นภาษาไทย รองรับการป้อนข้อมูลที่มีปี พ.ศ. และชื่อเดือนไทย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NFR-06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Usability</w:t>
            </w:r>
          </w:p>
        </w:tc>
        <w:tc>
          <w:tcPr>
            <w:tcW w:type="dxa" w:w="6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ผู้วางแผนที่ผ่านการอบรม 30 นาทีต้องทำรอบพยากรณ์ให้เสร็จได้เองโดยไม่ต้องขอความช่วยเหลือจาก IT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ทุกตัวเลขที่แสดงต้องสืบกลับไปยังไฟล์นำเข้า วิธีที่เลือก และค่าพารามิเตอร์ได้ ผ่านชีต History และ MethodScores</w:t>
            </w:r>
          </w:p>
        </w:tc>
      </w:tr>
      <w:tr>
        <w:tc>
          <w:tcPr>
            <w:tcW w:type="dxa" w:w="10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NFR-08</w:t>
            </w:r>
          </w:p>
        </w:tc>
        <w:tc>
          <w:tcPr>
            <w:tcW w:type="dxa" w:w="1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3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โมดูลต้องแยกเป็นไฟล์ CSS/HTML/JS ที่ประกอบกลับได้ และมาพร้อมชุดทดสอบ regression ที่รันด้วยคำสั่งเดียว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NFR-09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Reversibility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การเปลี่ยนฐาน Suggested PR ไปใช้พยากรณ์ต้องย้อนกลับได้จากหน้าจอ และค่าตั้งต้นต้องเหมือนพฤติกรรมเดิมทุกประการ</w:t>
            </w:r>
          </w:p>
        </w:tc>
      </w:tr>
    </w:tbl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6.1 ความปลอดภัยและการกำกับดูแลข้อมูล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ข้อมูลยอดขายรายสาขาไม่ถูกจัดเก็บถาวรที่ใด — ลดขอบเขตการกำกับดูแลลงเหลือเพียงไฟล์ต้นทางบนเครื่องผู้ใช้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ไม่มีการยืนยันตัวตนในโมดูล การควบคุมการเข้าถึงอยู่ที่ระดับ artifact และสิทธิ์เข้าถึงรายงาน FoodStory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ช่อง "ผู้ทบทวน" เป็นการประกาศตนเอง ไม่ใช่การยืนยันตัวตน เมื่อย้ายไปเก็บ override ถาวร (R-04) ต้องผูกกับบัญชีผู้ใช้จริง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ไฟล์ส่งออกมีข้อมูลยอดขายระดับ SKU ต้องจัดชั้นความลับตามนโยบายข้อมูลภายในของบริษัท</w:t>
      </w:r>
    </w:p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7. ข้อสมมติ ข้อจำกัด และความเสี่ยง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900"/>
        <w:gridCol w:w="3400"/>
        <w:gridCol w:w="4700"/>
      </w:tblGrid>
      <w:tr>
        <w:trPr>
          <w:tblHeader/>
        </w:trPr>
        <w:tc>
          <w:tcPr>
            <w:tcW w:type="dxa" w:w="9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รหัส</w:t>
            </w:r>
          </w:p>
        </w:tc>
        <w:tc>
          <w:tcPr>
            <w:tcW w:type="dxa" w:w="34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รายการ</w:t>
            </w:r>
          </w:p>
        </w:tc>
        <w:tc>
          <w:tcPr>
            <w:tcW w:type="dxa" w:w="47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ผลกระทบ / การจัดการ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A-01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รหัส SKU ใน FoodStory ตรงกับรหัสใน IBP workbook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ถ้าไม่ตรง คอลัมน์ Baseline/Consensus จะว่างและคำนวณ gap ไม่ได้ — ต้องทำ master data alignment ก่อน go-live (พบแล้วในกรณี SM8 ที่รหัสหายจาก master)</w:t>
            </w:r>
          </w:p>
        </w:tc>
      </w:tr>
      <w:tr>
        <w:tc>
          <w:tcPr>
            <w:tcW w:type="dxa" w:w="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A-02</w:t>
            </w:r>
          </w:p>
        </w:tc>
        <w:tc>
          <w:tcPr>
            <w:tcW w:type="dxa" w:w="3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ข้อมูลเดือนที่ export มาครบทั้งเดือน</w:t>
            </w:r>
          </w:p>
        </w:tc>
        <w:tc>
          <w:tcPr>
            <w:tcW w:type="dxa" w:w="4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มีตัวเลือกตัดเดือนล่าสุดทิ้งเมื่อ export กลางเดือน หากไม่ตัดจะทำให้พยากรณ์ต่ำเกินจริง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A-03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ประวัติอย่างน้อย 12 เดือนจึงเปิด Seasonal-12 ได้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ต่ำกว่านั้นระบบยังทำงานได้แต่จับฤดูกาลไม่ได้ — ธุรกิจที่มีฤดูฝนชัดเจนควรสะสมประวัติให้ครบปีก่อนพึ่งพาผลเต็มที่</w:t>
            </w:r>
          </w:p>
        </w:tc>
      </w:tr>
      <w:tr>
        <w:tc>
          <w:tcPr>
            <w:tcW w:type="dxa" w:w="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C-01</w:t>
            </w:r>
          </w:p>
        </w:tc>
        <w:tc>
          <w:tcPr>
            <w:tcW w:type="dxa" w:w="3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Override ไม่คงอยู่หลังรีเฟรช</w:t>
            </w:r>
          </w:p>
        </w:tc>
        <w:tc>
          <w:tcPr>
            <w:tcW w:type="dxa" w:w="4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แก้ด้วย R-04 · ระหว่างนี้ต้อง export ก่อนปิดหน้า และแจ้งไว้บนหน้าจอ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C-02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Suggested PR ใช้ดัชนีรวม ไม่ใช่ BOM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แก้ด้วย R-03 · ระหว่างนี้ใช้เป็นสัญญาณเชิงทิศทางเท่านั้น</w:t>
            </w:r>
          </w:p>
        </w:tc>
      </w:tr>
      <w:tr>
        <w:tc>
          <w:tcPr>
            <w:tcW w:type="dxa" w:w="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C-03</w:t>
            </w:r>
          </w:p>
        </w:tc>
        <w:tc>
          <w:tcPr>
            <w:tcW w:type="dxa" w:w="3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ไม่มีการพยากรณ์รายสาขา</w:t>
            </w:r>
          </w:p>
        </w:tc>
        <w:tc>
          <w:tcPr>
            <w:tcW w:type="dxa" w:w="4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แก้ด้วย R-07 · การจัดสรรรายสาขายังใช้สัดส่วนยอดขายย้อนหลังตามเดิม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R-01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ผู้ใช้จับคู่คอลัมน์ผิดโดยไม่รู้ตัว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ลดความเสี่ยงด้วยการเดาอัตโนมัติสองชั้น ธงเตือนคอลัมน์เดือน และการแสดงช่วงเดือนที่อ่านได้ก่อนพยากรณ์ · ครอบคลุมใน UAT TC-03</w:t>
            </w:r>
          </w:p>
        </w:tc>
      </w:tr>
      <w:tr>
        <w:tc>
          <w:tcPr>
            <w:tcW w:type="dxa" w:w="9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R-02</w:t>
            </w:r>
          </w:p>
        </w:tc>
        <w:tc>
          <w:tcPr>
            <w:tcW w:type="dxa" w:w="34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ผู้ใช้เชื่อผลพยากรณ์เกินไปในกรณี WMAPE สูง</w:t>
            </w:r>
          </w:p>
        </w:tc>
        <w:tc>
          <w:tcPr>
            <w:tcW w:type="dxa" w:w="47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แสดง WMAPE และ Bias ทุกแถว พร้อมธงเตือนเมื่อเกิน 30% · ครอบคลุมในคู่มือผู้ใช้หน้า "อ่านค่าอย่างไร"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A17"/>
                <w:sz w:val="18"/>
                <w:szCs w:val="18"/>
              </w:rPr>
              <w:t xml:space="preserve">R-03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ข้อมูล reconciliation gap 218,807 หน่วยที่ค้างอยู่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ไม่กระทบพยากรณ์ดีมานด์โดยตรง แต่กระทบความน่าเชื่อถือของ Suggested PR ต้องปิดก่อนใช้ PR ตัดสินใจสั่งซื้อจริง</w:t>
            </w:r>
          </w:p>
        </w:tc>
      </w:tr>
    </w:tbl>
    <w:p>
      <w:pPr>
        <w:pStyle w:val="Heading2"/>
        <w:spacing w:after="110" w:before="240"/>
      </w:pPr>
      <w:r>
        <w:rPr>
          <w:rFonts w:ascii="Sukhumvit Set" w:cs="Sukhumvit Set" w:eastAsia="Sukhumvit Set" w:hAnsi="Sukhumvit Set"/>
          <w:b/>
          <w:bCs/>
          <w:color w:val="1C1A17"/>
          <w:sz w:val="24"/>
          <w:szCs w:val="24"/>
        </w:rPr>
        <w:t xml:space="preserve">7.1 การทดสอบที่ทำแล้ว</w:t>
      </w:r>
    </w:p>
    <w:p>
      <w:pPr>
        <w:spacing w:after="120" w:before="0"/>
      </w:pPr>
      <w:r>
        <w:rPr>
          <w:rFonts w:ascii="Sukhumvit Set" w:cs="Sukhumvit Set" w:eastAsia="Sukhumvit Set" w:hAnsi="Sukhumvit Set"/>
          <w:color w:val="1C1A17"/>
          <w:sz w:val="20"/>
          <w:szCs w:val="20"/>
        </w:rPr>
        <w:t xml:space="preserve">โมดูลผ่านชุดทดสอบ regression อัตโนมัติที่ครอบคลุม: ความถูกต้องของสูตรทั้ง 7 วิธีเทียบกับค่าที่คำนวณด้วยมือ · อนุกรมคงที่ต้องเลือก naive และได้ WMAPE 0 · อนุกรมเชิงเส้นสมบูรณ์ต้องเลือก trend · การแปลงเดือนไทย/อังกฤษ/พ.ศ. · การอ่านตัวเลขที่มีตัวคั่นหลักพันและวงเล็บ · ยอดรวมเดือน มิ.ย. ของชุด DEMO ตรงกับ DATA.menu ที่ 0.0% · ไฟล์ long และ wide ที่มีข้อมูลชุดเดียวกันให้ผลเท่ากัน · override กระจายเข้าผลรวมราย SKU ถูกต้อง · การส่งออก CSV ได้หัวตารางและค่าครบถ้วน รายละเอียดอยู่ในเอกสาร UAT Test Script v1.0</w:t>
      </w:r>
    </w:p>
    <w:p>
      <w:pPr>
        <w:pStyle w:val="Heading1"/>
        <w:pageBreakBefore/>
        <w:spacing w:after="160" w:before="0"/>
      </w:pPr>
      <w:r>
        <w:rPr>
          <w:rFonts w:ascii="Sukhumvit Set" w:cs="Sukhumvit Set" w:eastAsia="Sukhumvit Set" w:hAnsi="Sukhumvit Set"/>
          <w:b/>
          <w:bCs/>
          <w:color w:val="1C1A17"/>
          <w:sz w:val="30"/>
          <w:szCs w:val="30"/>
        </w:rPr>
        <w:t xml:space="preserve">8. อภิธานศัพท์ · Glossary</w:t>
      </w:r>
    </w:p>
    <w:tbl>
      <w:tblPr>
        <w:tblW w:type="dxa" w:w="9000"/>
        <w:tblBorders>
          <w:top w:val="single" w:color="D8D1C3" w:sz="2"/>
          <w:left w:val="single" w:color="D8D1C3" w:sz="2"/>
          <w:bottom w:val="single" w:color="D8D1C3" w:sz="2"/>
          <w:right w:val="single" w:color="D8D1C3" w:sz="2"/>
          <w:insideH w:val="single" w:color="D8D1C3" w:sz="2"/>
          <w:insideV w:val="single" w:color="D8D1C3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คำ</w:t>
            </w:r>
          </w:p>
        </w:tc>
        <w:tc>
          <w:tcPr>
            <w:tcW w:type="dxa" w:w="6800"/>
            <w:shd w:fill="1C1A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b/>
                <w:bCs/>
                <w:color w:val="FCFAF5"/>
                <w:sz w:val="17"/>
                <w:szCs w:val="17"/>
              </w:rPr>
              <w:t xml:space="preserve">ความหมาย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WMAPE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Weighted Mean Absolute Percentage Error — ผลรวมค่าคลาดเคลื่อนสัมบูรณ์ หารด้วยผลรวมยอดจริง ถ่วงน้ำหนักด้วยปริมาณ</w:t>
            </w:r>
          </w:p>
        </w:tc>
      </w:tr>
      <w:tr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Bias</w:t>
            </w:r>
          </w:p>
        </w:tc>
        <w:tc>
          <w:tcPr>
            <w:tcW w:type="dxa" w:w="6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อคติของพยากรณ์ — ค่าบวกหมายถึงพยากรณ์สูงกว่าจริงอย่างเป็นระบบ (เสี่ยง overstock) ค่าลบหมายถึงต่ำกว่าจริง (เสี่ยง stockout)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Backtest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การจำลองย้อนหลัง — ปิดข้อมูลท้ายอนุกรมไว้ ฝึกด้วยข้อมูลก่อนหน้า แล้ววัดว่าพยากรณ์ได้ตรงแค่ไหน</w:t>
            </w:r>
          </w:p>
        </w:tc>
      </w:tr>
      <w:tr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Rolling origin</w:t>
            </w:r>
          </w:p>
        </w:tc>
        <w:tc>
          <w:tcPr>
            <w:tcW w:type="dxa" w:w="6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วิธี backtest ที่เลื่อนจุดตั้งต้นการพยากรณ์ทีละก้าว ให้ใกล้เคียงการใช้งานจริงมากกว่าการแบ่งข้อมูลครั้งเดียว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Winsorize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การตัดค่าผิดปกติให้เท่าขอบเขตแทนการลบทิ้ง เพื่อไม่ให้เดือนโปรโมชันบิดเบือนแนวโน้ม</w:t>
            </w:r>
          </w:p>
        </w:tc>
      </w:tr>
      <w:tr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Holdout</w:t>
            </w:r>
          </w:p>
        </w:tc>
        <w:tc>
          <w:tcPr>
            <w:tcW w:type="dxa" w:w="6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จำนวนเดือนท้ายที่กันไว้ทดสอบ ไม่ให้โมเดลเห็นตอนฝึก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Demand Index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อัตราส่วนพยากรณ์เดือนถัดไปต่อยอดจริงเดือนล่าสุด ใช้ปรับฐานการเบิกใช้วัตถุดิบใน Suggested PR</w:t>
            </w:r>
          </w:p>
        </w:tc>
      </w:tr>
      <w:tr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Consensus</w:t>
            </w:r>
          </w:p>
        </w:tc>
        <w:tc>
          <w:tcPr>
            <w:tcW w:type="dxa" w:w="6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ตัวเลขดีมานด์ที่ผ่านการเห็นชอบร่วมกันในที่ประชุม Demand Review ต่างจาก Baseline ซึ่งเป็นผลจากสถิติล้วน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Long / Wide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รูปแบบตาราง — long คือหนึ่งแถวต่อหนึ่งการสังเกต ส่วน wide คือกางเดือนออกเป็นคอลัมน์</w:t>
            </w:r>
          </w:p>
        </w:tc>
      </w:tr>
      <w:tr>
        <w:tc>
          <w:tcPr>
            <w:tcW w:type="dxa" w:w="22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BOM</w:t>
            </w:r>
          </w:p>
        </w:tc>
        <w:tc>
          <w:tcPr>
            <w:tcW w:type="dxa" w:w="6800"/>
            <w:shd w:fill="FCFA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Sukhumvit Set" w:cs="Sukhumvit Set" w:eastAsia="Sukhumvit Set" w:hAnsi="Sukhumvit Set"/>
                <w:color w:val="1C1A17"/>
                <w:sz w:val="18"/>
                <w:szCs w:val="18"/>
              </w:rPr>
              <w:t xml:space="preserve">Bill of Materials — สูตรที่ระบุว่าหนึ่งแก้วใช้วัตถุดิบอะไรเท่าไร จำเป็นต่อการแปลงพยากรณ์ดีมานด์เป็นแผนจัดซื้อที่แม่นยำ</w:t>
            </w:r>
          </w:p>
        </w:tc>
      </w:tr>
    </w:tbl>
    <w:p>
      <w:pPr>
        <w:pBdr>
          <w:top w:val="single" w:color="D8D1C3" w:sz="6"/>
        </w:pBdr>
        <w:spacing w:before="400"/>
      </w:pPr>
      <w:r>
        <w:rPr>
          <w:rFonts w:ascii="Sukhumvit Set" w:cs="Sukhumvit Set" w:eastAsia="Sukhumvit Set" w:hAnsi="Sukhumvit Set"/>
          <w:color w:val="948E82"/>
          <w:sz w:val="17"/>
          <w:szCs w:val="17"/>
        </w:rPr>
        <w:t xml:space="preserve">จบเอกสาร · JC-IBP-SRS-M02P-001 v1.0 · 30 กรกฎาคม 2026 · SCM / IBP / IT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ukhumvit Set" w:cs="Sukhumvit Set" w:eastAsia="Sukhumvit Set" w:hAnsi="Sukhumvit Set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02+ Sales Forecast — Software Requirements Specification</dc:title>
  <dc:creator>Arin Tanakasemsup · SCM/IBP/IT Director</dc:creator>
  <dc:description>JIAN CHA IBP Control Tower — Module 02+ Sales Forecast SRS v1.0</dc:description>
  <cp:lastModifiedBy>Un-named</cp:lastModifiedBy>
  <cp:revision>1</cp:revision>
  <dcterms:created xsi:type="dcterms:W3CDTF">2026-07-30T15:09:04.221Z</dcterms:created>
  <dcterms:modified xsi:type="dcterms:W3CDTF">2026-07-30T15:09:04.221Z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