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36"/>
        </w:rPr>
        <w:t>《算法设计与分析在港航物流中的实践》</w:t>
        <w:br/>
        <w:t>课程设计（报告）</w:t>
      </w:r>
    </w:p>
    <w:p/>
    <w:tbl>
      <w:tblPr>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val="0"/>
                <w:sz w:val="28"/>
              </w:rPr>
              <w:t>题目：</w:t>
            </w:r>
          </w:p>
        </w:tc>
        <w:tc>
          <w:tcPr>
            <w:tcW w:type="dxa" w:w="4320"/>
          </w:tcPr>
          <w:p>
            <w:pPr>
              <w:jc w:val="center"/>
            </w:pPr>
            <w:r>
              <w:rPr>
                <w:rFonts w:ascii="宋体" w:hAnsi="宋体" w:eastAsia="宋体"/>
                <w:b w:val="0"/>
                <w:sz w:val="28"/>
              </w:rPr>
              <w:t>港口集卡路径规划与任务分配智能化调度系统</w:t>
            </w:r>
          </w:p>
        </w:tc>
      </w:tr>
      <w:tr>
        <w:tc>
          <w:tcPr>
            <w:tcW w:type="dxa" w:w="4320"/>
          </w:tcPr>
          <w:p>
            <w:pPr>
              <w:jc w:val="center"/>
            </w:pPr>
            <w:r>
              <w:rPr>
                <w:rFonts w:ascii="宋体" w:hAnsi="宋体" w:eastAsia="宋体"/>
                <w:b w:val="0"/>
                <w:sz w:val="28"/>
              </w:rPr>
              <w:t>班级：</w:t>
            </w:r>
          </w:p>
        </w:tc>
        <w:tc>
          <w:tcPr>
            <w:tcW w:type="dxa" w:w="4320"/>
          </w:tcPr>
          <w:p>
            <w:pPr>
              <w:jc w:val="center"/>
            </w:pPr>
            <w:r>
              <w:rPr>
                <w:rFonts w:ascii="宋体" w:hAnsi="宋体" w:eastAsia="宋体"/>
                <w:b w:val="0"/>
                <w:sz w:val="28"/>
              </w:rPr>
              <w:t>计算机231</w:t>
            </w:r>
          </w:p>
        </w:tc>
      </w:tr>
      <w:tr>
        <w:tc>
          <w:tcPr>
            <w:tcW w:type="dxa" w:w="4320"/>
          </w:tcPr>
          <w:p>
            <w:pPr>
              <w:jc w:val="center"/>
            </w:pPr>
            <w:r>
              <w:rPr>
                <w:rFonts w:ascii="宋体" w:hAnsi="宋体" w:eastAsia="宋体"/>
                <w:b w:val="0"/>
                <w:sz w:val="28"/>
              </w:rPr>
              <w:t>姓名：</w:t>
            </w:r>
          </w:p>
        </w:tc>
        <w:tc>
          <w:tcPr>
            <w:tcW w:type="dxa" w:w="4320"/>
          </w:tcPr>
          <w:p>
            <w:pPr>
              <w:jc w:val="center"/>
            </w:pPr>
            <w:r>
              <w:rPr>
                <w:rFonts w:ascii="宋体" w:hAnsi="宋体" w:eastAsia="宋体"/>
                <w:b w:val="0"/>
                <w:sz w:val="28"/>
              </w:rPr>
            </w:r>
          </w:p>
        </w:tc>
      </w:tr>
      <w:tr>
        <w:tc>
          <w:tcPr>
            <w:tcW w:type="dxa" w:w="4320"/>
          </w:tcPr>
          <w:p>
            <w:pPr>
              <w:jc w:val="center"/>
            </w:pPr>
            <w:r>
              <w:rPr>
                <w:rFonts w:ascii="宋体" w:hAnsi="宋体" w:eastAsia="宋体"/>
                <w:b w:val="0"/>
                <w:sz w:val="28"/>
              </w:rPr>
              <w:t>同组人员：</w:t>
            </w:r>
          </w:p>
        </w:tc>
        <w:tc>
          <w:tcPr>
            <w:tcW w:type="dxa" w:w="4320"/>
          </w:tcPr>
          <w:p>
            <w:pPr>
              <w:jc w:val="center"/>
            </w:pPr>
            <w:r>
              <w:rPr>
                <w:rFonts w:ascii="宋体" w:hAnsi="宋体" w:eastAsia="宋体"/>
                <w:b w:val="0"/>
                <w:sz w:val="28"/>
              </w:rPr>
              <w:t>无</w:t>
            </w:r>
          </w:p>
        </w:tc>
      </w:tr>
      <w:tr>
        <w:tc>
          <w:tcPr>
            <w:tcW w:type="dxa" w:w="4320"/>
          </w:tcPr>
          <w:p>
            <w:pPr>
              <w:jc w:val="center"/>
            </w:pPr>
            <w:r>
              <w:rPr>
                <w:rFonts w:ascii="宋体" w:hAnsi="宋体" w:eastAsia="宋体"/>
                <w:b w:val="0"/>
                <w:sz w:val="28"/>
              </w:rPr>
              <w:t>指导教师：</w:t>
            </w:r>
          </w:p>
        </w:tc>
        <w:tc>
          <w:tcPr>
            <w:tcW w:type="dxa" w:w="4320"/>
          </w:tcPr>
          <w:p>
            <w:pPr>
              <w:jc w:val="center"/>
            </w:pPr>
            <w:r>
              <w:rPr>
                <w:rFonts w:ascii="宋体" w:hAnsi="宋体" w:eastAsia="宋体"/>
                <w:b w:val="0"/>
                <w:sz w:val="28"/>
              </w:rPr>
              <w:t>肖燕</w:t>
            </w:r>
          </w:p>
        </w:tc>
      </w:tr>
      <w:tr>
        <w:tc>
          <w:tcPr>
            <w:tcW w:type="dxa" w:w="4320"/>
          </w:tcPr>
          <w:p>
            <w:pPr>
              <w:jc w:val="center"/>
            </w:pPr>
            <w:r>
              <w:rPr>
                <w:rFonts w:ascii="宋体" w:hAnsi="宋体" w:eastAsia="宋体"/>
                <w:b w:val="0"/>
                <w:sz w:val="28"/>
              </w:rPr>
              <w:t>完成日期：</w:t>
            </w:r>
          </w:p>
        </w:tc>
        <w:tc>
          <w:tcPr>
            <w:tcW w:type="dxa" w:w="4320"/>
          </w:tcPr>
          <w:p>
            <w:pPr>
              <w:jc w:val="center"/>
            </w:pPr>
            <w:r>
              <w:rPr>
                <w:rFonts w:ascii="宋体" w:hAnsi="宋体" w:eastAsia="宋体"/>
                <w:b w:val="0"/>
                <w:sz w:val="28"/>
              </w:rPr>
              <w:t>2026年6月</w:t>
            </w:r>
          </w:p>
        </w:tc>
      </w:tr>
    </w:tbl>
    <w:p/>
    <w:p>
      <w:pPr>
        <w:jc w:val="center"/>
      </w:pPr>
      <w:r>
        <w:rPr>
          <w:rFonts w:ascii="宋体" w:hAnsi="宋体" w:eastAsia="宋体"/>
          <w:b w:val="0"/>
          <w:sz w:val="28"/>
        </w:rPr>
        <w:t>上海海事大学信息工程学院</w:t>
      </w:r>
    </w:p>
    <w:p>
      <w:pPr>
        <w:jc w:val="center"/>
      </w:pPr>
      <w:r>
        <w:rPr>
          <w:rFonts w:ascii="宋体" w:hAnsi="宋体" w:eastAsia="宋体"/>
          <w:b w:val="0"/>
          <w:sz w:val="28"/>
        </w:rPr>
        <w:t>2026年6月</w:t>
      </w:r>
    </w:p>
    <w:p>
      <w:r>
        <w:br w:type="page"/>
      </w:r>
    </w:p>
    <w:p>
      <w:r>
        <w:rPr>
          <w:rFonts w:ascii="黑体" w:hAnsi="黑体" w:eastAsia="黑体"/>
          <w:b/>
          <w:sz w:val="36"/>
        </w:rPr>
        <w:t>摘要</w:t>
      </w:r>
    </w:p>
    <w:p>
      <w:pPr>
        <w:spacing w:line="300" w:lineRule="auto"/>
      </w:pPr>
      <w:r>
        <w:rPr>
          <w:rFonts w:ascii="宋体" w:hAnsi="宋体" w:eastAsia="宋体"/>
          <w:b w:val="0"/>
          <w:sz w:val="24"/>
        </w:rPr>
        <w:t>自动化港口的水平运输调度是智慧物流领域的核心挑战之一。港口集装箱卡车（集卡）需在由泊位、堆场和闸口构成的复杂路网中，高效完成集装箱进出口与转运任务。传统基于静态规则（如先到先服务、最近距离优先）的调度策略难以适应动态变化的作业环境，常导致车辆拥堵、任务积压和资源浪费。</w:t>
      </w:r>
    </w:p>
    <w:p>
      <w:pPr>
        <w:spacing w:line="300" w:lineRule="auto"/>
      </w:pPr>
      <w:r>
        <w:rPr>
          <w:rFonts w:ascii="宋体" w:hAnsi="宋体" w:eastAsia="宋体"/>
          <w:b w:val="0"/>
          <w:sz w:val="24"/>
        </w:rPr>
        <w:t>本文设计并实现了一套"数据驱动"的港口集卡路径规划与任务分配智能调度系统。在A*路径规划与匈牙利任务分配的基础框架之上，从"调度智能化提升"与"系统性能优化"两个方向进行了深入扩展。具体而言：（1）引入基于随机森林回归的任务价值预测模型，综合评估紧急度、距离成本和等待时间，替代纯距离静态成本，实现数据驱动的调度决策；（2）构建基于EWMA时序预测的拥堵趋势学习机制，使路径规划从"即时避障"演进为"趋势避障"；（3）设计Q-Learning多智能体协调框架，让车辆基于环境反馈自主调整调度策略，减少人为规则约束；（4）开发基于Flask+Canvas的Web可视化平台，实现仿真计算与前端渲染的分离，提供交互式性能分析工具。</w:t>
      </w:r>
    </w:p>
    <w:p>
      <w:pPr>
        <w:spacing w:line="300" w:lineRule="auto"/>
      </w:pPr>
      <w:r>
        <w:rPr>
          <w:rFonts w:ascii="宋体" w:hAnsi="宋体" w:eastAsia="宋体"/>
          <w:b w:val="0"/>
          <w:sz w:val="24"/>
        </w:rPr>
        <w:t>实验表明，在20×10大规模港口场景下，系统以430步/秒的速率稳定运行，车辆利用率达98.4%，成功识别4个高频拥堵热点。ML增强的匈牙利分配使任务完成数提升25%，双层拥堵预测机制有效实现了路径的主动避堵。系统支持参数化配置与模块化开关，可灵活对比不同策略组合的性能差异。</w:t>
      </w:r>
    </w:p>
    <w:p>
      <w:r>
        <w:rPr>
          <w:rFonts w:ascii="宋体" w:hAnsi="宋体" w:eastAsia="宋体"/>
          <w:b/>
          <w:sz w:val="24"/>
        </w:rPr>
        <w:t>关键词：</w:t>
      </w:r>
      <w:r>
        <w:rPr>
          <w:rFonts w:ascii="宋体" w:hAnsi="宋体" w:eastAsia="宋体"/>
          <w:b w:val="0"/>
          <w:sz w:val="24"/>
        </w:rPr>
        <w:t>港口调度；A*算法；匈牙利算法；拥堵预测；任务价值预测；强化学习；Web可视化</w:t>
      </w:r>
    </w:p>
    <w:p>
      <w:r>
        <w:rPr>
          <w:rFonts w:ascii="黑体" w:hAnsi="黑体" w:eastAsia="黑体"/>
          <w:b/>
          <w:sz w:val="36"/>
        </w:rPr>
        <w:t>一、引言</w:t>
      </w:r>
    </w:p>
    <w:p>
      <w:r>
        <w:rPr>
          <w:rFonts w:ascii="黑体" w:hAnsi="黑体" w:eastAsia="黑体"/>
          <w:b/>
          <w:sz w:val="30"/>
        </w:rPr>
        <w:t>1.1 动机</w:t>
      </w:r>
    </w:p>
    <w:p>
      <w:pPr>
        <w:spacing w:line="300" w:lineRule="auto"/>
      </w:pPr>
      <w:r>
        <w:rPr>
          <w:rFonts w:ascii="宋体" w:hAnsi="宋体" w:eastAsia="宋体"/>
          <w:b w:val="0"/>
          <w:sz w:val="24"/>
        </w:rPr>
        <w:t>全球贸易的持续增长使得港口吞吐量逐年攀升。在自动化集装箱码头中，水平运输环节（即集装箱卡车在泊位与堆场之间的往返运输）是整个作业链条的关键瓶颈。据统计，集卡在港内的无效等待时间占整体作业时间的30%~40%，这直接影响了港口的整体作业效率和运营成本。</w:t>
      </w:r>
    </w:p>
    <w:p>
      <w:pPr>
        <w:spacing w:line="300" w:lineRule="auto"/>
      </w:pPr>
      <w:r>
        <w:rPr>
          <w:rFonts w:ascii="宋体" w:hAnsi="宋体" w:eastAsia="宋体"/>
          <w:b w:val="0"/>
          <w:sz w:val="24"/>
        </w:rPr>
        <w:t>港口集卡调度问题的核心难点在于：（1）动态性——任务随机到达，车辆状态实时变化；（2）耦合性——多车路径相互影响，局部拥堵可能引发连锁延误；（3）多目标性——需同时优化任务响应时间、车辆利用率和路径拥堵程度。传统的规则式调度策略难以有效应对上述复杂性，亟需引入智能化方法。</w:t>
      </w:r>
    </w:p>
    <w:p>
      <w:r>
        <w:rPr>
          <w:rFonts w:ascii="黑体" w:hAnsi="黑体" w:eastAsia="黑体"/>
          <w:b/>
          <w:sz w:val="30"/>
        </w:rPr>
        <w:t>1.2 要解决的问题</w:t>
      </w:r>
    </w:p>
    <w:p>
      <w:pPr>
        <w:spacing w:line="300" w:lineRule="auto"/>
      </w:pPr>
      <w:r>
        <w:rPr>
          <w:rFonts w:ascii="宋体" w:hAnsi="宋体" w:eastAsia="宋体"/>
          <w:b w:val="0"/>
          <w:sz w:val="24"/>
        </w:rPr>
        <w:t>本课程设计围绕以下四个核心问题展开：</w:t>
      </w:r>
    </w:p>
    <w:p>
      <w:pPr>
        <w:spacing w:line="300" w:lineRule="auto"/>
      </w:pPr>
      <w:r>
        <w:rPr>
          <w:rFonts w:ascii="宋体" w:hAnsi="宋体" w:eastAsia="宋体"/>
          <w:b w:val="0"/>
          <w:sz w:val="24"/>
        </w:rPr>
        <w:t>（1）任务分配优化：如何从全局最优视角，将动态到达的等待任务分配给最合适的空闲车辆，使得总体运输成本最低且任务响应最快？</w:t>
      </w:r>
    </w:p>
    <w:p>
      <w:pPr>
        <w:spacing w:line="300" w:lineRule="auto"/>
      </w:pPr>
      <w:r>
        <w:rPr>
          <w:rFonts w:ascii="宋体" w:hAnsi="宋体" w:eastAsia="宋体"/>
          <w:b w:val="0"/>
          <w:sz w:val="24"/>
        </w:rPr>
        <w:t>（2）路径规划优化：如何在多车并发的动态环境中为每辆车规划路径，不仅避开当前拥堵，还能提前规避历史高频拥堵区域？</w:t>
      </w:r>
    </w:p>
    <w:p>
      <w:pPr>
        <w:spacing w:line="300" w:lineRule="auto"/>
      </w:pPr>
      <w:r>
        <w:rPr>
          <w:rFonts w:ascii="宋体" w:hAnsi="宋体" w:eastAsia="宋体"/>
          <w:b w:val="0"/>
          <w:sz w:val="24"/>
        </w:rPr>
        <w:t>（3）多车协同优化：如何让多辆车在竞争有限道路资源的条件下实现合作，减少基于硬编码ID优先级的避让规则，提高系统的自主性和灵活性？</w:t>
      </w:r>
    </w:p>
    <w:p>
      <w:pPr>
        <w:spacing w:line="300" w:lineRule="auto"/>
      </w:pPr>
      <w:r>
        <w:rPr>
          <w:rFonts w:ascii="宋体" w:hAnsi="宋体" w:eastAsia="宋体"/>
          <w:b w:val="0"/>
          <w:sz w:val="24"/>
        </w:rPr>
        <w:t>（4）系统可视化：如何直观展示调度系统的实时运行状态、拥堵分布和性能指标，并支持不同策略配置的便捷对比？</w:t>
      </w:r>
    </w:p>
    <w:p>
      <w:r>
        <w:rPr>
          <w:rFonts w:ascii="黑体" w:hAnsi="黑体" w:eastAsia="黑体"/>
          <w:b/>
          <w:sz w:val="30"/>
        </w:rPr>
        <w:t>1.3 本文的工作</w:t>
      </w:r>
    </w:p>
    <w:p>
      <w:pPr>
        <w:spacing w:line="300" w:lineRule="auto"/>
      </w:pPr>
      <w:r>
        <w:rPr>
          <w:rFonts w:ascii="宋体" w:hAnsi="宋体" w:eastAsia="宋体"/>
          <w:b w:val="0"/>
          <w:sz w:val="24"/>
        </w:rPr>
        <w:t>本文的主要贡献如下：</w:t>
      </w:r>
    </w:p>
    <w:p>
      <w:pPr>
        <w:spacing w:line="300" w:lineRule="auto"/>
      </w:pPr>
      <w:r>
        <w:rPr>
          <w:rFonts w:ascii="宋体" w:hAnsi="宋体" w:eastAsia="宋体"/>
          <w:b w:val="0"/>
          <w:sz w:val="24"/>
        </w:rPr>
        <w:t>（1）设计了可配置规模的随机港口布局生成器（8×3至20×10），包含泊位区、堆场块和网格化巷道网络，支持动态间距压缩以适应不同规模场景。</w:t>
      </w:r>
    </w:p>
    <w:p>
      <w:pPr>
        <w:spacing w:line="300" w:lineRule="auto"/>
      </w:pPr>
      <w:r>
        <w:rPr>
          <w:rFonts w:ascii="宋体" w:hAnsi="宋体" w:eastAsia="宋体"/>
          <w:b w:val="0"/>
          <w:sz w:val="24"/>
        </w:rPr>
        <w:t>（2）构建了增强型A*路径规划器，在标准启发式搜索基础上集成"即时拥堵感知"与"历史趋势预测"双层惩罚机制，实现了从被动避障到主动绕行的演进。</w:t>
      </w:r>
    </w:p>
    <w:p>
      <w:pPr>
        <w:spacing w:line="300" w:lineRule="auto"/>
      </w:pPr>
      <w:r>
        <w:rPr>
          <w:rFonts w:ascii="宋体" w:hAnsi="宋体" w:eastAsia="宋体"/>
          <w:b w:val="0"/>
          <w:sz w:val="24"/>
        </w:rPr>
        <w:t>（3）提出了ML增强的匈牙利任务分配算法，以随机森林回归融合四维特征（紧急度、距离、等待时间、任务类型）构建任务价值函数，替代纯距离静态成本模型。</w:t>
      </w:r>
    </w:p>
    <w:p>
      <w:pPr>
        <w:spacing w:line="300" w:lineRule="auto"/>
      </w:pPr>
      <w:r>
        <w:rPr>
          <w:rFonts w:ascii="宋体" w:hAnsi="宋体" w:eastAsia="宋体"/>
          <w:b w:val="0"/>
          <w:sz w:val="24"/>
        </w:rPr>
        <w:t>（4）开发了Q-Learning多智能体调度框架，为每辆车配备独立RL Agent，支持epsilon-greedy探索、Q值比较冲突消解和在线策略学习。</w:t>
      </w:r>
    </w:p>
    <w:p>
      <w:pPr>
        <w:spacing w:line="300" w:lineRule="auto"/>
      </w:pPr>
      <w:r>
        <w:rPr>
          <w:rFonts w:ascii="宋体" w:hAnsi="宋体" w:eastAsia="宋体"/>
          <w:b w:val="0"/>
          <w:sz w:val="24"/>
        </w:rPr>
        <w:t>（5）搭建了基于Flask+Canvas的Web可视化平台，实现仿真计算与前端渲染的完全分离，支持交互式参数调节和实时性能监控。</w:t>
      </w:r>
    </w:p>
    <w:p>
      <w:r>
        <w:rPr>
          <w:rFonts w:ascii="黑体" w:hAnsi="黑体" w:eastAsia="黑体"/>
          <w:b/>
          <w:sz w:val="36"/>
        </w:rPr>
        <w:t>二、相关工作</w:t>
      </w:r>
    </w:p>
    <w:p>
      <w:pPr>
        <w:spacing w:line="300" w:lineRule="auto"/>
      </w:pPr>
      <w:r>
        <w:rPr>
          <w:rFonts w:ascii="宋体" w:hAnsi="宋体" w:eastAsia="宋体"/>
          <w:b w:val="0"/>
          <w:sz w:val="24"/>
        </w:rPr>
        <w:t>港口物流调度问题是运筹学与人工智能领域的经典研究课题，涉及任务分配、路径规划和多智能体协同三个核心子问题。</w:t>
      </w:r>
    </w:p>
    <w:p>
      <w:pPr>
        <w:spacing w:line="300" w:lineRule="auto"/>
      </w:pPr>
      <w:r>
        <w:rPr>
          <w:rFonts w:ascii="宋体" w:hAnsi="宋体" w:eastAsia="宋体"/>
          <w:b w:val="0"/>
          <w:sz w:val="24"/>
        </w:rPr>
        <w:t>在任务分配方面，匈牙利算法（Kuhn, 1955）[1]是解决二分图最小权匹配的最优方法，时间复杂度为O(n³)，被广泛应用于车辆-任务匹配场景。近年来，部分研究将机器学习引入分配决策，如使用梯度提升树预测任务的紧急度，或利用深度神经网络学习启发式分配策略。</w:t>
      </w:r>
    </w:p>
    <w:p>
      <w:pPr>
        <w:spacing w:line="300" w:lineRule="auto"/>
      </w:pPr>
      <w:r>
        <w:rPr>
          <w:rFonts w:ascii="宋体" w:hAnsi="宋体" w:eastAsia="宋体"/>
          <w:b w:val="0"/>
          <w:sz w:val="24"/>
        </w:rPr>
        <w:t>在路径规划方面，A*算法（Hart et al., 1968）[2]作为经典的启发式搜索方法，在已知静态路网中能保证找到最优路径。针对动态环境，D* Lite[3]和Anytime Repairing A*[4]等增量式重规划算法被提出。在港口场景下，车辆行驶受限于巷道网络，拥堵多发生在泊位入口和堆场内部路口——这些位置也是本文设计的拥堵预测器重点监控的区域。</w:t>
      </w:r>
    </w:p>
    <w:p>
      <w:pPr>
        <w:spacing w:line="300" w:lineRule="auto"/>
      </w:pPr>
      <w:r>
        <w:rPr>
          <w:rFonts w:ascii="宋体" w:hAnsi="宋体" w:eastAsia="宋体"/>
          <w:b w:val="0"/>
          <w:sz w:val="24"/>
        </w:rPr>
        <w:t>在多智能体协同方面，基于规则的方法（如优先级避让、分段锁）实现简单但灵活性不足。基于强化学习的方法，如MADDPG[5]和QMIX[6]，通过集中训练-分散执行的范式实现智能体间的隐式协作，但训练成本较高，且对仿真环境依赖性强。</w:t>
      </w:r>
    </w:p>
    <w:p>
      <w:pPr>
        <w:spacing w:line="300" w:lineRule="auto"/>
      </w:pPr>
      <w:r>
        <w:rPr>
          <w:rFonts w:ascii="宋体" w:hAnsi="宋体" w:eastAsia="宋体"/>
          <w:b w:val="0"/>
          <w:sz w:val="24"/>
        </w:rPr>
        <w:t>与上述工作相比，本文的特点在于：将任务价值预测、拥堵趋势学习和多智能体Q-Learning有机集成于统一的仿真框架中，各模块可独立开关以进行消融实验；系统通过Web界面提供直观的交互式分析工具，适合作为课程教学和算法验证平台。</w:t>
      </w:r>
    </w:p>
    <w:p>
      <w:r>
        <w:rPr>
          <w:rFonts w:ascii="黑体" w:hAnsi="黑体" w:eastAsia="黑体"/>
          <w:b/>
          <w:sz w:val="36"/>
        </w:rPr>
        <w:t>三、数据收集与标注</w:t>
      </w:r>
    </w:p>
    <w:p>
      <w:r>
        <w:rPr>
          <w:rFonts w:ascii="黑体" w:hAnsi="黑体" w:eastAsia="黑体"/>
          <w:b/>
          <w:sz w:val="30"/>
        </w:rPr>
        <w:t>3.1 港口环境数据</w:t>
      </w:r>
    </w:p>
    <w:p>
      <w:pPr>
        <w:spacing w:line="300" w:lineRule="auto"/>
      </w:pPr>
      <w:r>
        <w:rPr>
          <w:rFonts w:ascii="宋体" w:hAnsi="宋体" w:eastAsia="宋体"/>
          <w:b w:val="0"/>
          <w:sz w:val="24"/>
        </w:rPr>
        <w:t>本系统的港口环境通过随机生成器自动构建，无需外部数据集。港口布局由以下参数控制：</w:t>
      </w:r>
    </w:p>
    <w:p>
      <w:pPr>
        <w:jc w:val="center"/>
      </w:pPr>
      <w:r>
        <w:rPr>
          <w:rFonts w:ascii="黑体" w:hAnsi="黑体" w:eastAsia="黑体"/>
          <w:b/>
          <w:sz w:val="21"/>
        </w:rPr>
        <w:t>表1. 港口生成参数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21"/>
              </w:rPr>
              <w:t>参数</w:t>
            </w:r>
          </w:p>
        </w:tc>
        <w:tc>
          <w:tcPr>
            <w:tcW w:type="dxa" w:w="2160"/>
          </w:tcPr>
          <w:p>
            <w:pPr>
              <w:jc w:val="center"/>
            </w:pPr>
            <w:r/>
            <w:r>
              <w:rPr>
                <w:rFonts w:ascii="黑体" w:hAnsi="黑体" w:eastAsia="黑体"/>
                <w:b/>
                <w:sz w:val="21"/>
              </w:rPr>
              <w:t>说明</w:t>
            </w:r>
          </w:p>
        </w:tc>
        <w:tc>
          <w:tcPr>
            <w:tcW w:type="dxa" w:w="2160"/>
          </w:tcPr>
          <w:p>
            <w:pPr>
              <w:jc w:val="center"/>
            </w:pPr>
            <w:r/>
            <w:r>
              <w:rPr>
                <w:rFonts w:ascii="黑体" w:hAnsi="黑体" w:eastAsia="黑体"/>
                <w:b/>
                <w:sz w:val="21"/>
              </w:rPr>
              <w:t>取值范围</w:t>
            </w:r>
          </w:p>
        </w:tc>
        <w:tc>
          <w:tcPr>
            <w:tcW w:type="dxa" w:w="2160"/>
          </w:tcPr>
          <w:p>
            <w:pPr>
              <w:jc w:val="center"/>
            </w:pPr>
            <w:r/>
            <w:r>
              <w:rPr>
                <w:rFonts w:ascii="黑体" w:hAnsi="黑体" w:eastAsia="黑体"/>
                <w:b/>
                <w:sz w:val="21"/>
              </w:rPr>
              <w:t>默认值</w:t>
            </w:r>
          </w:p>
        </w:tc>
      </w:tr>
      <w:tr>
        <w:tc>
          <w:tcPr>
            <w:tcW w:type="dxa" w:w="2160"/>
          </w:tcPr>
          <w:p>
            <w:pPr>
              <w:jc w:val="center"/>
            </w:pPr>
            <w:r/>
            <w:r>
              <w:rPr>
                <w:rFonts w:ascii="宋体" w:hAnsi="宋体" w:eastAsia="宋体"/>
                <w:b w:val="0"/>
                <w:sz w:val="21"/>
              </w:rPr>
              <w:t>num_cols</w:t>
            </w:r>
          </w:p>
        </w:tc>
        <w:tc>
          <w:tcPr>
            <w:tcW w:type="dxa" w:w="2160"/>
          </w:tcPr>
          <w:p>
            <w:pPr>
              <w:jc w:val="center"/>
            </w:pPr>
            <w:r/>
            <w:r>
              <w:rPr>
                <w:rFonts w:ascii="宋体" w:hAnsi="宋体" w:eastAsia="宋体"/>
                <w:b w:val="0"/>
                <w:sz w:val="21"/>
              </w:rPr>
              <w:t>港口网格列数</w:t>
            </w:r>
          </w:p>
        </w:tc>
        <w:tc>
          <w:tcPr>
            <w:tcW w:type="dxa" w:w="2160"/>
          </w:tcPr>
          <w:p>
            <w:pPr>
              <w:jc w:val="center"/>
            </w:pPr>
            <w:r/>
            <w:r>
              <w:rPr>
                <w:rFonts w:ascii="宋体" w:hAnsi="宋体" w:eastAsia="宋体"/>
                <w:b w:val="0"/>
                <w:sz w:val="21"/>
              </w:rPr>
              <w:t>8~20</w:t>
            </w:r>
          </w:p>
        </w:tc>
        <w:tc>
          <w:tcPr>
            <w:tcW w:type="dxa" w:w="2160"/>
          </w:tcPr>
          <w:p>
            <w:pPr>
              <w:jc w:val="center"/>
            </w:pPr>
            <w:r/>
            <w:r>
              <w:rPr>
                <w:rFonts w:ascii="宋体" w:hAnsi="宋体" w:eastAsia="宋体"/>
                <w:b w:val="0"/>
                <w:sz w:val="21"/>
              </w:rPr>
              <w:t>8</w:t>
            </w:r>
          </w:p>
        </w:tc>
      </w:tr>
      <w:tr>
        <w:tc>
          <w:tcPr>
            <w:tcW w:type="dxa" w:w="2160"/>
          </w:tcPr>
          <w:p>
            <w:pPr>
              <w:jc w:val="center"/>
            </w:pPr>
            <w:r/>
            <w:r>
              <w:rPr>
                <w:rFonts w:ascii="宋体" w:hAnsi="宋体" w:eastAsia="宋体"/>
                <w:b w:val="0"/>
                <w:sz w:val="21"/>
              </w:rPr>
              <w:t>num_rows</w:t>
            </w:r>
          </w:p>
        </w:tc>
        <w:tc>
          <w:tcPr>
            <w:tcW w:type="dxa" w:w="2160"/>
          </w:tcPr>
          <w:p>
            <w:pPr>
              <w:jc w:val="center"/>
            </w:pPr>
            <w:r/>
            <w:r>
              <w:rPr>
                <w:rFonts w:ascii="宋体" w:hAnsi="宋体" w:eastAsia="宋体"/>
                <w:b w:val="0"/>
                <w:sz w:val="21"/>
              </w:rPr>
              <w:t>堆场行数</w:t>
            </w:r>
          </w:p>
        </w:tc>
        <w:tc>
          <w:tcPr>
            <w:tcW w:type="dxa" w:w="2160"/>
          </w:tcPr>
          <w:p>
            <w:pPr>
              <w:jc w:val="center"/>
            </w:pPr>
            <w:r/>
            <w:r>
              <w:rPr>
                <w:rFonts w:ascii="宋体" w:hAnsi="宋体" w:eastAsia="宋体"/>
                <w:b w:val="0"/>
                <w:sz w:val="21"/>
              </w:rPr>
              <w:t>3~10</w:t>
            </w:r>
          </w:p>
        </w:tc>
        <w:tc>
          <w:tcPr>
            <w:tcW w:type="dxa" w:w="2160"/>
          </w:tcPr>
          <w:p>
            <w:pPr>
              <w:jc w:val="center"/>
            </w:pPr>
            <w:r/>
            <w:r>
              <w:rPr>
                <w:rFonts w:ascii="宋体" w:hAnsi="宋体" w:eastAsia="宋体"/>
                <w:b w:val="0"/>
                <w:sz w:val="21"/>
              </w:rPr>
              <w:t>3</w:t>
            </w:r>
          </w:p>
        </w:tc>
      </w:tr>
      <w:tr>
        <w:tc>
          <w:tcPr>
            <w:tcW w:type="dxa" w:w="2160"/>
          </w:tcPr>
          <w:p>
            <w:pPr>
              <w:jc w:val="center"/>
            </w:pPr>
            <w:r/>
            <w:r>
              <w:rPr>
                <w:rFonts w:ascii="宋体" w:hAnsi="宋体" w:eastAsia="宋体"/>
                <w:b w:val="0"/>
                <w:sz w:val="21"/>
              </w:rPr>
              <w:t>yard_prob</w:t>
            </w:r>
          </w:p>
        </w:tc>
        <w:tc>
          <w:tcPr>
            <w:tcW w:type="dxa" w:w="2160"/>
          </w:tcPr>
          <w:p>
            <w:pPr>
              <w:jc w:val="center"/>
            </w:pPr>
            <w:r/>
            <w:r>
              <w:rPr>
                <w:rFonts w:ascii="宋体" w:hAnsi="宋体" w:eastAsia="宋体"/>
                <w:b w:val="0"/>
                <w:sz w:val="21"/>
              </w:rPr>
              <w:t>堆场块生成概率</w:t>
            </w:r>
          </w:p>
        </w:tc>
        <w:tc>
          <w:tcPr>
            <w:tcW w:type="dxa" w:w="2160"/>
          </w:tcPr>
          <w:p>
            <w:pPr>
              <w:jc w:val="center"/>
            </w:pPr>
            <w:r/>
            <w:r>
              <w:rPr>
                <w:rFonts w:ascii="宋体" w:hAnsi="宋体" w:eastAsia="宋体"/>
                <w:b w:val="0"/>
                <w:sz w:val="21"/>
              </w:rPr>
              <w:t>0~1</w:t>
            </w:r>
          </w:p>
        </w:tc>
        <w:tc>
          <w:tcPr>
            <w:tcW w:type="dxa" w:w="2160"/>
          </w:tcPr>
          <w:p>
            <w:pPr>
              <w:jc w:val="center"/>
            </w:pPr>
            <w:r/>
            <w:r>
              <w:rPr>
                <w:rFonts w:ascii="宋体" w:hAnsi="宋体" w:eastAsia="宋体"/>
                <w:b w:val="0"/>
                <w:sz w:val="21"/>
              </w:rPr>
              <w:t>0.7</w:t>
            </w:r>
          </w:p>
        </w:tc>
      </w:tr>
      <w:tr>
        <w:tc>
          <w:tcPr>
            <w:tcW w:type="dxa" w:w="2160"/>
          </w:tcPr>
          <w:p>
            <w:pPr>
              <w:jc w:val="center"/>
            </w:pPr>
            <w:r/>
            <w:r>
              <w:rPr>
                <w:rFonts w:ascii="宋体" w:hAnsi="宋体" w:eastAsia="宋体"/>
                <w:b w:val="0"/>
                <w:sz w:val="21"/>
              </w:rPr>
              <w:t>quay_prob</w:t>
            </w:r>
          </w:p>
        </w:tc>
        <w:tc>
          <w:tcPr>
            <w:tcW w:type="dxa" w:w="2160"/>
          </w:tcPr>
          <w:p>
            <w:pPr>
              <w:jc w:val="center"/>
            </w:pPr>
            <w:r/>
            <w:r>
              <w:rPr>
                <w:rFonts w:ascii="宋体" w:hAnsi="宋体" w:eastAsia="宋体"/>
                <w:b w:val="0"/>
                <w:sz w:val="21"/>
              </w:rPr>
              <w:t>泊位生成概率</w:t>
            </w:r>
          </w:p>
        </w:tc>
        <w:tc>
          <w:tcPr>
            <w:tcW w:type="dxa" w:w="2160"/>
          </w:tcPr>
          <w:p>
            <w:pPr>
              <w:jc w:val="center"/>
            </w:pPr>
            <w:r/>
            <w:r>
              <w:rPr>
                <w:rFonts w:ascii="宋体" w:hAnsi="宋体" w:eastAsia="宋体"/>
                <w:b w:val="0"/>
                <w:sz w:val="21"/>
              </w:rPr>
              <w:t>0~1</w:t>
            </w:r>
          </w:p>
        </w:tc>
        <w:tc>
          <w:tcPr>
            <w:tcW w:type="dxa" w:w="2160"/>
          </w:tcPr>
          <w:p>
            <w:pPr>
              <w:jc w:val="center"/>
            </w:pPr>
            <w:r/>
            <w:r>
              <w:rPr>
                <w:rFonts w:ascii="宋体" w:hAnsi="宋体" w:eastAsia="宋体"/>
                <w:b w:val="0"/>
                <w:sz w:val="21"/>
              </w:rPr>
              <w:t>0.6</w:t>
            </w:r>
          </w:p>
        </w:tc>
      </w:tr>
    </w:tbl>
    <w:p/>
    <w:p>
      <w:pPr>
        <w:spacing w:line="300" w:lineRule="auto"/>
      </w:pPr>
      <w:r>
        <w:rPr>
          <w:rFonts w:ascii="宋体" w:hAnsi="宋体" w:eastAsia="宋体"/>
          <w:b w:val="0"/>
          <w:sz w:val="24"/>
        </w:rPr>
        <w:t>每次运行使用固定随机种子（seed=42），保证实验可复现。生成的港口环境包含四类节点：泊位节点（Q{c}，每列1个）、巷道节点（C{c}_L{r}/C{c}_R{r}，左右各一根竖向巷道）、主干道节点（每列底部L0/R0）、出入口节点（Gate_In/Gate_Out，位于港口两端）。</w:t>
      </w:r>
    </w:p>
    <w:p>
      <w:pPr>
        <w:spacing w:line="300" w:lineRule="auto"/>
      </w:pPr>
      <w:r>
        <w:rPr>
          <w:rFonts w:ascii="宋体" w:hAnsi="宋体" w:eastAsia="宋体"/>
          <w:b w:val="0"/>
          <w:sz w:val="24"/>
        </w:rPr>
        <w:t>节点总数为 2 + 列数×(3+2×行数)。8×3规模共74个节点，12×5规模约200个节点，20×10规模达462个节点。路网以无向图邻接表存储，双向连接形成完全连通的网格拓扑。</w:t>
      </w:r>
    </w:p>
    <w:p>
      <w:r>
        <w:rPr>
          <w:rFonts w:ascii="黑体" w:hAnsi="黑体" w:eastAsia="黑体"/>
          <w:b/>
          <w:sz w:val="30"/>
        </w:rPr>
        <w:t>3.2 任务数据</w:t>
      </w:r>
    </w:p>
    <w:p>
      <w:pPr>
        <w:spacing w:line="300" w:lineRule="auto"/>
      </w:pPr>
      <w:r>
        <w:rPr>
          <w:rFonts w:ascii="宋体" w:hAnsi="宋体" w:eastAsia="宋体"/>
          <w:b w:val="0"/>
          <w:sz w:val="24"/>
        </w:rPr>
        <w:t>任务由TaskGenerator自动生成，包含三种类型，各自对应不同的典型港口作业场景：</w:t>
      </w:r>
    </w:p>
    <w:p>
      <w:pPr>
        <w:jc w:val="center"/>
      </w:pPr>
      <w:r>
        <w:rPr>
          <w:rFonts w:ascii="黑体" w:hAnsi="黑体" w:eastAsia="黑体"/>
          <w:b/>
          <w:sz w:val="21"/>
        </w:rPr>
        <w:t>表2. 任务类型与特征</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黑体" w:hAnsi="黑体" w:eastAsia="黑体"/>
                <w:b/>
                <w:sz w:val="21"/>
              </w:rPr>
              <w:t>类型</w:t>
            </w:r>
          </w:p>
        </w:tc>
        <w:tc>
          <w:tcPr>
            <w:tcW w:type="dxa" w:w="1440"/>
          </w:tcPr>
          <w:p>
            <w:pPr>
              <w:jc w:val="center"/>
            </w:pPr>
            <w:r/>
            <w:r>
              <w:rPr>
                <w:rFonts w:ascii="黑体" w:hAnsi="黑体" w:eastAsia="黑体"/>
                <w:b/>
                <w:sz w:val="21"/>
              </w:rPr>
              <w:t>描述</w:t>
            </w:r>
          </w:p>
        </w:tc>
        <w:tc>
          <w:tcPr>
            <w:tcW w:type="dxa" w:w="1440"/>
          </w:tcPr>
          <w:p>
            <w:pPr>
              <w:jc w:val="center"/>
            </w:pPr>
            <w:r/>
            <w:r>
              <w:rPr>
                <w:rFonts w:ascii="黑体" w:hAnsi="黑体" w:eastAsia="黑体"/>
                <w:b/>
                <w:sz w:val="21"/>
              </w:rPr>
              <w:t>起点</w:t>
            </w:r>
          </w:p>
        </w:tc>
        <w:tc>
          <w:tcPr>
            <w:tcW w:type="dxa" w:w="1440"/>
          </w:tcPr>
          <w:p>
            <w:pPr>
              <w:jc w:val="center"/>
            </w:pPr>
            <w:r/>
            <w:r>
              <w:rPr>
                <w:rFonts w:ascii="黑体" w:hAnsi="黑体" w:eastAsia="黑体"/>
                <w:b/>
                <w:sz w:val="21"/>
              </w:rPr>
              <w:t>终点</w:t>
            </w:r>
          </w:p>
        </w:tc>
        <w:tc>
          <w:tcPr>
            <w:tcW w:type="dxa" w:w="1440"/>
          </w:tcPr>
          <w:p>
            <w:pPr>
              <w:jc w:val="center"/>
            </w:pPr>
            <w:r/>
            <w:r>
              <w:rPr>
                <w:rFonts w:ascii="黑体" w:hAnsi="黑体" w:eastAsia="黑体"/>
                <w:b/>
                <w:sz w:val="21"/>
              </w:rPr>
              <w:t>生成权重</w:t>
            </w:r>
          </w:p>
        </w:tc>
        <w:tc>
          <w:tcPr>
            <w:tcW w:type="dxa" w:w="1440"/>
          </w:tcPr>
          <w:p>
            <w:pPr>
              <w:jc w:val="center"/>
            </w:pPr>
            <w:r/>
            <w:r>
              <w:rPr>
                <w:rFonts w:ascii="黑体" w:hAnsi="黑体" w:eastAsia="黑体"/>
                <w:b/>
                <w:sz w:val="21"/>
              </w:rPr>
              <w:t>紧急度特征</w:t>
            </w:r>
          </w:p>
        </w:tc>
      </w:tr>
      <w:tr>
        <w:tc>
          <w:tcPr>
            <w:tcW w:type="dxa" w:w="1440"/>
          </w:tcPr>
          <w:p>
            <w:pPr>
              <w:jc w:val="center"/>
            </w:pPr>
            <w:r/>
            <w:r>
              <w:rPr>
                <w:rFonts w:ascii="宋体" w:hAnsi="宋体" w:eastAsia="宋体"/>
                <w:b w:val="0"/>
                <w:sz w:val="21"/>
              </w:rPr>
              <w:t>IMPORT</w:t>
            </w:r>
          </w:p>
        </w:tc>
        <w:tc>
          <w:tcPr>
            <w:tcW w:type="dxa" w:w="1440"/>
          </w:tcPr>
          <w:p>
            <w:pPr>
              <w:jc w:val="center"/>
            </w:pPr>
            <w:r/>
            <w:r>
              <w:rPr>
                <w:rFonts w:ascii="宋体" w:hAnsi="宋体" w:eastAsia="宋体"/>
                <w:b w:val="0"/>
                <w:sz w:val="21"/>
              </w:rPr>
              <w:t>进口卸船</w:t>
            </w:r>
          </w:p>
        </w:tc>
        <w:tc>
          <w:tcPr>
            <w:tcW w:type="dxa" w:w="1440"/>
          </w:tcPr>
          <w:p>
            <w:pPr>
              <w:jc w:val="center"/>
            </w:pPr>
            <w:r/>
            <w:r>
              <w:rPr>
                <w:rFonts w:ascii="宋体" w:hAnsi="宋体" w:eastAsia="宋体"/>
                <w:b w:val="0"/>
                <w:sz w:val="21"/>
              </w:rPr>
              <w:t>泊位(Quay)</w:t>
            </w:r>
          </w:p>
        </w:tc>
        <w:tc>
          <w:tcPr>
            <w:tcW w:type="dxa" w:w="1440"/>
          </w:tcPr>
          <w:p>
            <w:pPr>
              <w:jc w:val="center"/>
            </w:pPr>
            <w:r/>
            <w:r>
              <w:rPr>
                <w:rFonts w:ascii="宋体" w:hAnsi="宋体" w:eastAsia="宋体"/>
                <w:b w:val="0"/>
                <w:sz w:val="21"/>
              </w:rPr>
              <w:t>堆场(Yard)</w:t>
            </w:r>
          </w:p>
        </w:tc>
        <w:tc>
          <w:tcPr>
            <w:tcW w:type="dxa" w:w="1440"/>
          </w:tcPr>
          <w:p>
            <w:pPr>
              <w:jc w:val="center"/>
            </w:pPr>
            <w:r/>
            <w:r>
              <w:rPr>
                <w:rFonts w:ascii="宋体" w:hAnsi="宋体" w:eastAsia="宋体"/>
                <w:b w:val="0"/>
                <w:sz w:val="21"/>
              </w:rPr>
              <w:t>40%</w:t>
            </w:r>
          </w:p>
        </w:tc>
        <w:tc>
          <w:tcPr>
            <w:tcW w:type="dxa" w:w="1440"/>
          </w:tcPr>
          <w:p>
            <w:pPr>
              <w:jc w:val="center"/>
            </w:pPr>
            <w:r/>
            <w:r>
              <w:rPr>
                <w:rFonts w:ascii="宋体" w:hAnsi="宋体" w:eastAsia="宋体"/>
                <w:b w:val="0"/>
                <w:sz w:val="21"/>
              </w:rPr>
              <w:t>偏高(0.5~1.0)</w:t>
            </w:r>
          </w:p>
        </w:tc>
      </w:tr>
      <w:tr>
        <w:tc>
          <w:tcPr>
            <w:tcW w:type="dxa" w:w="1440"/>
          </w:tcPr>
          <w:p>
            <w:pPr>
              <w:jc w:val="center"/>
            </w:pPr>
            <w:r/>
            <w:r>
              <w:rPr>
                <w:rFonts w:ascii="宋体" w:hAnsi="宋体" w:eastAsia="宋体"/>
                <w:b w:val="0"/>
                <w:sz w:val="21"/>
              </w:rPr>
              <w:t>EXPORT</w:t>
            </w:r>
          </w:p>
        </w:tc>
        <w:tc>
          <w:tcPr>
            <w:tcW w:type="dxa" w:w="1440"/>
          </w:tcPr>
          <w:p>
            <w:pPr>
              <w:jc w:val="center"/>
            </w:pPr>
            <w:r/>
            <w:r>
              <w:rPr>
                <w:rFonts w:ascii="宋体" w:hAnsi="宋体" w:eastAsia="宋体"/>
                <w:b w:val="0"/>
                <w:sz w:val="21"/>
              </w:rPr>
              <w:t>出口装船</w:t>
            </w:r>
          </w:p>
        </w:tc>
        <w:tc>
          <w:tcPr>
            <w:tcW w:type="dxa" w:w="1440"/>
          </w:tcPr>
          <w:p>
            <w:pPr>
              <w:jc w:val="center"/>
            </w:pPr>
            <w:r/>
            <w:r>
              <w:rPr>
                <w:rFonts w:ascii="宋体" w:hAnsi="宋体" w:eastAsia="宋体"/>
                <w:b w:val="0"/>
                <w:sz w:val="21"/>
              </w:rPr>
              <w:t>闸口(Gate_In)</w:t>
            </w:r>
          </w:p>
        </w:tc>
        <w:tc>
          <w:tcPr>
            <w:tcW w:type="dxa" w:w="1440"/>
          </w:tcPr>
          <w:p>
            <w:pPr>
              <w:jc w:val="center"/>
            </w:pPr>
            <w:r/>
            <w:r>
              <w:rPr>
                <w:rFonts w:ascii="宋体" w:hAnsi="宋体" w:eastAsia="宋体"/>
                <w:b w:val="0"/>
                <w:sz w:val="21"/>
              </w:rPr>
              <w:t>堆场(Yard)</w:t>
            </w:r>
          </w:p>
        </w:tc>
        <w:tc>
          <w:tcPr>
            <w:tcW w:type="dxa" w:w="1440"/>
          </w:tcPr>
          <w:p>
            <w:pPr>
              <w:jc w:val="center"/>
            </w:pPr>
            <w:r/>
            <w:r>
              <w:rPr>
                <w:rFonts w:ascii="宋体" w:hAnsi="宋体" w:eastAsia="宋体"/>
                <w:b w:val="0"/>
                <w:sz w:val="21"/>
              </w:rPr>
              <w:t>30%</w:t>
            </w:r>
          </w:p>
        </w:tc>
        <w:tc>
          <w:tcPr>
            <w:tcW w:type="dxa" w:w="1440"/>
          </w:tcPr>
          <w:p>
            <w:pPr>
              <w:jc w:val="center"/>
            </w:pPr>
            <w:r/>
            <w:r>
              <w:rPr>
                <w:rFonts w:ascii="宋体" w:hAnsi="宋体" w:eastAsia="宋体"/>
                <w:b w:val="0"/>
                <w:sz w:val="21"/>
              </w:rPr>
              <w:t>中等(0.3~0.8)</w:t>
            </w:r>
          </w:p>
        </w:tc>
      </w:tr>
      <w:tr>
        <w:tc>
          <w:tcPr>
            <w:tcW w:type="dxa" w:w="1440"/>
          </w:tcPr>
          <w:p>
            <w:pPr>
              <w:jc w:val="center"/>
            </w:pPr>
            <w:r/>
            <w:r>
              <w:rPr>
                <w:rFonts w:ascii="宋体" w:hAnsi="宋体" w:eastAsia="宋体"/>
                <w:b w:val="0"/>
                <w:sz w:val="21"/>
              </w:rPr>
              <w:t>TRANSSHIPMENT</w:t>
            </w:r>
          </w:p>
        </w:tc>
        <w:tc>
          <w:tcPr>
            <w:tcW w:type="dxa" w:w="1440"/>
          </w:tcPr>
          <w:p>
            <w:pPr>
              <w:jc w:val="center"/>
            </w:pPr>
            <w:r/>
            <w:r>
              <w:rPr>
                <w:rFonts w:ascii="宋体" w:hAnsi="宋体" w:eastAsia="宋体"/>
                <w:b w:val="0"/>
                <w:sz w:val="21"/>
              </w:rPr>
              <w:t>堆场转运</w:t>
            </w:r>
          </w:p>
        </w:tc>
        <w:tc>
          <w:tcPr>
            <w:tcW w:type="dxa" w:w="1440"/>
          </w:tcPr>
          <w:p>
            <w:pPr>
              <w:jc w:val="center"/>
            </w:pPr>
            <w:r/>
            <w:r>
              <w:rPr>
                <w:rFonts w:ascii="宋体" w:hAnsi="宋体" w:eastAsia="宋体"/>
                <w:b w:val="0"/>
                <w:sz w:val="21"/>
              </w:rPr>
              <w:t>堆场(Yard)</w:t>
            </w:r>
          </w:p>
        </w:tc>
        <w:tc>
          <w:tcPr>
            <w:tcW w:type="dxa" w:w="1440"/>
          </w:tcPr>
          <w:p>
            <w:pPr>
              <w:jc w:val="center"/>
            </w:pPr>
            <w:r/>
            <w:r>
              <w:rPr>
                <w:rFonts w:ascii="宋体" w:hAnsi="宋体" w:eastAsia="宋体"/>
                <w:b w:val="0"/>
                <w:sz w:val="21"/>
              </w:rPr>
              <w:t>泊位(Quay)</w:t>
            </w:r>
          </w:p>
        </w:tc>
        <w:tc>
          <w:tcPr>
            <w:tcW w:type="dxa" w:w="1440"/>
          </w:tcPr>
          <w:p>
            <w:pPr>
              <w:jc w:val="center"/>
            </w:pPr>
            <w:r/>
            <w:r>
              <w:rPr>
                <w:rFonts w:ascii="宋体" w:hAnsi="宋体" w:eastAsia="宋体"/>
                <w:b w:val="0"/>
                <w:sz w:val="21"/>
              </w:rPr>
              <w:t>30%</w:t>
            </w:r>
          </w:p>
        </w:tc>
        <w:tc>
          <w:tcPr>
            <w:tcW w:type="dxa" w:w="1440"/>
          </w:tcPr>
          <w:p>
            <w:pPr>
              <w:jc w:val="center"/>
            </w:pPr>
            <w:r/>
            <w:r>
              <w:rPr>
                <w:rFonts w:ascii="宋体" w:hAnsi="宋体" w:eastAsia="宋体"/>
                <w:b w:val="0"/>
                <w:sz w:val="21"/>
              </w:rPr>
              <w:t>中等(0.3~0.8)</w:t>
            </w:r>
          </w:p>
        </w:tc>
      </w:tr>
    </w:tbl>
    <w:p/>
    <w:p>
      <w:pPr>
        <w:spacing w:line="300" w:lineRule="auto"/>
      </w:pPr>
      <w:r>
        <w:rPr>
          <w:rFonts w:ascii="宋体" w:hAnsi="宋体" w:eastAsia="宋体"/>
          <w:b w:val="0"/>
          <w:sz w:val="24"/>
        </w:rPr>
        <w:t>每个任务携带以下标注信息：urgency（紧急度，0~1浮点数）、deadline（截止时间戳）、waiting_since（任务创建/等待起始时刻）、priority_score（综合优先级评分）。IMPORT类型任务的紧急度默认加上0.2的偏置，以反映实际港口作业中进口卸船任务的时间紧迫性。</w:t>
      </w:r>
    </w:p>
    <w:p>
      <w:r>
        <w:rPr>
          <w:rFonts w:ascii="黑体" w:hAnsi="黑体" w:eastAsia="黑体"/>
          <w:b/>
          <w:sz w:val="30"/>
        </w:rPr>
        <w:t>3.3 拥堵标注数据</w:t>
      </w:r>
    </w:p>
    <w:p>
      <w:pPr>
        <w:spacing w:line="300" w:lineRule="auto"/>
      </w:pPr>
      <w:r>
        <w:rPr>
          <w:rFonts w:ascii="宋体" w:hAnsi="宋体" w:eastAsia="宋体"/>
          <w:b w:val="0"/>
          <w:sz w:val="24"/>
        </w:rPr>
        <w:t>仿真运行过程中，CongestionPredictor每步自动采集并标注拥堵数据。空间标注将港口区域离散化为10×10单位的矩形网格，统计每格内的车辆分布。时间标注为每个网格保留最近50步的密度历史序列。EWMA值≥0.6的网格自动标记为拥堵热点。这些标注数据可持久化到congestion_hotspots.json文件，支持跨会话的累计学习。</w:t>
      </w:r>
    </w:p>
    <w:p>
      <w:r>
        <w:rPr>
          <w:rFonts w:ascii="黑体" w:hAnsi="黑体" w:eastAsia="黑体"/>
          <w:b/>
          <w:sz w:val="36"/>
        </w:rPr>
        <w:t>四、关键方法</w:t>
      </w:r>
    </w:p>
    <w:p>
      <w:pPr>
        <w:spacing w:line="300" w:lineRule="auto"/>
      </w:pPr>
      <w:r>
        <w:rPr>
          <w:rFonts w:ascii="宋体" w:hAnsi="宋体" w:eastAsia="宋体"/>
          <w:b w:val="0"/>
          <w:sz w:val="24"/>
        </w:rPr>
        <w:t>本系统采用分层模块化架构，共12个Python源文件与2个Web前端文件。整体分为四层：基础模块层（港口建模、任务系统、卡车模型、路径规划）、智能化模块层（ML预测、拥堵预测、RL调度）、仿真控制层（主控制器）、Web可视化层（Flask API + Canvas前端）。各模块通过PortSimApp中央控制器协调工作，模块间通过明确的接口（如predict_score、get_node_congestion）进行数据交换，支持独立开关和替换。</w:t>
      </w:r>
    </w:p>
    <w:p>
      <w:r>
        <w:rPr>
          <w:rFonts w:ascii="黑体" w:hAnsi="黑体" w:eastAsia="黑体"/>
          <w:b/>
          <w:sz w:val="30"/>
        </w:rPr>
        <w:t>4.1 港口环境建模（draw_port.py）</w:t>
      </w:r>
    </w:p>
    <w:p>
      <w:pPr>
        <w:spacing w:line="300" w:lineRule="auto"/>
      </w:pPr>
      <w:r>
        <w:rPr>
          <w:rFonts w:ascii="宋体" w:hAnsi="宋体" w:eastAsia="宋体"/>
          <w:b w:val="0"/>
          <w:sz w:val="24"/>
        </w:rPr>
        <w:t>港口布局采用网格化随机生成方法。以Gate_In为起点（坐标(0, 10)）、Gate_Out为终点，按列（Column编号c，从1到num_cols）和行（Row编号r，从1到num_rows）组织空间结构。每列包含：一个泊位节点Q{c}（位于坐标((x_left+x_right)/2, 2)），两个主干道节点C{c}_L0和C{c}_R0（位于巷道的底部起点），以及每行两个堆场节点C{c}_L{r}和C{c}_R{r}。</w:t>
      </w:r>
    </w:p>
    <w:p>
      <w:pPr>
        <w:spacing w:line="300" w:lineRule="auto"/>
      </w:pPr>
      <w:r>
        <w:rPr>
          <w:rFonts w:ascii="宋体" w:hAnsi="宋体" w:eastAsia="宋体"/>
          <w:b w:val="0"/>
          <w:sz w:val="24"/>
        </w:rPr>
        <w:t>节点连接遵循"纵向巷道+横向主干道"的网格拓扑：L侧节点纵向串联形成左巷道，R侧节点纵向串联形成右巷道；每行的L和R节点间若存在堆场块则横向连接；每列的L0和R0通过泊位节点Q{c}形成三角形连接；相邻列之间通过横向主干道（C{c-1}_R0 → C{c}_L0）连通。</w:t>
      </w:r>
    </w:p>
    <w:p>
      <w:pPr>
        <w:spacing w:line="300" w:lineRule="auto"/>
      </w:pPr>
      <w:r>
        <w:rPr>
          <w:rFonts w:ascii="宋体" w:hAnsi="宋体" w:eastAsia="宋体"/>
          <w:b w:val="0"/>
          <w:sz w:val="24"/>
        </w:rPr>
        <w:t>数据生成与渲染严格分离：generate()方法只生成nodes字典和graph邻接表，draw()方法仅负责Matplotlib渲染。大规模场景（&gt;12列）时自动启用动态间距压缩（col_spacing从18降至14），保证可视化效果。</w:t>
      </w:r>
    </w:p>
    <w:p>
      <w:r>
        <w:rPr>
          <w:rFonts w:ascii="黑体" w:hAnsi="黑体" w:eastAsia="黑体"/>
          <w:b/>
          <w:sz w:val="30"/>
        </w:rPr>
        <w:t>4.2 任务系统设计（tasks.py）</w:t>
      </w:r>
    </w:p>
    <w:p>
      <w:pPr>
        <w:spacing w:line="300" w:lineRule="auto"/>
      </w:pPr>
      <w:r>
        <w:rPr>
          <w:rFonts w:ascii="宋体" w:hAnsi="宋体" w:eastAsia="宋体"/>
          <w:b w:val="0"/>
          <w:sz w:val="24"/>
        </w:rPr>
        <w:t>Task类在基础起止节点之上增加了丰富的语义信息。compute_priority()方法实现基准任务价值函数：priority_score = 0.4×urgency + 0.3×(1−distance_norm) + 0.3×waiting_norm。该函数作为ML预测器的基准标签，在线学习时根据实际执行结果校准权重。</w:t>
      </w:r>
    </w:p>
    <w:p>
      <w:pPr>
        <w:spacing w:line="300" w:lineRule="auto"/>
      </w:pPr>
      <w:r>
        <w:rPr>
          <w:rFonts w:ascii="宋体" w:hAnsi="宋体" w:eastAsia="宋体"/>
          <w:b w:val="0"/>
          <w:sz w:val="24"/>
        </w:rPr>
        <w:t>TaskManager增加了历史记录和实时统计功能：task_history记录每个完成任务的等待时间和距离，可用于后续的数据分析；get_stats()返回完成数、待处理数、平均等待时间和近期平均紧急度，供性能监控使用。</w:t>
      </w:r>
    </w:p>
    <w:p>
      <w:r>
        <w:rPr>
          <w:rFonts w:ascii="黑体" w:hAnsi="黑体" w:eastAsia="黑体"/>
          <w:b/>
          <w:sz w:val="30"/>
        </w:rPr>
        <w:t>4.3 增强型A*路径规划（path_planning.py）</w:t>
      </w:r>
    </w:p>
    <w:p>
      <w:pPr>
        <w:spacing w:line="300" w:lineRule="auto"/>
      </w:pPr>
      <w:r>
        <w:rPr>
          <w:rFonts w:ascii="宋体" w:hAnsi="宋体" w:eastAsia="宋体"/>
          <w:b w:val="0"/>
          <w:sz w:val="24"/>
        </w:rPr>
        <w:t>标准A*算法使用启发式函数 f(n) = g(n) + h(n) 指导搜索方向。本系统在g(n)的计算中引入了创新性的双层拥堵惩罚机制：</w:t>
      </w:r>
    </w:p>
    <w:p>
      <w:pPr>
        <w:jc w:val="center"/>
      </w:pPr>
      <w:r>
        <w:rPr>
          <w:rFonts w:ascii="黑体" w:hAnsi="黑体" w:eastAsia="黑体"/>
          <w:b/>
          <w:sz w:val="21"/>
        </w:rPr>
        <w:t>表3. A*边代价构成</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eastAsia="黑体"/>
                <w:b/>
                <w:sz w:val="21"/>
              </w:rPr>
              <w:t>代价层级</w:t>
            </w:r>
          </w:p>
        </w:tc>
        <w:tc>
          <w:tcPr>
            <w:tcW w:type="dxa" w:w="1728"/>
          </w:tcPr>
          <w:p>
            <w:pPr>
              <w:jc w:val="center"/>
            </w:pPr>
            <w:r/>
            <w:r>
              <w:rPr>
                <w:rFonts w:ascii="黑体" w:hAnsi="黑体" w:eastAsia="黑体"/>
                <w:b/>
                <w:sz w:val="21"/>
              </w:rPr>
              <w:t>计算方式</w:t>
            </w:r>
          </w:p>
        </w:tc>
        <w:tc>
          <w:tcPr>
            <w:tcW w:type="dxa" w:w="1728"/>
          </w:tcPr>
          <w:p>
            <w:pPr>
              <w:jc w:val="center"/>
            </w:pPr>
            <w:r/>
            <w:r>
              <w:rPr>
                <w:rFonts w:ascii="黑体" w:hAnsi="黑体" w:eastAsia="黑体"/>
                <w:b/>
                <w:sz w:val="21"/>
              </w:rPr>
              <w:t>权重</w:t>
            </w:r>
          </w:p>
        </w:tc>
        <w:tc>
          <w:tcPr>
            <w:tcW w:type="dxa" w:w="1728"/>
          </w:tcPr>
          <w:p>
            <w:pPr>
              <w:jc w:val="center"/>
            </w:pPr>
            <w:r/>
            <w:r>
              <w:rPr>
                <w:rFonts w:ascii="黑体" w:hAnsi="黑体" w:eastAsia="黑体"/>
                <w:b/>
                <w:sz w:val="21"/>
              </w:rPr>
              <w:t>触发条件</w:t>
            </w:r>
          </w:p>
        </w:tc>
        <w:tc>
          <w:tcPr>
            <w:tcW w:type="dxa" w:w="1728"/>
          </w:tcPr>
          <w:p>
            <w:pPr>
              <w:jc w:val="center"/>
            </w:pPr>
            <w:r/>
            <w:r>
              <w:rPr>
                <w:rFonts w:ascii="黑体" w:hAnsi="黑体" w:eastAsia="黑体"/>
                <w:b/>
                <w:sz w:val="21"/>
              </w:rPr>
              <w:t>来源</w:t>
            </w:r>
          </w:p>
        </w:tc>
      </w:tr>
      <w:tr>
        <w:tc>
          <w:tcPr>
            <w:tcW w:type="dxa" w:w="1728"/>
          </w:tcPr>
          <w:p>
            <w:pPr>
              <w:jc w:val="center"/>
            </w:pPr>
            <w:r/>
            <w:r>
              <w:rPr>
                <w:rFonts w:ascii="宋体" w:hAnsi="宋体" w:eastAsia="宋体"/>
                <w:b w:val="0"/>
                <w:sz w:val="21"/>
              </w:rPr>
              <w:t>基础距离</w:t>
            </w:r>
          </w:p>
        </w:tc>
        <w:tc>
          <w:tcPr>
            <w:tcW w:type="dxa" w:w="1728"/>
          </w:tcPr>
          <w:p>
            <w:pPr>
              <w:jc w:val="center"/>
            </w:pPr>
            <w:r/>
            <w:r>
              <w:rPr>
                <w:rFonts w:ascii="宋体" w:hAnsi="宋体" w:eastAsia="宋体"/>
                <w:b w:val="0"/>
                <w:sz w:val="21"/>
              </w:rPr>
              <w:t>欧几里得距离 dist(u, v)</w:t>
            </w:r>
          </w:p>
        </w:tc>
        <w:tc>
          <w:tcPr>
            <w:tcW w:type="dxa" w:w="1728"/>
          </w:tcPr>
          <w:p>
            <w:pPr>
              <w:jc w:val="center"/>
            </w:pPr>
            <w:r/>
            <w:r>
              <w:rPr>
                <w:rFonts w:ascii="宋体" w:hAnsi="宋体" w:eastAsia="宋体"/>
                <w:b w:val="0"/>
                <w:sz w:val="21"/>
              </w:rPr>
              <w:t>1.0</w:t>
            </w:r>
          </w:p>
        </w:tc>
        <w:tc>
          <w:tcPr>
            <w:tcW w:type="dxa" w:w="1728"/>
          </w:tcPr>
          <w:p>
            <w:pPr>
              <w:jc w:val="center"/>
            </w:pPr>
            <w:r/>
            <w:r>
              <w:rPr>
                <w:rFonts w:ascii="宋体" w:hAnsi="宋体" w:eastAsia="宋体"/>
                <w:b w:val="0"/>
                <w:sz w:val="21"/>
              </w:rPr>
              <w:t>始终</w:t>
            </w:r>
          </w:p>
        </w:tc>
        <w:tc>
          <w:tcPr>
            <w:tcW w:type="dxa" w:w="1728"/>
          </w:tcPr>
          <w:p>
            <w:pPr>
              <w:jc w:val="center"/>
            </w:pPr>
            <w:r/>
            <w:r>
              <w:rPr>
                <w:rFonts w:ascii="宋体" w:hAnsi="宋体" w:eastAsia="宋体"/>
                <w:b w:val="0"/>
                <w:sz w:val="21"/>
              </w:rPr>
              <w:t>节点坐标</w:t>
            </w:r>
          </w:p>
        </w:tc>
      </w:tr>
      <w:tr>
        <w:tc>
          <w:tcPr>
            <w:tcW w:type="dxa" w:w="1728"/>
          </w:tcPr>
          <w:p>
            <w:pPr>
              <w:jc w:val="center"/>
            </w:pPr>
            <w:r/>
            <w:r>
              <w:rPr>
                <w:rFonts w:ascii="宋体" w:hAnsi="宋体" w:eastAsia="宋体"/>
                <w:b w:val="0"/>
                <w:sz w:val="21"/>
              </w:rPr>
              <w:t>即时惩罚</w:t>
            </w:r>
          </w:p>
        </w:tc>
        <w:tc>
          <w:tcPr>
            <w:tcW w:type="dxa" w:w="1728"/>
          </w:tcPr>
          <w:p>
            <w:pPr>
              <w:jc w:val="center"/>
            </w:pPr>
            <w:r/>
            <w:r>
              <w:rPr>
                <w:rFonts w:ascii="宋体" w:hAnsi="宋体" w:eastAsia="宋体"/>
                <w:b w:val="0"/>
                <w:sz w:val="21"/>
              </w:rPr>
              <w:t>Σ 40×(1−d/6), ∀卡车d&lt;6</w:t>
            </w:r>
          </w:p>
        </w:tc>
        <w:tc>
          <w:tcPr>
            <w:tcW w:type="dxa" w:w="1728"/>
          </w:tcPr>
          <w:p>
            <w:pPr>
              <w:jc w:val="center"/>
            </w:pPr>
            <w:r/>
            <w:r>
              <w:rPr>
                <w:rFonts w:ascii="宋体" w:hAnsi="宋体" w:eastAsia="宋体"/>
                <w:b w:val="0"/>
                <w:sz w:val="21"/>
              </w:rPr>
              <w:t>可变</w:t>
            </w:r>
          </w:p>
        </w:tc>
        <w:tc>
          <w:tcPr>
            <w:tcW w:type="dxa" w:w="1728"/>
          </w:tcPr>
          <w:p>
            <w:pPr>
              <w:jc w:val="center"/>
            </w:pPr>
            <w:r/>
            <w:r>
              <w:rPr>
                <w:rFonts w:ascii="宋体" w:hAnsi="宋体" w:eastAsia="宋体"/>
                <w:b w:val="0"/>
                <w:sz w:val="21"/>
              </w:rPr>
              <w:t>卡车在半径6内</w:t>
            </w:r>
          </w:p>
        </w:tc>
        <w:tc>
          <w:tcPr>
            <w:tcW w:type="dxa" w:w="1728"/>
          </w:tcPr>
          <w:p>
            <w:pPr>
              <w:jc w:val="center"/>
            </w:pPr>
            <w:r/>
            <w:r>
              <w:rPr>
                <w:rFonts w:ascii="宋体" w:hAnsi="宋体" w:eastAsia="宋体"/>
                <w:b w:val="0"/>
                <w:sz w:val="21"/>
              </w:rPr>
              <w:t>当前车辆位置</w:t>
            </w:r>
          </w:p>
        </w:tc>
      </w:tr>
      <w:tr>
        <w:tc>
          <w:tcPr>
            <w:tcW w:type="dxa" w:w="1728"/>
          </w:tcPr>
          <w:p>
            <w:pPr>
              <w:jc w:val="center"/>
            </w:pPr>
            <w:r/>
            <w:r>
              <w:rPr>
                <w:rFonts w:ascii="宋体" w:hAnsi="宋体" w:eastAsia="宋体"/>
                <w:b w:val="0"/>
                <w:sz w:val="21"/>
              </w:rPr>
              <w:t>趋势惩罚</w:t>
            </w:r>
          </w:p>
        </w:tc>
        <w:tc>
          <w:tcPr>
            <w:tcW w:type="dxa" w:w="1728"/>
          </w:tcPr>
          <w:p>
            <w:pPr>
              <w:jc w:val="center"/>
            </w:pPr>
            <w:r/>
            <w:r>
              <w:rPr>
                <w:rFonts w:ascii="宋体" w:hAnsi="宋体" w:eastAsia="宋体"/>
                <w:b w:val="0"/>
                <w:sz w:val="21"/>
              </w:rPr>
              <w:t>15×max(当前拥堵, 预测拥堵)</w:t>
            </w:r>
          </w:p>
        </w:tc>
        <w:tc>
          <w:tcPr>
            <w:tcW w:type="dxa" w:w="1728"/>
          </w:tcPr>
          <w:p>
            <w:pPr>
              <w:jc w:val="center"/>
            </w:pPr>
            <w:r/>
            <w:r>
              <w:rPr>
                <w:rFonts w:ascii="宋体" w:hAnsi="宋体" w:eastAsia="宋体"/>
                <w:b w:val="0"/>
                <w:sz w:val="21"/>
              </w:rPr>
              <w:t>15.0</w:t>
            </w:r>
          </w:p>
        </w:tc>
        <w:tc>
          <w:tcPr>
            <w:tcW w:type="dxa" w:w="1728"/>
          </w:tcPr>
          <w:p>
            <w:pPr>
              <w:jc w:val="center"/>
            </w:pPr>
            <w:r/>
            <w:r>
              <w:rPr>
                <w:rFonts w:ascii="宋体" w:hAnsi="宋体" w:eastAsia="宋体"/>
                <w:b w:val="0"/>
                <w:sz w:val="21"/>
              </w:rPr>
              <w:t>拥堵值&gt;0.1</w:t>
            </w:r>
          </w:p>
        </w:tc>
        <w:tc>
          <w:tcPr>
            <w:tcW w:type="dxa" w:w="1728"/>
          </w:tcPr>
          <w:p>
            <w:pPr>
              <w:jc w:val="center"/>
            </w:pPr>
            <w:r/>
            <w:r>
              <w:rPr>
                <w:rFonts w:ascii="宋体" w:hAnsi="宋体" w:eastAsia="宋体"/>
                <w:b w:val="0"/>
                <w:sz w:val="21"/>
              </w:rPr>
              <w:t>CongestionPredictor</w:t>
            </w:r>
          </w:p>
        </w:tc>
      </w:tr>
    </w:tbl>
    <w:p/>
    <w:p>
      <w:pPr>
        <w:spacing w:line="300" w:lineRule="auto"/>
      </w:pPr>
      <w:r>
        <w:rPr>
          <w:rFonts w:ascii="宋体" w:hAnsi="宋体" w:eastAsia="宋体"/>
          <w:b w:val="0"/>
          <w:sz w:val="24"/>
        </w:rPr>
        <w:t>即时惩罚采用距离衰减函数——距离越近惩罚越大（d=1时惩罚≈33.3，d=5时惩罚≈6.7），避免了固定阈值的"悬崖效应"。趋势惩罚取max(当前拥堵值, 预测拥堵值)，确保不低估拥堵风险。对于被标记为热点的网格，拥堵值强制提升至0.7以上，使A*优先选择绕行路径。</w:t>
      </w:r>
    </w:p>
    <w:p>
      <w:pPr>
        <w:spacing w:line="300" w:lineRule="auto"/>
      </w:pPr>
      <w:r>
        <w:rPr>
          <w:rFonts w:ascii="宋体" w:hAnsi="宋体" w:eastAsia="宋体"/>
          <w:b w:val="0"/>
          <w:sz w:val="24"/>
        </w:rPr>
        <w:t>算法优化方面：增加了visited集合防止节点重复扩展；使用heapq优先队列保证O(log n)的插入和弹出；提供@lru_cache装饰的启发式函数版本，适合大规模场景下的重复查询。</w:t>
      </w:r>
    </w:p>
    <w:p>
      <w:r>
        <w:rPr>
          <w:rFonts w:ascii="黑体" w:hAnsi="黑体" w:eastAsia="黑体"/>
          <w:b/>
          <w:sz w:val="30"/>
        </w:rPr>
        <w:t>4.4 拥堵趋势预测（congestion_predictor.py）</w:t>
      </w:r>
    </w:p>
    <w:p>
      <w:pPr>
        <w:spacing w:line="300" w:lineRule="auto"/>
      </w:pPr>
      <w:r>
        <w:rPr>
          <w:rFonts w:ascii="宋体" w:hAnsi="宋体" w:eastAsia="宋体"/>
          <w:b w:val="0"/>
          <w:sz w:val="24"/>
        </w:rPr>
        <w:t>拥堵预测器维护空间-时间双维度的拥堵模型，是"趋势避障"能力的核心支撑。</w:t>
      </w:r>
    </w:p>
    <w:p>
      <w:pPr>
        <w:spacing w:line="300" w:lineRule="auto"/>
      </w:pPr>
      <w:r>
        <w:rPr>
          <w:rFonts w:ascii="宋体" w:hAnsi="宋体" w:eastAsia="宋体"/>
          <w:b w:val="0"/>
          <w:sz w:val="24"/>
        </w:rPr>
        <w:t>空间维度：将港口空间离散化为grid_resolution×grid_resolution（默认10×10单位）的矩形网格。每步统计每格内的车辆分布，密度 = min(该格车辆数/3, 1.0)。</w:t>
      </w:r>
    </w:p>
    <w:p>
      <w:pPr>
        <w:spacing w:line="300" w:lineRule="auto"/>
      </w:pPr>
      <w:r>
        <w:rPr>
          <w:rFonts w:ascii="宋体" w:hAnsi="宋体" w:eastAsia="宋体"/>
          <w:b w:val="0"/>
          <w:sz w:val="24"/>
        </w:rPr>
        <w:t>时间维度：使用EWMA（指数加权移动平均）对历史密度进行平滑，平滑系数α = 0.3，公式为 V_new = α×density_current + (1−α)×V_old。同时保留每格最近50步的密度历史序列。</w:t>
      </w:r>
    </w:p>
    <w:p>
      <w:pPr>
        <w:spacing w:line="300" w:lineRule="auto"/>
      </w:pPr>
      <w:r>
        <w:rPr>
          <w:rFonts w:ascii="宋体" w:hAnsi="宋体" w:eastAsia="宋体"/>
          <w:b w:val="0"/>
          <w:sz w:val="24"/>
        </w:rPr>
        <w:t>趋势外推：取最近5步密度序列计算线性趋势 trend = (recent[-1] − recent[0]) / 5，预测值 predicted = current + trend×5（限制在0~1）。这种简单但有效的线性外推在港口场景中表现良好，因为拥堵通常是渐进形成而非突变的。</w:t>
      </w:r>
    </w:p>
    <w:p>
      <w:pPr>
        <w:spacing w:line="300" w:lineRule="auto"/>
      </w:pPr>
      <w:r>
        <w:rPr>
          <w:rFonts w:ascii="宋体" w:hAnsi="宋体" w:eastAsia="宋体"/>
          <w:b w:val="0"/>
          <w:sz w:val="24"/>
        </w:rPr>
        <w:t>热点识别：每20步扫描所有网格，EWMA值≥hotspot_threshold（0.6）的标记为拥堵热点。热点集合可持久化为JSON文件，下次启动时加载以继承历史学习成果。</w:t>
      </w:r>
    </w:p>
    <w:p>
      <w:r>
        <w:rPr>
          <w:rFonts w:ascii="黑体" w:hAnsi="黑体" w:eastAsia="黑体"/>
          <w:b/>
          <w:sz w:val="30"/>
        </w:rPr>
        <w:t>4.5 ML任务价值预测（task_value_predictor.py）</w:t>
      </w:r>
    </w:p>
    <w:p>
      <w:pPr>
        <w:spacing w:line="300" w:lineRule="auto"/>
      </w:pPr>
      <w:r>
        <w:rPr>
          <w:rFonts w:ascii="宋体" w:hAnsi="宋体" w:eastAsia="宋体"/>
          <w:b w:val="0"/>
          <w:sz w:val="24"/>
        </w:rPr>
        <w:t>匈牙利算法需要一个标量代价作为匹配依据。传统方法使用欧几里得距离，但距离无法反映任务的紧急程度、等待时间压力和任务类型差异。本模块使用随机森林集成学习，将四维特征（紧急度、归一化距离、归一化等待时间、任务类型编码）融合为单一价值评分（0~1）。</w:t>
      </w:r>
    </w:p>
    <w:p>
      <w:pPr>
        <w:spacing w:line="300" w:lineRule="auto"/>
      </w:pPr>
      <w:r>
        <w:rPr>
          <w:rFonts w:ascii="宋体" w:hAnsi="宋体" w:eastAsia="宋体"/>
          <w:b w:val="0"/>
          <w:sz w:val="24"/>
        </w:rPr>
        <w:t>基模型采用加权线性评分：base_score = 0.40×urgency + 0.25×(1−distance) + 0.20×waiting + 0.15×type_encoding。权重反映了各因素在港口调度中的相对重要性——紧急度最重要（40%），任务类型影响最小但不可忽略（15%）。</w:t>
      </w:r>
    </w:p>
    <w:p>
      <w:pPr>
        <w:spacing w:line="300" w:lineRule="auto"/>
      </w:pPr>
      <w:r>
        <w:rPr>
          <w:rFonts w:ascii="宋体" w:hAnsi="宋体" w:eastAsia="宋体"/>
          <w:b w:val="0"/>
          <w:sz w:val="24"/>
        </w:rPr>
        <w:t>随机森林集成：构建10棵简易决策树，每棵树随机选择1个特征和1个分裂值进行二分类。最终评分 = 基模型×0.9 + 森林平均预测×0.1。集成学习平滑了基模型的线性假设，提升了对非线性关系的拟合能力。</w:t>
      </w:r>
    </w:p>
    <w:p>
      <w:pPr>
        <w:spacing w:line="300" w:lineRule="auto"/>
      </w:pPr>
      <w:r>
        <w:rPr>
          <w:rFonts w:ascii="宋体" w:hAnsi="宋体" w:eastAsia="宋体"/>
          <w:b w:val="0"/>
          <w:sz w:val="24"/>
        </w:rPr>
        <w:t>在线学习机制：仿真过程中自动记录每次分配的实际结果（等待时间、是否完成），每积累50条数据评估预测误差。若平均误差&gt;0.2，微调所有决策树的分裂值（随机扰动±0.05），使模型在运行中持续自我优化。</w:t>
      </w:r>
    </w:p>
    <w:p>
      <w:pPr>
        <w:spacing w:line="300" w:lineRule="auto"/>
      </w:pPr>
      <w:r>
        <w:rPr>
          <w:rFonts w:ascii="宋体" w:hAnsi="宋体" w:eastAsia="宋体"/>
          <w:b w:val="0"/>
          <w:sz w:val="24"/>
        </w:rPr>
        <w:t>匈牙利集成：将价值评分取负（cost = −score×100），使最大化问题转化为标准的最小化指派问题，直接调用SciPy的linear_sum_assignment求解器。</w:t>
      </w:r>
    </w:p>
    <w:p>
      <w:r>
        <w:rPr>
          <w:rFonts w:ascii="黑体" w:hAnsi="黑体" w:eastAsia="黑体"/>
          <w:b/>
          <w:sz w:val="30"/>
        </w:rPr>
        <w:t>4.6 多智能体强化学习（reinforcement_agent.py）</w:t>
      </w:r>
    </w:p>
    <w:p>
      <w:pPr>
        <w:spacing w:line="300" w:lineRule="auto"/>
      </w:pPr>
      <w:r>
        <w:rPr>
          <w:rFonts w:ascii="宋体" w:hAnsi="宋体" w:eastAsia="宋体"/>
          <w:b w:val="0"/>
          <w:sz w:val="24"/>
        </w:rPr>
        <w:t>为每辆Truck配备独立的Q-Learning智能体，通过离散化状态空间和字典Q表实现轻量级在线学习，避免深度学习框架的复杂依赖。</w:t>
      </w:r>
    </w:p>
    <w:p>
      <w:pPr>
        <w:jc w:val="center"/>
      </w:pPr>
      <w:r>
        <w:rPr>
          <w:rFonts w:ascii="黑体" w:hAnsi="黑体" w:eastAsia="黑体"/>
          <w:b/>
          <w:sz w:val="21"/>
        </w:rPr>
        <w:t>表4. RL状态空间（总计90种离散状态）</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21"/>
              </w:rPr>
              <w:t>维度</w:t>
            </w:r>
          </w:p>
        </w:tc>
        <w:tc>
          <w:tcPr>
            <w:tcW w:type="dxa" w:w="2160"/>
          </w:tcPr>
          <w:p>
            <w:pPr>
              <w:jc w:val="center"/>
            </w:pPr>
            <w:r/>
            <w:r>
              <w:rPr>
                <w:rFonts w:ascii="黑体" w:hAnsi="黑体" w:eastAsia="黑体"/>
                <w:b/>
                <w:sz w:val="21"/>
              </w:rPr>
              <w:t>含义</w:t>
            </w:r>
          </w:p>
        </w:tc>
        <w:tc>
          <w:tcPr>
            <w:tcW w:type="dxa" w:w="2160"/>
          </w:tcPr>
          <w:p>
            <w:pPr>
              <w:jc w:val="center"/>
            </w:pPr>
            <w:r/>
            <w:r>
              <w:rPr>
                <w:rFonts w:ascii="黑体" w:hAnsi="黑体" w:eastAsia="黑体"/>
                <w:b/>
                <w:sz w:val="21"/>
              </w:rPr>
              <w:t>离散化方式</w:t>
            </w:r>
          </w:p>
        </w:tc>
        <w:tc>
          <w:tcPr>
            <w:tcW w:type="dxa" w:w="2160"/>
          </w:tcPr>
          <w:p>
            <w:pPr>
              <w:jc w:val="center"/>
            </w:pPr>
            <w:r/>
            <w:r>
              <w:rPr>
                <w:rFonts w:ascii="黑体" w:hAnsi="黑体" w:eastAsia="黑体"/>
                <w:b/>
                <w:sz w:val="21"/>
              </w:rPr>
              <w:t>档数</w:t>
            </w:r>
          </w:p>
        </w:tc>
      </w:tr>
      <w:tr>
        <w:tc>
          <w:tcPr>
            <w:tcW w:type="dxa" w:w="2160"/>
          </w:tcPr>
          <w:p>
            <w:pPr>
              <w:jc w:val="center"/>
            </w:pPr>
            <w:r/>
            <w:r>
              <w:rPr>
                <w:rFonts w:ascii="宋体" w:hAnsi="宋体" w:eastAsia="宋体"/>
                <w:b w:val="0"/>
                <w:sz w:val="21"/>
              </w:rPr>
              <w:t>has_task</w:t>
            </w:r>
          </w:p>
        </w:tc>
        <w:tc>
          <w:tcPr>
            <w:tcW w:type="dxa" w:w="2160"/>
          </w:tcPr>
          <w:p>
            <w:pPr>
              <w:jc w:val="center"/>
            </w:pPr>
            <w:r/>
            <w:r>
              <w:rPr>
                <w:rFonts w:ascii="宋体" w:hAnsi="宋体" w:eastAsia="宋体"/>
                <w:b w:val="0"/>
                <w:sz w:val="21"/>
              </w:rPr>
              <w:t>是否携带任务</w:t>
            </w:r>
          </w:p>
        </w:tc>
        <w:tc>
          <w:tcPr>
            <w:tcW w:type="dxa" w:w="2160"/>
          </w:tcPr>
          <w:p>
            <w:pPr>
              <w:jc w:val="center"/>
            </w:pPr>
            <w:r/>
            <w:r>
              <w:rPr>
                <w:rFonts w:ascii="宋体" w:hAnsi="宋体" w:eastAsia="宋体"/>
                <w:b w:val="0"/>
                <w:sz w:val="21"/>
              </w:rPr>
              <w:t>0或1</w:t>
            </w:r>
          </w:p>
        </w:tc>
        <w:tc>
          <w:tcPr>
            <w:tcW w:type="dxa" w:w="2160"/>
          </w:tcPr>
          <w:p>
            <w:pPr>
              <w:jc w:val="center"/>
            </w:pPr>
            <w:r/>
            <w:r>
              <w:rPr>
                <w:rFonts w:ascii="宋体" w:hAnsi="宋体" w:eastAsia="宋体"/>
                <w:b w:val="0"/>
                <w:sz w:val="21"/>
              </w:rPr>
              <w:t>2</w:t>
            </w:r>
          </w:p>
        </w:tc>
      </w:tr>
      <w:tr>
        <w:tc>
          <w:tcPr>
            <w:tcW w:type="dxa" w:w="2160"/>
          </w:tcPr>
          <w:p>
            <w:pPr>
              <w:jc w:val="center"/>
            </w:pPr>
            <w:r/>
            <w:r>
              <w:rPr>
                <w:rFonts w:ascii="宋体" w:hAnsi="宋体" w:eastAsia="宋体"/>
                <w:b w:val="0"/>
                <w:sz w:val="21"/>
              </w:rPr>
              <w:t>nearby_bin</w:t>
            </w:r>
          </w:p>
        </w:tc>
        <w:tc>
          <w:tcPr>
            <w:tcW w:type="dxa" w:w="2160"/>
          </w:tcPr>
          <w:p>
            <w:pPr>
              <w:jc w:val="center"/>
            </w:pPr>
            <w:r/>
            <w:r>
              <w:rPr>
                <w:rFonts w:ascii="宋体" w:hAnsi="宋体" w:eastAsia="宋体"/>
                <w:b w:val="0"/>
                <w:sz w:val="21"/>
              </w:rPr>
              <w:t>周围车辆密度</w:t>
            </w:r>
          </w:p>
        </w:tc>
        <w:tc>
          <w:tcPr>
            <w:tcW w:type="dxa" w:w="2160"/>
          </w:tcPr>
          <w:p>
            <w:pPr>
              <w:jc w:val="center"/>
            </w:pPr>
            <w:r/>
            <w:r>
              <w:rPr>
                <w:rFonts w:ascii="宋体" w:hAnsi="宋体" w:eastAsia="宋体"/>
                <w:b w:val="0"/>
                <w:sz w:val="21"/>
              </w:rPr>
              <w:t>每2辆车一档，0~2</w:t>
            </w:r>
          </w:p>
        </w:tc>
        <w:tc>
          <w:tcPr>
            <w:tcW w:type="dxa" w:w="2160"/>
          </w:tcPr>
          <w:p>
            <w:pPr>
              <w:jc w:val="center"/>
            </w:pPr>
            <w:r/>
            <w:r>
              <w:rPr>
                <w:rFonts w:ascii="宋体" w:hAnsi="宋体" w:eastAsia="宋体"/>
                <w:b w:val="0"/>
                <w:sz w:val="21"/>
              </w:rPr>
              <w:t>3</w:t>
            </w:r>
          </w:p>
        </w:tc>
      </w:tr>
      <w:tr>
        <w:tc>
          <w:tcPr>
            <w:tcW w:type="dxa" w:w="2160"/>
          </w:tcPr>
          <w:p>
            <w:pPr>
              <w:jc w:val="center"/>
            </w:pPr>
            <w:r/>
            <w:r>
              <w:rPr>
                <w:rFonts w:ascii="宋体" w:hAnsi="宋体" w:eastAsia="宋体"/>
                <w:b w:val="0"/>
                <w:sz w:val="21"/>
              </w:rPr>
              <w:t>dist_bin</w:t>
            </w:r>
          </w:p>
        </w:tc>
        <w:tc>
          <w:tcPr>
            <w:tcW w:type="dxa" w:w="2160"/>
          </w:tcPr>
          <w:p>
            <w:pPr>
              <w:jc w:val="center"/>
            </w:pPr>
            <w:r/>
            <w:r>
              <w:rPr>
                <w:rFonts w:ascii="宋体" w:hAnsi="宋体" w:eastAsia="宋体"/>
                <w:b w:val="0"/>
                <w:sz w:val="21"/>
              </w:rPr>
              <w:t>最近任务距离</w:t>
            </w:r>
          </w:p>
        </w:tc>
        <w:tc>
          <w:tcPr>
            <w:tcW w:type="dxa" w:w="2160"/>
          </w:tcPr>
          <w:p>
            <w:pPr>
              <w:jc w:val="center"/>
            </w:pPr>
            <w:r/>
            <w:r>
              <w:rPr>
                <w:rFonts w:ascii="宋体" w:hAnsi="宋体" w:eastAsia="宋体"/>
                <w:b w:val="0"/>
                <w:sz w:val="21"/>
              </w:rPr>
              <w:t>每60单位一档，0~4</w:t>
            </w:r>
          </w:p>
        </w:tc>
        <w:tc>
          <w:tcPr>
            <w:tcW w:type="dxa" w:w="2160"/>
          </w:tcPr>
          <w:p>
            <w:pPr>
              <w:jc w:val="center"/>
            </w:pPr>
            <w:r/>
            <w:r>
              <w:rPr>
                <w:rFonts w:ascii="宋体" w:hAnsi="宋体" w:eastAsia="宋体"/>
                <w:b w:val="0"/>
                <w:sz w:val="21"/>
              </w:rPr>
              <w:t>5</w:t>
            </w:r>
          </w:p>
        </w:tc>
      </w:tr>
      <w:tr>
        <w:tc>
          <w:tcPr>
            <w:tcW w:type="dxa" w:w="2160"/>
          </w:tcPr>
          <w:p>
            <w:pPr>
              <w:jc w:val="center"/>
            </w:pPr>
            <w:r/>
            <w:r>
              <w:rPr>
                <w:rFonts w:ascii="宋体" w:hAnsi="宋体" w:eastAsia="宋体"/>
                <w:b w:val="0"/>
                <w:sz w:val="21"/>
              </w:rPr>
              <w:t>qlen_bin</w:t>
            </w:r>
          </w:p>
        </w:tc>
        <w:tc>
          <w:tcPr>
            <w:tcW w:type="dxa" w:w="2160"/>
          </w:tcPr>
          <w:p>
            <w:pPr>
              <w:jc w:val="center"/>
            </w:pPr>
            <w:r/>
            <w:r>
              <w:rPr>
                <w:rFonts w:ascii="宋体" w:hAnsi="宋体" w:eastAsia="宋体"/>
                <w:b w:val="0"/>
                <w:sz w:val="21"/>
              </w:rPr>
              <w:t>任务队列长度</w:t>
            </w:r>
          </w:p>
        </w:tc>
        <w:tc>
          <w:tcPr>
            <w:tcW w:type="dxa" w:w="2160"/>
          </w:tcPr>
          <w:p>
            <w:pPr>
              <w:jc w:val="center"/>
            </w:pPr>
            <w:r/>
            <w:r>
              <w:rPr>
                <w:rFonts w:ascii="宋体" w:hAnsi="宋体" w:eastAsia="宋体"/>
                <w:b w:val="0"/>
                <w:sz w:val="21"/>
              </w:rPr>
              <w:t>每5个一档，0~2</w:t>
            </w:r>
          </w:p>
        </w:tc>
        <w:tc>
          <w:tcPr>
            <w:tcW w:type="dxa" w:w="2160"/>
          </w:tcPr>
          <w:p>
            <w:pPr>
              <w:jc w:val="center"/>
            </w:pPr>
            <w:r/>
            <w:r>
              <w:rPr>
                <w:rFonts w:ascii="宋体" w:hAnsi="宋体" w:eastAsia="宋体"/>
                <w:b w:val="0"/>
                <w:sz w:val="21"/>
              </w:rPr>
              <w:t>3</w:t>
            </w:r>
          </w:p>
        </w:tc>
      </w:tr>
    </w:tbl>
    <w:p/>
    <w:p>
      <w:pPr>
        <w:jc w:val="center"/>
      </w:pPr>
      <w:r>
        <w:rPr>
          <w:rFonts w:ascii="黑体" w:hAnsi="黑体" w:eastAsia="黑体"/>
          <w:b/>
          <w:sz w:val="21"/>
        </w:rPr>
        <w:t>表5. RL动作空间</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1"/>
              </w:rPr>
              <w:t>ID</w:t>
            </w:r>
          </w:p>
        </w:tc>
        <w:tc>
          <w:tcPr>
            <w:tcW w:type="dxa" w:w="2880"/>
          </w:tcPr>
          <w:p>
            <w:pPr>
              <w:jc w:val="center"/>
            </w:pPr>
            <w:r/>
            <w:r>
              <w:rPr>
                <w:rFonts w:ascii="黑体" w:hAnsi="黑体" w:eastAsia="黑体"/>
                <w:b/>
                <w:sz w:val="21"/>
              </w:rPr>
              <w:t>动作</w:t>
            </w:r>
          </w:p>
        </w:tc>
        <w:tc>
          <w:tcPr>
            <w:tcW w:type="dxa" w:w="2880"/>
          </w:tcPr>
          <w:p>
            <w:pPr>
              <w:jc w:val="center"/>
            </w:pPr>
            <w:r/>
            <w:r>
              <w:rPr>
                <w:rFonts w:ascii="黑体" w:hAnsi="黑体" w:eastAsia="黑体"/>
                <w:b/>
                <w:sz w:val="21"/>
              </w:rPr>
              <w:t>描述</w:t>
            </w:r>
          </w:p>
        </w:tc>
      </w:tr>
      <w:tr>
        <w:tc>
          <w:tcPr>
            <w:tcW w:type="dxa" w:w="2880"/>
          </w:tcPr>
          <w:p>
            <w:pPr>
              <w:jc w:val="center"/>
            </w:pPr>
            <w:r/>
            <w:r>
              <w:rPr>
                <w:rFonts w:ascii="宋体" w:hAnsi="宋体" w:eastAsia="宋体"/>
                <w:b w:val="0"/>
                <w:sz w:val="21"/>
              </w:rPr>
              <w:t>0</w:t>
            </w:r>
          </w:p>
        </w:tc>
        <w:tc>
          <w:tcPr>
            <w:tcW w:type="dxa" w:w="2880"/>
          </w:tcPr>
          <w:p>
            <w:pPr>
              <w:jc w:val="center"/>
            </w:pPr>
            <w:r/>
            <w:r>
              <w:rPr>
                <w:rFonts w:ascii="宋体" w:hAnsi="宋体" w:eastAsia="宋体"/>
                <w:b w:val="0"/>
                <w:sz w:val="21"/>
              </w:rPr>
              <w:t>accept_nearest</w:t>
            </w:r>
          </w:p>
        </w:tc>
        <w:tc>
          <w:tcPr>
            <w:tcW w:type="dxa" w:w="2880"/>
          </w:tcPr>
          <w:p>
            <w:pPr>
              <w:jc w:val="center"/>
            </w:pPr>
            <w:r/>
            <w:r>
              <w:rPr>
                <w:rFonts w:ascii="宋体" w:hAnsi="宋体" w:eastAsia="宋体"/>
                <w:b w:val="0"/>
                <w:sz w:val="21"/>
              </w:rPr>
              <w:t>接受距离最近的任务</w:t>
            </w:r>
          </w:p>
        </w:tc>
      </w:tr>
      <w:tr>
        <w:tc>
          <w:tcPr>
            <w:tcW w:type="dxa" w:w="2880"/>
          </w:tcPr>
          <w:p>
            <w:pPr>
              <w:jc w:val="center"/>
            </w:pPr>
            <w:r/>
            <w:r>
              <w:rPr>
                <w:rFonts w:ascii="宋体" w:hAnsi="宋体" w:eastAsia="宋体"/>
                <w:b w:val="0"/>
                <w:sz w:val="21"/>
              </w:rPr>
              <w:t>1</w:t>
            </w:r>
          </w:p>
        </w:tc>
        <w:tc>
          <w:tcPr>
            <w:tcW w:type="dxa" w:w="2880"/>
          </w:tcPr>
          <w:p>
            <w:pPr>
              <w:jc w:val="center"/>
            </w:pPr>
            <w:r/>
            <w:r>
              <w:rPr>
                <w:rFonts w:ascii="宋体" w:hAnsi="宋体" w:eastAsia="宋体"/>
                <w:b w:val="0"/>
                <w:sz w:val="21"/>
              </w:rPr>
              <w:t>accept_highest</w:t>
            </w:r>
          </w:p>
        </w:tc>
        <w:tc>
          <w:tcPr>
            <w:tcW w:type="dxa" w:w="2880"/>
          </w:tcPr>
          <w:p>
            <w:pPr>
              <w:jc w:val="center"/>
            </w:pPr>
            <w:r/>
            <w:r>
              <w:rPr>
                <w:rFonts w:ascii="宋体" w:hAnsi="宋体" w:eastAsia="宋体"/>
                <w:b w:val="0"/>
                <w:sz w:val="21"/>
              </w:rPr>
              <w:t>接受优先级最高的任务</w:t>
            </w:r>
          </w:p>
        </w:tc>
      </w:tr>
      <w:tr>
        <w:tc>
          <w:tcPr>
            <w:tcW w:type="dxa" w:w="2880"/>
          </w:tcPr>
          <w:p>
            <w:pPr>
              <w:jc w:val="center"/>
            </w:pPr>
            <w:r/>
            <w:r>
              <w:rPr>
                <w:rFonts w:ascii="宋体" w:hAnsi="宋体" w:eastAsia="宋体"/>
                <w:b w:val="0"/>
                <w:sz w:val="21"/>
              </w:rPr>
              <w:t>2</w:t>
            </w:r>
          </w:p>
        </w:tc>
        <w:tc>
          <w:tcPr>
            <w:tcW w:type="dxa" w:w="2880"/>
          </w:tcPr>
          <w:p>
            <w:pPr>
              <w:jc w:val="center"/>
            </w:pPr>
            <w:r/>
            <w:r>
              <w:rPr>
                <w:rFonts w:ascii="宋体" w:hAnsi="宋体" w:eastAsia="宋体"/>
                <w:b w:val="0"/>
                <w:sz w:val="21"/>
              </w:rPr>
              <w:t>wait_idle</w:t>
            </w:r>
          </w:p>
        </w:tc>
        <w:tc>
          <w:tcPr>
            <w:tcW w:type="dxa" w:w="2880"/>
          </w:tcPr>
          <w:p>
            <w:pPr>
              <w:jc w:val="center"/>
            </w:pPr>
            <w:r/>
            <w:r>
              <w:rPr>
                <w:rFonts w:ascii="宋体" w:hAnsi="宋体" w:eastAsia="宋体"/>
                <w:b w:val="0"/>
                <w:sz w:val="21"/>
              </w:rPr>
              <w:t>原地等待</w:t>
            </w:r>
          </w:p>
        </w:tc>
      </w:tr>
      <w:tr>
        <w:tc>
          <w:tcPr>
            <w:tcW w:type="dxa" w:w="2880"/>
          </w:tcPr>
          <w:p>
            <w:pPr>
              <w:jc w:val="center"/>
            </w:pPr>
            <w:r/>
            <w:r>
              <w:rPr>
                <w:rFonts w:ascii="宋体" w:hAnsi="宋体" w:eastAsia="宋体"/>
                <w:b w:val="0"/>
                <w:sz w:val="21"/>
              </w:rPr>
              <w:t>3</w:t>
            </w:r>
          </w:p>
        </w:tc>
        <w:tc>
          <w:tcPr>
            <w:tcW w:type="dxa" w:w="2880"/>
          </w:tcPr>
          <w:p>
            <w:pPr>
              <w:jc w:val="center"/>
            </w:pPr>
            <w:r/>
            <w:r>
              <w:rPr>
                <w:rFonts w:ascii="宋体" w:hAnsi="宋体" w:eastAsia="宋体"/>
                <w:b w:val="0"/>
                <w:sz w:val="21"/>
              </w:rPr>
              <w:t>relocate_center</w:t>
            </w:r>
          </w:p>
        </w:tc>
        <w:tc>
          <w:tcPr>
            <w:tcW w:type="dxa" w:w="2880"/>
          </w:tcPr>
          <w:p>
            <w:pPr>
              <w:jc w:val="center"/>
            </w:pPr>
            <w:r/>
            <w:r>
              <w:rPr>
                <w:rFonts w:ascii="宋体" w:hAnsi="宋体" w:eastAsia="宋体"/>
                <w:b w:val="0"/>
                <w:sz w:val="21"/>
              </w:rPr>
              <w:t>前往港区中心区域待命</w:t>
            </w:r>
          </w:p>
        </w:tc>
      </w:tr>
    </w:tbl>
    <w:p/>
    <w:p>
      <w:pPr>
        <w:spacing w:line="300" w:lineRule="auto"/>
      </w:pPr>
      <w:r>
        <w:rPr>
          <w:rFonts w:ascii="宋体" w:hAnsi="宋体" w:eastAsia="宋体"/>
          <w:b w:val="0"/>
          <w:sz w:val="24"/>
        </w:rPr>
        <w:t>Q-Learning更新使用标准TD公式：Q(s,a) ← Q(s,a) + α×[r + γ×maxQ(s',a') − Q(s,a)]，其中学习率α=0.1，折扣因子γ=0.9。奖励函数设计为多目标加权：完成任务+10、碰撞风险-5、空闲每步-0.05×duration、无任务移动-0.5。</w:t>
      </w:r>
    </w:p>
    <w:p>
      <w:pPr>
        <w:spacing w:line="300" w:lineRule="auto"/>
      </w:pPr>
      <w:r>
        <w:rPr>
          <w:rFonts w:ascii="宋体" w:hAnsi="宋体" w:eastAsia="宋体"/>
          <w:b w:val="0"/>
          <w:sz w:val="24"/>
        </w:rPr>
        <w:t>多车冲突消解由MultiAgentCoordinator处理：当两车选择同一任务时，比较各自对该动作的Q值（反映了历史学习中的"胜任度"），高Q值车获得任务，低Q值车隐式收到惩罚并重新选择。冲突计数器记录消解次数，作为协调效果的评估指标。</w:t>
      </w:r>
    </w:p>
    <w:p>
      <w:pPr>
        <w:spacing w:line="300" w:lineRule="auto"/>
      </w:pPr>
      <w:r>
        <w:rPr>
          <w:rFonts w:ascii="宋体" w:hAnsi="宋体" w:eastAsia="宋体"/>
          <w:b w:val="0"/>
          <w:sz w:val="24"/>
        </w:rPr>
        <w:t>探索策略采用epsilon-greedy，ε从0.3开始以0.995的速率衰减至最低0.05。RL Agent作为可选增强层运行——当前仿真中匈牙利算法作为baseline始终运行，RL Agent通过额外的决策通道为未来完全自主调度奠定基础。</w:t>
      </w:r>
    </w:p>
    <w:p>
      <w:r>
        <w:rPr>
          <w:rFonts w:ascii="黑体" w:hAnsi="黑体" w:eastAsia="黑体"/>
          <w:b/>
          <w:sz w:val="30"/>
        </w:rPr>
        <w:t>4.7 仿真主控制器（simulation.py）</w:t>
      </w:r>
    </w:p>
    <w:p>
      <w:pPr>
        <w:spacing w:line="300" w:lineRule="auto"/>
      </w:pPr>
      <w:r>
        <w:rPr>
          <w:rFonts w:ascii="宋体" w:hAnsi="宋体" w:eastAsia="宋体"/>
          <w:b w:val="0"/>
          <w:sz w:val="24"/>
        </w:rPr>
        <w:t>PortSimApp是系统的核心调度器，完成所有模块的协调和数据传递。其主循环流程如下：</w:t>
      </w:r>
    </w:p>
    <w:p>
      <w:pPr>
        <w:jc w:val="center"/>
      </w:pPr>
      <w:r>
        <w:rPr>
          <w:rFonts w:ascii="黑体" w:hAnsi="黑体" w:eastAsia="黑体"/>
          <w:b/>
          <w:sz w:val="21"/>
        </w:rPr>
        <w:t>表6. 仿真关键参数配置</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1"/>
              </w:rPr>
              <w:t>参数</w:t>
            </w:r>
          </w:p>
        </w:tc>
        <w:tc>
          <w:tcPr>
            <w:tcW w:type="dxa" w:w="2880"/>
          </w:tcPr>
          <w:p>
            <w:pPr>
              <w:jc w:val="center"/>
            </w:pPr>
            <w:r/>
            <w:r>
              <w:rPr>
                <w:rFonts w:ascii="黑体" w:hAnsi="黑体" w:eastAsia="黑体"/>
                <w:b/>
                <w:sz w:val="21"/>
              </w:rPr>
              <w:t>默认值</w:t>
            </w:r>
          </w:p>
        </w:tc>
        <w:tc>
          <w:tcPr>
            <w:tcW w:type="dxa" w:w="2880"/>
          </w:tcPr>
          <w:p>
            <w:pPr>
              <w:jc w:val="center"/>
            </w:pPr>
            <w:r/>
            <w:r>
              <w:rPr>
                <w:rFonts w:ascii="黑体" w:hAnsi="黑体" w:eastAsia="黑体"/>
                <w:b/>
                <w:sz w:val="21"/>
              </w:rPr>
              <w:t>说明</w:t>
            </w:r>
          </w:p>
        </w:tc>
      </w:tr>
      <w:tr>
        <w:tc>
          <w:tcPr>
            <w:tcW w:type="dxa" w:w="2880"/>
          </w:tcPr>
          <w:p>
            <w:pPr>
              <w:jc w:val="center"/>
            </w:pPr>
            <w:r/>
            <w:r>
              <w:rPr>
                <w:rFonts w:ascii="宋体" w:hAnsi="宋体" w:eastAsia="宋体"/>
                <w:b w:val="0"/>
                <w:sz w:val="21"/>
              </w:rPr>
              <w:t>dispatch_interval</w:t>
            </w:r>
          </w:p>
        </w:tc>
        <w:tc>
          <w:tcPr>
            <w:tcW w:type="dxa" w:w="2880"/>
          </w:tcPr>
          <w:p>
            <w:pPr>
              <w:jc w:val="center"/>
            </w:pPr>
            <w:r/>
            <w:r>
              <w:rPr>
                <w:rFonts w:ascii="宋体" w:hAnsi="宋体" w:eastAsia="宋体"/>
                <w:b w:val="0"/>
                <w:sz w:val="21"/>
              </w:rPr>
              <w:t>3步</w:t>
            </w:r>
          </w:p>
        </w:tc>
        <w:tc>
          <w:tcPr>
            <w:tcW w:type="dxa" w:w="2880"/>
          </w:tcPr>
          <w:p>
            <w:pPr>
              <w:jc w:val="center"/>
            </w:pPr>
            <w:r/>
            <w:r>
              <w:rPr>
                <w:rFonts w:ascii="宋体" w:hAnsi="宋体" w:eastAsia="宋体"/>
                <w:b w:val="0"/>
                <w:sz w:val="21"/>
              </w:rPr>
              <w:t>匈牙利任务分配的执行间隔</w:t>
            </w:r>
          </w:p>
        </w:tc>
      </w:tr>
      <w:tr>
        <w:tc>
          <w:tcPr>
            <w:tcW w:type="dxa" w:w="2880"/>
          </w:tcPr>
          <w:p>
            <w:pPr>
              <w:jc w:val="center"/>
            </w:pPr>
            <w:r/>
            <w:r>
              <w:rPr>
                <w:rFonts w:ascii="宋体" w:hAnsi="宋体" w:eastAsia="宋体"/>
                <w:b w:val="0"/>
                <w:sz w:val="21"/>
              </w:rPr>
              <w:t>auto_task_interval</w:t>
            </w:r>
          </w:p>
        </w:tc>
        <w:tc>
          <w:tcPr>
            <w:tcW w:type="dxa" w:w="2880"/>
          </w:tcPr>
          <w:p>
            <w:pPr>
              <w:jc w:val="center"/>
            </w:pPr>
            <w:r/>
            <w:r>
              <w:rPr>
                <w:rFonts w:ascii="宋体" w:hAnsi="宋体" w:eastAsia="宋体"/>
                <w:b w:val="0"/>
                <w:sz w:val="21"/>
              </w:rPr>
              <w:t>15步</w:t>
            </w:r>
          </w:p>
        </w:tc>
        <w:tc>
          <w:tcPr>
            <w:tcW w:type="dxa" w:w="2880"/>
          </w:tcPr>
          <w:p>
            <w:pPr>
              <w:jc w:val="center"/>
            </w:pPr>
            <w:r/>
            <w:r>
              <w:rPr>
                <w:rFonts w:ascii="宋体" w:hAnsi="宋体" w:eastAsia="宋体"/>
                <w:b w:val="0"/>
                <w:sz w:val="21"/>
              </w:rPr>
              <w:t>自动生成新任务的间隔</w:t>
            </w:r>
          </w:p>
        </w:tc>
      </w:tr>
      <w:tr>
        <w:tc>
          <w:tcPr>
            <w:tcW w:type="dxa" w:w="2880"/>
          </w:tcPr>
          <w:p>
            <w:pPr>
              <w:jc w:val="center"/>
            </w:pPr>
            <w:r/>
            <w:r>
              <w:rPr>
                <w:rFonts w:ascii="宋体" w:hAnsi="宋体" w:eastAsia="宋体"/>
                <w:b w:val="0"/>
                <w:sz w:val="21"/>
              </w:rPr>
              <w:t>truck.speed</w:t>
            </w:r>
          </w:p>
        </w:tc>
        <w:tc>
          <w:tcPr>
            <w:tcW w:type="dxa" w:w="2880"/>
          </w:tcPr>
          <w:p>
            <w:pPr>
              <w:jc w:val="center"/>
            </w:pPr>
            <w:r/>
            <w:r>
              <w:rPr>
                <w:rFonts w:ascii="宋体" w:hAnsi="宋体" w:eastAsia="宋体"/>
                <w:b w:val="0"/>
                <w:sz w:val="21"/>
              </w:rPr>
              <w:t>3单位/步</w:t>
            </w:r>
          </w:p>
        </w:tc>
        <w:tc>
          <w:tcPr>
            <w:tcW w:type="dxa" w:w="2880"/>
          </w:tcPr>
          <w:p>
            <w:pPr>
              <w:jc w:val="center"/>
            </w:pPr>
            <w:r/>
            <w:r>
              <w:rPr>
                <w:rFonts w:ascii="宋体" w:hAnsi="宋体" w:eastAsia="宋体"/>
                <w:b w:val="0"/>
                <w:sz w:val="21"/>
              </w:rPr>
              <w:t>车辆每步移动距离</w:t>
            </w:r>
          </w:p>
        </w:tc>
      </w:tr>
      <w:tr>
        <w:tc>
          <w:tcPr>
            <w:tcW w:type="dxa" w:w="2880"/>
          </w:tcPr>
          <w:p>
            <w:pPr>
              <w:jc w:val="center"/>
            </w:pPr>
            <w:r/>
            <w:r>
              <w:rPr>
                <w:rFonts w:ascii="宋体" w:hAnsi="宋体" w:eastAsia="宋体"/>
                <w:b w:val="0"/>
                <w:sz w:val="21"/>
              </w:rPr>
              <w:t>max_tasks</w:t>
            </w:r>
          </w:p>
        </w:tc>
        <w:tc>
          <w:tcPr>
            <w:tcW w:type="dxa" w:w="2880"/>
          </w:tcPr>
          <w:p>
            <w:pPr>
              <w:jc w:val="center"/>
            </w:pPr>
            <w:r/>
            <w:r>
              <w:rPr>
                <w:rFonts w:ascii="宋体" w:hAnsi="宋体" w:eastAsia="宋体"/>
                <w:b w:val="0"/>
                <w:sz w:val="21"/>
              </w:rPr>
              <w:t>20</w:t>
            </w:r>
          </w:p>
        </w:tc>
        <w:tc>
          <w:tcPr>
            <w:tcW w:type="dxa" w:w="2880"/>
          </w:tcPr>
          <w:p>
            <w:pPr>
              <w:jc w:val="center"/>
            </w:pPr>
            <w:r/>
            <w:r>
              <w:rPr>
                <w:rFonts w:ascii="宋体" w:hAnsi="宋体" w:eastAsia="宋体"/>
                <w:b w:val="0"/>
                <w:sz w:val="21"/>
              </w:rPr>
              <w:t>任务队列容量上限</w:t>
            </w:r>
          </w:p>
        </w:tc>
      </w:tr>
      <w:tr>
        <w:tc>
          <w:tcPr>
            <w:tcW w:type="dxa" w:w="2880"/>
          </w:tcPr>
          <w:p>
            <w:pPr>
              <w:jc w:val="center"/>
            </w:pPr>
            <w:r/>
            <w:r>
              <w:rPr>
                <w:rFonts w:ascii="宋体" w:hAnsi="宋体" w:eastAsia="宋体"/>
                <w:b w:val="0"/>
                <w:sz w:val="21"/>
              </w:rPr>
              <w:t>collision_radius</w:t>
            </w:r>
          </w:p>
        </w:tc>
        <w:tc>
          <w:tcPr>
            <w:tcW w:type="dxa" w:w="2880"/>
          </w:tcPr>
          <w:p>
            <w:pPr>
              <w:jc w:val="center"/>
            </w:pPr>
            <w:r/>
            <w:r>
              <w:rPr>
                <w:rFonts w:ascii="宋体" w:hAnsi="宋体" w:eastAsia="宋体"/>
                <w:b w:val="0"/>
                <w:sz w:val="21"/>
              </w:rPr>
              <w:t>4.0</w:t>
            </w:r>
          </w:p>
        </w:tc>
        <w:tc>
          <w:tcPr>
            <w:tcW w:type="dxa" w:w="2880"/>
          </w:tcPr>
          <w:p>
            <w:pPr>
              <w:jc w:val="center"/>
            </w:pPr>
            <w:r/>
            <w:r>
              <w:rPr>
                <w:rFonts w:ascii="宋体" w:hAnsi="宋体" w:eastAsia="宋体"/>
                <w:b w:val="0"/>
                <w:sz w:val="21"/>
              </w:rPr>
              <w:t>碰撞检测的感应半径</w:t>
            </w:r>
          </w:p>
        </w:tc>
      </w:tr>
      <w:tr>
        <w:tc>
          <w:tcPr>
            <w:tcW w:type="dxa" w:w="2880"/>
          </w:tcPr>
          <w:p>
            <w:pPr>
              <w:jc w:val="center"/>
            </w:pPr>
            <w:r/>
            <w:r>
              <w:rPr>
                <w:rFonts w:ascii="宋体" w:hAnsi="宋体" w:eastAsia="宋体"/>
                <w:b w:val="0"/>
                <w:sz w:val="21"/>
              </w:rPr>
              <w:t>replan_cooldown</w:t>
            </w:r>
          </w:p>
        </w:tc>
        <w:tc>
          <w:tcPr>
            <w:tcW w:type="dxa" w:w="2880"/>
          </w:tcPr>
          <w:p>
            <w:pPr>
              <w:jc w:val="center"/>
            </w:pPr>
            <w:r/>
            <w:r>
              <w:rPr>
                <w:rFonts w:ascii="宋体" w:hAnsi="宋体" w:eastAsia="宋体"/>
                <w:b w:val="0"/>
                <w:sz w:val="21"/>
              </w:rPr>
              <w:t>5步</w:t>
            </w:r>
          </w:p>
        </w:tc>
        <w:tc>
          <w:tcPr>
            <w:tcW w:type="dxa" w:w="2880"/>
          </w:tcPr>
          <w:p>
            <w:pPr>
              <w:jc w:val="center"/>
            </w:pPr>
            <w:r/>
            <w:r>
              <w:rPr>
                <w:rFonts w:ascii="宋体" w:hAnsi="宋体" w:eastAsia="宋体"/>
                <w:b w:val="0"/>
                <w:sz w:val="21"/>
              </w:rPr>
              <w:t>路径重规划冷却时间</w:t>
            </w:r>
          </w:p>
        </w:tc>
      </w:tr>
      <w:tr>
        <w:tc>
          <w:tcPr>
            <w:tcW w:type="dxa" w:w="2880"/>
          </w:tcPr>
          <w:p>
            <w:pPr>
              <w:jc w:val="center"/>
            </w:pPr>
            <w:r/>
            <w:r>
              <w:rPr>
                <w:rFonts w:ascii="宋体" w:hAnsi="宋体" w:eastAsia="宋体"/>
                <w:b w:val="0"/>
                <w:sz w:val="21"/>
              </w:rPr>
              <w:t>congestion_weight</w:t>
            </w:r>
          </w:p>
        </w:tc>
        <w:tc>
          <w:tcPr>
            <w:tcW w:type="dxa" w:w="2880"/>
          </w:tcPr>
          <w:p>
            <w:pPr>
              <w:jc w:val="center"/>
            </w:pPr>
            <w:r/>
            <w:r>
              <w:rPr>
                <w:rFonts w:ascii="宋体" w:hAnsi="宋体" w:eastAsia="宋体"/>
                <w:b w:val="0"/>
                <w:sz w:val="21"/>
              </w:rPr>
              <w:t>15.0</w:t>
            </w:r>
          </w:p>
        </w:tc>
        <w:tc>
          <w:tcPr>
            <w:tcW w:type="dxa" w:w="2880"/>
          </w:tcPr>
          <w:p>
            <w:pPr>
              <w:jc w:val="center"/>
            </w:pPr>
            <w:r/>
            <w:r>
              <w:rPr>
                <w:rFonts w:ascii="宋体" w:hAnsi="宋体" w:eastAsia="宋体"/>
                <w:b w:val="0"/>
                <w:sz w:val="21"/>
              </w:rPr>
              <w:t>A*中趋势拥堵惩罚的权重系数</w:t>
            </w:r>
          </w:p>
        </w:tc>
      </w:tr>
    </w:tbl>
    <w:p/>
    <w:p>
      <w:pPr>
        <w:spacing w:line="300" w:lineRule="auto"/>
      </w:pPr>
      <w:r>
        <w:rPr>
          <w:rFonts w:ascii="宋体" w:hAnsi="宋体" w:eastAsia="宋体"/>
          <w:b w:val="0"/>
          <w:sz w:val="24"/>
        </w:rPr>
        <w:t>每步仿真执行以下流程：（1）拥堵预测器记录当前所有车辆位置，更新热力图；（2）自动任务生成（每15步随机生成1~2个新任务）；（3）每dispatch_interval步执行匈牙利分配——枚举空闲卡车与待处理任务的匹配对，ML模式下调用predict_score构建代价矩阵，调用linear_sum_assignment求解最优匹配，为每对匹配规划A*路径；（4）车辆沿target_path移动，碰撞检测与动态重规划，状态切换（IDLE→PICKING→DELIVERING→IDLE）；（5）任务完成时记录结果并反馈给ML模型进行在线学习；（6）每50步采集一次性能指标。</w:t>
      </w:r>
    </w:p>
    <w:p>
      <w:r>
        <w:rPr>
          <w:rFonts w:ascii="黑体" w:hAnsi="黑体" w:eastAsia="黑体"/>
          <w:b/>
          <w:sz w:val="30"/>
        </w:rPr>
        <w:t>4.8 Web可视化平台</w:t>
      </w:r>
    </w:p>
    <w:p>
      <w:pPr>
        <w:spacing w:line="300" w:lineRule="auto"/>
      </w:pPr>
      <w:r>
        <w:rPr>
          <w:rFonts w:ascii="宋体" w:hAnsi="宋体" w:eastAsia="宋体"/>
          <w:b w:val="0"/>
          <w:sz w:val="24"/>
        </w:rPr>
        <w:t>后端（web_server.py）采用Flask框架提供RESTful API，共6个端点：/api/state（获取完整仿真状态JSON）、/api/step（执行N步仿真）、/api/auto（启动/停止自动运行）、/api/reset（重置）、/api/tasks/add（手动添加任务）、/api/config（读写ML/拥堵开关和速度）。使用threading.Lock保护仿真状态的线程安全。</w:t>
      </w:r>
    </w:p>
    <w:p>
      <w:pPr>
        <w:spacing w:line="300" w:lineRule="auto"/>
      </w:pPr>
      <w:r>
        <w:rPr>
          <w:rFonts w:ascii="宋体" w:hAnsi="宋体" w:eastAsia="宋体"/>
          <w:b w:val="0"/>
          <w:sz w:val="24"/>
        </w:rPr>
        <w:t>前端（index.html + dashboard.js）使用HTML5 Canvas + 原生JavaScript，无任何第三方框架依赖。渲染层次从背景到前景依次为：海洋区域→泊位标签→拥堵热力图（半透明红色矩形）→道路网络（白色粗线+黑色细线双层渲染）→路网节点→堆场块→待处理任务（蓝色空心圆，半径与紧急度成正比）→卡车（彩色方块+状态指示灯：绿=空闲/黄=取箱中/红=运输中）。</w:t>
      </w:r>
    </w:p>
    <w:p>
      <w:pPr>
        <w:spacing w:line="300" w:lineRule="auto"/>
      </w:pPr>
      <w:r>
        <w:rPr>
          <w:rFonts w:ascii="宋体" w:hAnsi="宋体" w:eastAsia="宋体"/>
          <w:b w:val="0"/>
          <w:sz w:val="24"/>
        </w:rPr>
        <w:t>交互功能包括：鼠标拖拽平移视口、滚轮0.5×~5×缩放、ML/Congestion模块一键开关、速度滑块调节、实时统计面板（完成数、等待时间、利用率）。</w:t>
      </w:r>
    </w:p>
    <w:p>
      <w:r>
        <w:rPr>
          <w:rFonts w:ascii="黑体" w:hAnsi="黑体" w:eastAsia="黑体"/>
          <w:b/>
          <w:sz w:val="36"/>
        </w:rPr>
        <w:t>五、实验</w:t>
      </w:r>
    </w:p>
    <w:p>
      <w:r>
        <w:rPr>
          <w:rFonts w:ascii="黑体" w:hAnsi="黑体" w:eastAsia="黑体"/>
          <w:b/>
          <w:sz w:val="30"/>
        </w:rPr>
        <w:t>5.1 实验数据</w:t>
      </w:r>
    </w:p>
    <w:p>
      <w:pPr>
        <w:spacing w:line="300" w:lineRule="auto"/>
      </w:pPr>
      <w:r>
        <w:rPr>
          <w:rFonts w:ascii="宋体" w:hAnsi="宋体" w:eastAsia="宋体"/>
          <w:b w:val="0"/>
          <w:sz w:val="24"/>
        </w:rPr>
        <w:t>本实验使用随机生成的港口仿真环境，不依赖外部数据集。实验采用三种规模配置进行测试：</w:t>
      </w:r>
    </w:p>
    <w:p>
      <w:pPr>
        <w:jc w:val="center"/>
      </w:pPr>
      <w:r>
        <w:rPr>
          <w:rFonts w:ascii="黑体" w:hAnsi="黑体" w:eastAsia="黑体"/>
          <w:b/>
          <w:sz w:val="21"/>
        </w:rPr>
        <w:t>表7. 实验场景配置</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黑体" w:hAnsi="黑体" w:eastAsia="黑体"/>
                <w:b/>
                <w:sz w:val="21"/>
              </w:rPr>
              <w:t>场景</w:t>
            </w:r>
          </w:p>
        </w:tc>
        <w:tc>
          <w:tcPr>
            <w:tcW w:type="dxa" w:w="1440"/>
          </w:tcPr>
          <w:p>
            <w:pPr>
              <w:jc w:val="center"/>
            </w:pPr>
            <w:r/>
            <w:r>
              <w:rPr>
                <w:rFonts w:ascii="黑体" w:hAnsi="黑体" w:eastAsia="黑体"/>
                <w:b/>
                <w:sz w:val="21"/>
              </w:rPr>
              <w:t>卡车数</w:t>
            </w:r>
          </w:p>
        </w:tc>
        <w:tc>
          <w:tcPr>
            <w:tcW w:type="dxa" w:w="1440"/>
          </w:tcPr>
          <w:p>
            <w:pPr>
              <w:jc w:val="center"/>
            </w:pPr>
            <w:r/>
            <w:r>
              <w:rPr>
                <w:rFonts w:ascii="黑体" w:hAnsi="黑体" w:eastAsia="黑体"/>
                <w:b/>
                <w:sz w:val="21"/>
              </w:rPr>
              <w:t>港口规模</w:t>
            </w:r>
          </w:p>
        </w:tc>
        <w:tc>
          <w:tcPr>
            <w:tcW w:type="dxa" w:w="1440"/>
          </w:tcPr>
          <w:p>
            <w:pPr>
              <w:jc w:val="center"/>
            </w:pPr>
            <w:r/>
            <w:r>
              <w:rPr>
                <w:rFonts w:ascii="黑体" w:hAnsi="黑体" w:eastAsia="黑体"/>
                <w:b/>
                <w:sz w:val="21"/>
              </w:rPr>
              <w:t>节点数</w:t>
            </w:r>
          </w:p>
        </w:tc>
        <w:tc>
          <w:tcPr>
            <w:tcW w:type="dxa" w:w="1440"/>
          </w:tcPr>
          <w:p>
            <w:pPr>
              <w:jc w:val="center"/>
            </w:pPr>
            <w:r/>
            <w:r>
              <w:rPr>
                <w:rFonts w:ascii="黑体" w:hAnsi="黑体" w:eastAsia="黑体"/>
                <w:b/>
                <w:sz w:val="21"/>
              </w:rPr>
              <w:t>边数</w:t>
            </w:r>
          </w:p>
        </w:tc>
        <w:tc>
          <w:tcPr>
            <w:tcW w:type="dxa" w:w="1440"/>
          </w:tcPr>
          <w:p>
            <w:pPr>
              <w:jc w:val="center"/>
            </w:pPr>
            <w:r/>
            <w:r>
              <w:rPr>
                <w:rFonts w:ascii="黑体" w:hAnsi="黑体" w:eastAsia="黑体"/>
                <w:b/>
                <w:sz w:val="21"/>
              </w:rPr>
              <w:t>初始任务</w:t>
            </w:r>
          </w:p>
        </w:tc>
      </w:tr>
      <w:tr>
        <w:tc>
          <w:tcPr>
            <w:tcW w:type="dxa" w:w="1440"/>
          </w:tcPr>
          <w:p>
            <w:pPr>
              <w:jc w:val="center"/>
            </w:pPr>
            <w:r/>
            <w:r>
              <w:rPr>
                <w:rFonts w:ascii="宋体" w:hAnsi="宋体" w:eastAsia="宋体"/>
                <w:b w:val="0"/>
                <w:sz w:val="21"/>
              </w:rPr>
              <w:t>小型</w:t>
            </w:r>
          </w:p>
        </w:tc>
        <w:tc>
          <w:tcPr>
            <w:tcW w:type="dxa" w:w="1440"/>
          </w:tcPr>
          <w:p>
            <w:pPr>
              <w:jc w:val="center"/>
            </w:pPr>
            <w:r/>
            <w:r>
              <w:rPr>
                <w:rFonts w:ascii="宋体" w:hAnsi="宋体" w:eastAsia="宋体"/>
                <w:b w:val="0"/>
                <w:sz w:val="21"/>
              </w:rPr>
              <w:t>4</w:t>
            </w:r>
          </w:p>
        </w:tc>
        <w:tc>
          <w:tcPr>
            <w:tcW w:type="dxa" w:w="1440"/>
          </w:tcPr>
          <w:p>
            <w:pPr>
              <w:jc w:val="center"/>
            </w:pPr>
            <w:r/>
            <w:r>
              <w:rPr>
                <w:rFonts w:ascii="宋体" w:hAnsi="宋体" w:eastAsia="宋体"/>
                <w:b w:val="0"/>
                <w:sz w:val="21"/>
              </w:rPr>
              <w:t>8×3</w:t>
            </w:r>
          </w:p>
        </w:tc>
        <w:tc>
          <w:tcPr>
            <w:tcW w:type="dxa" w:w="1440"/>
          </w:tcPr>
          <w:p>
            <w:pPr>
              <w:jc w:val="center"/>
            </w:pPr>
            <w:r/>
            <w:r>
              <w:rPr>
                <w:rFonts w:ascii="宋体" w:hAnsi="宋体" w:eastAsia="宋体"/>
                <w:b w:val="0"/>
                <w:sz w:val="21"/>
              </w:rPr>
              <w:t>74</w:t>
            </w:r>
          </w:p>
        </w:tc>
        <w:tc>
          <w:tcPr>
            <w:tcW w:type="dxa" w:w="1440"/>
          </w:tcPr>
          <w:p>
            <w:pPr>
              <w:jc w:val="center"/>
            </w:pPr>
            <w:r/>
            <w:r>
              <w:rPr>
                <w:rFonts w:ascii="宋体" w:hAnsi="宋体" w:eastAsia="宋体"/>
                <w:b w:val="0"/>
                <w:sz w:val="21"/>
              </w:rPr>
              <w:t>~180</w:t>
            </w:r>
          </w:p>
        </w:tc>
        <w:tc>
          <w:tcPr>
            <w:tcW w:type="dxa" w:w="1440"/>
          </w:tcPr>
          <w:p>
            <w:pPr>
              <w:jc w:val="center"/>
            </w:pPr>
            <w:r/>
            <w:r>
              <w:rPr>
                <w:rFonts w:ascii="宋体" w:hAnsi="宋体" w:eastAsia="宋体"/>
                <w:b w:val="0"/>
                <w:sz w:val="21"/>
              </w:rPr>
              <w:t>5</w:t>
            </w:r>
          </w:p>
        </w:tc>
      </w:tr>
      <w:tr>
        <w:tc>
          <w:tcPr>
            <w:tcW w:type="dxa" w:w="1440"/>
          </w:tcPr>
          <w:p>
            <w:pPr>
              <w:jc w:val="center"/>
            </w:pPr>
            <w:r/>
            <w:r>
              <w:rPr>
                <w:rFonts w:ascii="宋体" w:hAnsi="宋体" w:eastAsia="宋体"/>
                <w:b w:val="0"/>
                <w:sz w:val="21"/>
              </w:rPr>
              <w:t>中型</w:t>
            </w:r>
          </w:p>
        </w:tc>
        <w:tc>
          <w:tcPr>
            <w:tcW w:type="dxa" w:w="1440"/>
          </w:tcPr>
          <w:p>
            <w:pPr>
              <w:jc w:val="center"/>
            </w:pPr>
            <w:r/>
            <w:r>
              <w:rPr>
                <w:rFonts w:ascii="宋体" w:hAnsi="宋体" w:eastAsia="宋体"/>
                <w:b w:val="0"/>
                <w:sz w:val="21"/>
              </w:rPr>
              <w:t>6</w:t>
            </w:r>
          </w:p>
        </w:tc>
        <w:tc>
          <w:tcPr>
            <w:tcW w:type="dxa" w:w="1440"/>
          </w:tcPr>
          <w:p>
            <w:pPr>
              <w:jc w:val="center"/>
            </w:pPr>
            <w:r/>
            <w:r>
              <w:rPr>
                <w:rFonts w:ascii="宋体" w:hAnsi="宋体" w:eastAsia="宋体"/>
                <w:b w:val="0"/>
                <w:sz w:val="21"/>
              </w:rPr>
              <w:t>12×5</w:t>
            </w:r>
          </w:p>
        </w:tc>
        <w:tc>
          <w:tcPr>
            <w:tcW w:type="dxa" w:w="1440"/>
          </w:tcPr>
          <w:p>
            <w:pPr>
              <w:jc w:val="center"/>
            </w:pPr>
            <w:r/>
            <w:r>
              <w:rPr>
                <w:rFonts w:ascii="宋体" w:hAnsi="宋体" w:eastAsia="宋体"/>
                <w:b w:val="0"/>
                <w:sz w:val="21"/>
              </w:rPr>
              <w:t>~200</w:t>
            </w:r>
          </w:p>
        </w:tc>
        <w:tc>
          <w:tcPr>
            <w:tcW w:type="dxa" w:w="1440"/>
          </w:tcPr>
          <w:p>
            <w:pPr>
              <w:jc w:val="center"/>
            </w:pPr>
            <w:r/>
            <w:r>
              <w:rPr>
                <w:rFonts w:ascii="宋体" w:hAnsi="宋体" w:eastAsia="宋体"/>
                <w:b w:val="0"/>
                <w:sz w:val="21"/>
              </w:rPr>
              <w:t>~550</w:t>
            </w:r>
          </w:p>
        </w:tc>
        <w:tc>
          <w:tcPr>
            <w:tcW w:type="dxa" w:w="1440"/>
          </w:tcPr>
          <w:p>
            <w:pPr>
              <w:jc w:val="center"/>
            </w:pPr>
            <w:r/>
            <w:r>
              <w:rPr>
                <w:rFonts w:ascii="宋体" w:hAnsi="宋体" w:eastAsia="宋体"/>
                <w:b w:val="0"/>
                <w:sz w:val="21"/>
              </w:rPr>
              <w:t>8</w:t>
            </w:r>
          </w:p>
        </w:tc>
      </w:tr>
      <w:tr>
        <w:tc>
          <w:tcPr>
            <w:tcW w:type="dxa" w:w="1440"/>
          </w:tcPr>
          <w:p>
            <w:pPr>
              <w:jc w:val="center"/>
            </w:pPr>
            <w:r/>
            <w:r>
              <w:rPr>
                <w:rFonts w:ascii="宋体" w:hAnsi="宋体" w:eastAsia="宋体"/>
                <w:b w:val="0"/>
                <w:sz w:val="21"/>
              </w:rPr>
              <w:t>大型</w:t>
            </w:r>
          </w:p>
        </w:tc>
        <w:tc>
          <w:tcPr>
            <w:tcW w:type="dxa" w:w="1440"/>
          </w:tcPr>
          <w:p>
            <w:pPr>
              <w:jc w:val="center"/>
            </w:pPr>
            <w:r/>
            <w:r>
              <w:rPr>
                <w:rFonts w:ascii="宋体" w:hAnsi="宋体" w:eastAsia="宋体"/>
                <w:b w:val="0"/>
                <w:sz w:val="21"/>
              </w:rPr>
              <w:t>10</w:t>
            </w:r>
          </w:p>
        </w:tc>
        <w:tc>
          <w:tcPr>
            <w:tcW w:type="dxa" w:w="1440"/>
          </w:tcPr>
          <w:p>
            <w:pPr>
              <w:jc w:val="center"/>
            </w:pPr>
            <w:r/>
            <w:r>
              <w:rPr>
                <w:rFonts w:ascii="宋体" w:hAnsi="宋体" w:eastAsia="宋体"/>
                <w:b w:val="0"/>
                <w:sz w:val="21"/>
              </w:rPr>
              <w:t>20×10</w:t>
            </w:r>
          </w:p>
        </w:tc>
        <w:tc>
          <w:tcPr>
            <w:tcW w:type="dxa" w:w="1440"/>
          </w:tcPr>
          <w:p>
            <w:pPr>
              <w:jc w:val="center"/>
            </w:pPr>
            <w:r/>
            <w:r>
              <w:rPr>
                <w:rFonts w:ascii="宋体" w:hAnsi="宋体" w:eastAsia="宋体"/>
                <w:b w:val="0"/>
                <w:sz w:val="21"/>
              </w:rPr>
              <w:t>462</w:t>
            </w:r>
          </w:p>
        </w:tc>
        <w:tc>
          <w:tcPr>
            <w:tcW w:type="dxa" w:w="1440"/>
          </w:tcPr>
          <w:p>
            <w:pPr>
              <w:jc w:val="center"/>
            </w:pPr>
            <w:r/>
            <w:r>
              <w:rPr>
                <w:rFonts w:ascii="宋体" w:hAnsi="宋体" w:eastAsia="宋体"/>
                <w:b w:val="0"/>
                <w:sz w:val="21"/>
              </w:rPr>
              <w:t>1250</w:t>
            </w:r>
          </w:p>
        </w:tc>
        <w:tc>
          <w:tcPr>
            <w:tcW w:type="dxa" w:w="1440"/>
          </w:tcPr>
          <w:p>
            <w:pPr>
              <w:jc w:val="center"/>
            </w:pPr>
            <w:r/>
            <w:r>
              <w:rPr>
                <w:rFonts w:ascii="宋体" w:hAnsi="宋体" w:eastAsia="宋体"/>
                <w:b w:val="0"/>
                <w:sz w:val="21"/>
              </w:rPr>
              <w:t>5+自动</w:t>
            </w:r>
          </w:p>
        </w:tc>
      </w:tr>
    </w:tbl>
    <w:p/>
    <w:p>
      <w:r>
        <w:rPr>
          <w:rFonts w:ascii="黑体" w:hAnsi="黑体" w:eastAsia="黑体"/>
          <w:b/>
          <w:sz w:val="30"/>
        </w:rPr>
        <w:t>5.2 对比算法</w:t>
      </w:r>
    </w:p>
    <w:p>
      <w:pPr>
        <w:spacing w:line="300" w:lineRule="auto"/>
      </w:pPr>
      <w:r>
        <w:rPr>
          <w:rFonts w:ascii="宋体" w:hAnsi="宋体" w:eastAsia="宋体"/>
          <w:b w:val="0"/>
          <w:sz w:val="24"/>
        </w:rPr>
        <w:t>为评估各模块的独立贡献与协同效果，设计四种策略配置：</w:t>
      </w:r>
    </w:p>
    <w:p>
      <w:pPr>
        <w:spacing w:line="300" w:lineRule="auto"/>
      </w:pPr>
      <w:r>
        <w:rPr>
          <w:rFonts w:ascii="宋体" w:hAnsi="宋体" w:eastAsia="宋体"/>
          <w:b w:val="0"/>
          <w:sz w:val="24"/>
        </w:rPr>
        <w:t>（1）Baseline（基线）：纯距离匈牙利分配 + 标准A*（无拥堵预测）。代表传统规则式调度方法的性能基线。</w:t>
      </w:r>
    </w:p>
    <w:p>
      <w:pPr>
        <w:spacing w:line="300" w:lineRule="auto"/>
      </w:pPr>
      <w:r>
        <w:rPr>
          <w:rFonts w:ascii="宋体" w:hAnsi="宋体" w:eastAsia="宋体"/>
          <w:b w:val="0"/>
          <w:sz w:val="24"/>
        </w:rPr>
        <w:t>（2）+ML：启用task_value_predictor的任务价值预测 + 标准A*。评估ML预测对任务分配质量的提升。</w:t>
      </w:r>
    </w:p>
    <w:p>
      <w:pPr>
        <w:spacing w:line="300" w:lineRule="auto"/>
      </w:pPr>
      <w:r>
        <w:rPr>
          <w:rFonts w:ascii="宋体" w:hAnsi="宋体" w:eastAsia="宋体"/>
          <w:b w:val="0"/>
          <w:sz w:val="24"/>
        </w:rPr>
        <w:t>（3）+Congestion：纯距离分配 + 启用congestion_predictor的趋势避障A*。评估拥堵预测对路径规划质量的提升。</w:t>
      </w:r>
    </w:p>
    <w:p>
      <w:pPr>
        <w:spacing w:line="300" w:lineRule="auto"/>
      </w:pPr>
      <w:r>
        <w:rPr>
          <w:rFonts w:ascii="宋体" w:hAnsi="宋体" w:eastAsia="宋体"/>
          <w:b w:val="0"/>
          <w:sz w:val="24"/>
        </w:rPr>
        <w:t>（4）Full（完整）：ML预测 + 趋势避障A*。评估两个智能化模块的协同增效效果。</w:t>
      </w:r>
    </w:p>
    <w:p>
      <w:r>
        <w:rPr>
          <w:rFonts w:ascii="黑体" w:hAnsi="黑体" w:eastAsia="黑体"/>
          <w:b/>
          <w:sz w:val="30"/>
        </w:rPr>
        <w:t>5.3 评估指标</w:t>
      </w:r>
    </w:p>
    <w:p>
      <w:pPr>
        <w:spacing w:line="300" w:lineRule="auto"/>
      </w:pPr>
      <w:r>
        <w:rPr>
          <w:rFonts w:ascii="宋体" w:hAnsi="宋体" w:eastAsia="宋体"/>
          <w:b w:val="0"/>
          <w:sz w:val="24"/>
        </w:rPr>
        <w:t>任务完成数：仿真200步内完成的运输任务总量，反映系统吞吐能力。平均等待时间：任务从创建到开始执行的平均时长（秒），反映系统响应速度。车辆利用率：所有车辆busy_steps与总步数的比值，反映资源利用效率。拥堵热点数：CongestionPredictor检测到的高频拥堵区域数量，反映系统的拥堵感知能力。仿真速率：每秒可执行的仿真步数，反映系统计算性能。</w:t>
      </w:r>
    </w:p>
    <w:p>
      <w:r>
        <w:rPr>
          <w:rFonts w:ascii="黑体" w:hAnsi="黑体" w:eastAsia="黑体"/>
          <w:b/>
          <w:sz w:val="30"/>
        </w:rPr>
        <w:t>5.4 实验配置</w:t>
      </w:r>
    </w:p>
    <w:p>
      <w:pPr>
        <w:spacing w:line="300" w:lineRule="auto"/>
      </w:pPr>
      <w:r>
        <w:rPr>
          <w:rFonts w:ascii="宋体" w:hAnsi="宋体" w:eastAsia="宋体"/>
          <w:b w:val="0"/>
          <w:sz w:val="24"/>
        </w:rPr>
        <w:t>硬件环境：Windows 11操作系统，Intel Core i7-12700H处理器，16GB DDR4内存。软件环境：Python 3.11解释器，NumPy 1.24+，SciPy 1.10+，Flask 3.1，Matplotlib 3.7+。参数设置：dispatch_interval=3步，EWMA平滑系数α=0.3，拥堵惩罚权重=15.0，碰撞检测半径=4.0，车辆速度=3单位/步，随机种子固定为42。</w:t>
      </w:r>
    </w:p>
    <w:p>
      <w:r>
        <w:rPr>
          <w:rFonts w:ascii="黑体" w:hAnsi="黑体" w:eastAsia="黑体"/>
          <w:b/>
          <w:sz w:val="30"/>
        </w:rPr>
        <w:t>5.5 实验结果</w:t>
      </w:r>
    </w:p>
    <w:p>
      <w:pPr>
        <w:spacing w:line="300" w:lineRule="auto"/>
      </w:pPr>
      <w:r>
        <w:rPr>
          <w:rFonts w:ascii="宋体" w:hAnsi="宋体" w:eastAsia="宋体"/>
          <w:b w:val="0"/>
          <w:sz w:val="24"/>
        </w:rPr>
        <w:t>在中型场景（6车，12×5港口）下运行200步仿真，四种策略的定量对比如下：</w:t>
      </w:r>
    </w:p>
    <w:p>
      <w:pPr>
        <w:jc w:val="center"/>
      </w:pPr>
      <w:r>
        <w:rPr>
          <w:rFonts w:ascii="黑体" w:hAnsi="黑体" w:eastAsia="黑体"/>
          <w:b/>
          <w:sz w:val="21"/>
        </w:rPr>
        <w:t>表8. 不同策略性能对比（中型场景，200步）</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eastAsia="黑体"/>
                <w:b/>
                <w:sz w:val="21"/>
              </w:rPr>
              <w:t>策略</w:t>
            </w:r>
          </w:p>
        </w:tc>
        <w:tc>
          <w:tcPr>
            <w:tcW w:type="dxa" w:w="1728"/>
          </w:tcPr>
          <w:p>
            <w:pPr>
              <w:jc w:val="center"/>
            </w:pPr>
            <w:r/>
            <w:r>
              <w:rPr>
                <w:rFonts w:ascii="黑体" w:hAnsi="黑体" w:eastAsia="黑体"/>
                <w:b/>
                <w:sz w:val="21"/>
              </w:rPr>
              <w:t>完成数</w:t>
            </w:r>
          </w:p>
        </w:tc>
        <w:tc>
          <w:tcPr>
            <w:tcW w:type="dxa" w:w="1728"/>
          </w:tcPr>
          <w:p>
            <w:pPr>
              <w:jc w:val="center"/>
            </w:pPr>
            <w:r/>
            <w:r>
              <w:rPr>
                <w:rFonts w:ascii="黑体" w:hAnsi="黑体" w:eastAsia="黑体"/>
                <w:b/>
                <w:sz w:val="21"/>
              </w:rPr>
              <w:t>平均等待(s)</w:t>
            </w:r>
          </w:p>
        </w:tc>
        <w:tc>
          <w:tcPr>
            <w:tcW w:type="dxa" w:w="1728"/>
          </w:tcPr>
          <w:p>
            <w:pPr>
              <w:jc w:val="center"/>
            </w:pPr>
            <w:r/>
            <w:r>
              <w:rPr>
                <w:rFonts w:ascii="黑体" w:hAnsi="黑体" w:eastAsia="黑体"/>
                <w:b/>
                <w:sz w:val="21"/>
              </w:rPr>
              <w:t>利用率</w:t>
            </w:r>
          </w:p>
        </w:tc>
        <w:tc>
          <w:tcPr>
            <w:tcW w:type="dxa" w:w="1728"/>
          </w:tcPr>
          <w:p>
            <w:pPr>
              <w:jc w:val="center"/>
            </w:pPr>
            <w:r/>
            <w:r>
              <w:rPr>
                <w:rFonts w:ascii="黑体" w:hAnsi="黑体" w:eastAsia="黑体"/>
                <w:b/>
                <w:sz w:val="21"/>
              </w:rPr>
              <w:t>热点数</w:t>
            </w:r>
          </w:p>
        </w:tc>
      </w:tr>
      <w:tr>
        <w:tc>
          <w:tcPr>
            <w:tcW w:type="dxa" w:w="1728"/>
          </w:tcPr>
          <w:p>
            <w:pPr>
              <w:jc w:val="center"/>
            </w:pPr>
            <w:r/>
            <w:r>
              <w:rPr>
                <w:rFonts w:ascii="宋体" w:hAnsi="宋体" w:eastAsia="宋体"/>
                <w:b w:val="0"/>
                <w:sz w:val="21"/>
              </w:rPr>
              <w:t>Baseline</w:t>
            </w:r>
          </w:p>
        </w:tc>
        <w:tc>
          <w:tcPr>
            <w:tcW w:type="dxa" w:w="1728"/>
          </w:tcPr>
          <w:p>
            <w:pPr>
              <w:jc w:val="center"/>
            </w:pPr>
            <w:r/>
            <w:r>
              <w:rPr>
                <w:rFonts w:ascii="宋体" w:hAnsi="宋体" w:eastAsia="宋体"/>
                <w:b w:val="0"/>
                <w:sz w:val="21"/>
              </w:rPr>
              <w:t>8</w:t>
            </w:r>
          </w:p>
        </w:tc>
        <w:tc>
          <w:tcPr>
            <w:tcW w:type="dxa" w:w="1728"/>
          </w:tcPr>
          <w:p>
            <w:pPr>
              <w:jc w:val="center"/>
            </w:pPr>
            <w:r/>
            <w:r>
              <w:rPr>
                <w:rFonts w:ascii="宋体" w:hAnsi="宋体" w:eastAsia="宋体"/>
                <w:b w:val="0"/>
                <w:sz w:val="21"/>
              </w:rPr>
              <w:t>18.5</w:t>
            </w:r>
          </w:p>
        </w:tc>
        <w:tc>
          <w:tcPr>
            <w:tcW w:type="dxa" w:w="1728"/>
          </w:tcPr>
          <w:p>
            <w:pPr>
              <w:jc w:val="center"/>
            </w:pPr>
            <w:r/>
            <w:r>
              <w:rPr>
                <w:rFonts w:ascii="宋体" w:hAnsi="宋体" w:eastAsia="宋体"/>
                <w:b w:val="0"/>
                <w:sz w:val="21"/>
              </w:rPr>
              <w:t>91.2%</w:t>
            </w:r>
          </w:p>
        </w:tc>
        <w:tc>
          <w:tcPr>
            <w:tcW w:type="dxa" w:w="1728"/>
          </w:tcPr>
          <w:p>
            <w:pPr>
              <w:jc w:val="center"/>
            </w:pPr>
            <w:r/>
            <w:r>
              <w:rPr>
                <w:rFonts w:ascii="宋体" w:hAnsi="宋体" w:eastAsia="宋体"/>
                <w:b w:val="0"/>
                <w:sz w:val="21"/>
              </w:rPr>
              <w:t>0</w:t>
            </w:r>
          </w:p>
        </w:tc>
      </w:tr>
      <w:tr>
        <w:tc>
          <w:tcPr>
            <w:tcW w:type="dxa" w:w="1728"/>
          </w:tcPr>
          <w:p>
            <w:pPr>
              <w:jc w:val="center"/>
            </w:pPr>
            <w:r/>
            <w:r>
              <w:rPr>
                <w:rFonts w:ascii="宋体" w:hAnsi="宋体" w:eastAsia="宋体"/>
                <w:b w:val="0"/>
                <w:sz w:val="21"/>
              </w:rPr>
              <w:t>+ML</w:t>
            </w:r>
          </w:p>
        </w:tc>
        <w:tc>
          <w:tcPr>
            <w:tcW w:type="dxa" w:w="1728"/>
          </w:tcPr>
          <w:p>
            <w:pPr>
              <w:jc w:val="center"/>
            </w:pPr>
            <w:r/>
            <w:r>
              <w:rPr>
                <w:rFonts w:ascii="宋体" w:hAnsi="宋体" w:eastAsia="宋体"/>
                <w:b w:val="0"/>
                <w:sz w:val="21"/>
              </w:rPr>
              <w:t>10 (+25%)</w:t>
            </w:r>
          </w:p>
        </w:tc>
        <w:tc>
          <w:tcPr>
            <w:tcW w:type="dxa" w:w="1728"/>
          </w:tcPr>
          <w:p>
            <w:pPr>
              <w:jc w:val="center"/>
            </w:pPr>
            <w:r/>
            <w:r>
              <w:rPr>
                <w:rFonts w:ascii="宋体" w:hAnsi="宋体" w:eastAsia="宋体"/>
                <w:b w:val="0"/>
                <w:sz w:val="21"/>
              </w:rPr>
              <w:t>14.2 (−23%)</w:t>
            </w:r>
          </w:p>
        </w:tc>
        <w:tc>
          <w:tcPr>
            <w:tcW w:type="dxa" w:w="1728"/>
          </w:tcPr>
          <w:p>
            <w:pPr>
              <w:jc w:val="center"/>
            </w:pPr>
            <w:r/>
            <w:r>
              <w:rPr>
                <w:rFonts w:ascii="宋体" w:hAnsi="宋体" w:eastAsia="宋体"/>
                <w:b w:val="0"/>
                <w:sz w:val="21"/>
              </w:rPr>
              <w:t>94.8%</w:t>
            </w:r>
          </w:p>
        </w:tc>
        <w:tc>
          <w:tcPr>
            <w:tcW w:type="dxa" w:w="1728"/>
          </w:tcPr>
          <w:p>
            <w:pPr>
              <w:jc w:val="center"/>
            </w:pPr>
            <w:r/>
            <w:r>
              <w:rPr>
                <w:rFonts w:ascii="宋体" w:hAnsi="宋体" w:eastAsia="宋体"/>
                <w:b w:val="0"/>
                <w:sz w:val="21"/>
              </w:rPr>
              <w:t>0</w:t>
            </w:r>
          </w:p>
        </w:tc>
      </w:tr>
      <w:tr>
        <w:tc>
          <w:tcPr>
            <w:tcW w:type="dxa" w:w="1728"/>
          </w:tcPr>
          <w:p>
            <w:pPr>
              <w:jc w:val="center"/>
            </w:pPr>
            <w:r/>
            <w:r>
              <w:rPr>
                <w:rFonts w:ascii="宋体" w:hAnsi="宋体" w:eastAsia="宋体"/>
                <w:b w:val="0"/>
                <w:sz w:val="21"/>
              </w:rPr>
              <w:t>+Congestion</w:t>
            </w:r>
          </w:p>
        </w:tc>
        <w:tc>
          <w:tcPr>
            <w:tcW w:type="dxa" w:w="1728"/>
          </w:tcPr>
          <w:p>
            <w:pPr>
              <w:jc w:val="center"/>
            </w:pPr>
            <w:r/>
            <w:r>
              <w:rPr>
                <w:rFonts w:ascii="宋体" w:hAnsi="宋体" w:eastAsia="宋体"/>
                <w:b w:val="0"/>
                <w:sz w:val="21"/>
              </w:rPr>
              <w:t>9 (+12.5%)</w:t>
            </w:r>
          </w:p>
        </w:tc>
        <w:tc>
          <w:tcPr>
            <w:tcW w:type="dxa" w:w="1728"/>
          </w:tcPr>
          <w:p>
            <w:pPr>
              <w:jc w:val="center"/>
            </w:pPr>
            <w:r/>
            <w:r>
              <w:rPr>
                <w:rFonts w:ascii="宋体" w:hAnsi="宋体" w:eastAsia="宋体"/>
                <w:b w:val="0"/>
                <w:sz w:val="21"/>
              </w:rPr>
              <w:t>16.1 (−13%)</w:t>
            </w:r>
          </w:p>
        </w:tc>
        <w:tc>
          <w:tcPr>
            <w:tcW w:type="dxa" w:w="1728"/>
          </w:tcPr>
          <w:p>
            <w:pPr>
              <w:jc w:val="center"/>
            </w:pPr>
            <w:r/>
            <w:r>
              <w:rPr>
                <w:rFonts w:ascii="宋体" w:hAnsi="宋体" w:eastAsia="宋体"/>
                <w:b w:val="0"/>
                <w:sz w:val="21"/>
              </w:rPr>
              <w:t>92.7%</w:t>
            </w:r>
          </w:p>
        </w:tc>
        <w:tc>
          <w:tcPr>
            <w:tcW w:type="dxa" w:w="1728"/>
          </w:tcPr>
          <w:p>
            <w:pPr>
              <w:jc w:val="center"/>
            </w:pPr>
            <w:r/>
            <w:r>
              <w:rPr>
                <w:rFonts w:ascii="宋体" w:hAnsi="宋体" w:eastAsia="宋体"/>
                <w:b w:val="0"/>
                <w:sz w:val="21"/>
              </w:rPr>
              <w:t>3</w:t>
            </w:r>
          </w:p>
        </w:tc>
      </w:tr>
      <w:tr>
        <w:tc>
          <w:tcPr>
            <w:tcW w:type="dxa" w:w="1728"/>
          </w:tcPr>
          <w:p>
            <w:pPr>
              <w:jc w:val="center"/>
            </w:pPr>
            <w:r/>
            <w:r>
              <w:rPr>
                <w:rFonts w:ascii="宋体" w:hAnsi="宋体" w:eastAsia="宋体"/>
                <w:b w:val="0"/>
                <w:sz w:val="21"/>
              </w:rPr>
              <w:t>Full</w:t>
            </w:r>
          </w:p>
        </w:tc>
        <w:tc>
          <w:tcPr>
            <w:tcW w:type="dxa" w:w="1728"/>
          </w:tcPr>
          <w:p>
            <w:pPr>
              <w:jc w:val="center"/>
            </w:pPr>
            <w:r/>
            <w:r>
              <w:rPr>
                <w:rFonts w:ascii="宋体" w:hAnsi="宋体" w:eastAsia="宋体"/>
                <w:b w:val="0"/>
                <w:sz w:val="21"/>
              </w:rPr>
              <w:t>11 (+37.5%)</w:t>
            </w:r>
          </w:p>
        </w:tc>
        <w:tc>
          <w:tcPr>
            <w:tcW w:type="dxa" w:w="1728"/>
          </w:tcPr>
          <w:p>
            <w:pPr>
              <w:jc w:val="center"/>
            </w:pPr>
            <w:r/>
            <w:r>
              <w:rPr>
                <w:rFonts w:ascii="宋体" w:hAnsi="宋体" w:eastAsia="宋体"/>
                <w:b w:val="0"/>
                <w:sz w:val="21"/>
              </w:rPr>
              <w:t>12.3 (−34%)</w:t>
            </w:r>
          </w:p>
        </w:tc>
        <w:tc>
          <w:tcPr>
            <w:tcW w:type="dxa" w:w="1728"/>
          </w:tcPr>
          <w:p>
            <w:pPr>
              <w:jc w:val="center"/>
            </w:pPr>
            <w:r/>
            <w:r>
              <w:rPr>
                <w:rFonts w:ascii="宋体" w:hAnsi="宋体" w:eastAsia="宋体"/>
                <w:b w:val="0"/>
                <w:sz w:val="21"/>
              </w:rPr>
              <w:t>97.6%</w:t>
            </w:r>
          </w:p>
        </w:tc>
        <w:tc>
          <w:tcPr>
            <w:tcW w:type="dxa" w:w="1728"/>
          </w:tcPr>
          <w:p>
            <w:pPr>
              <w:jc w:val="center"/>
            </w:pPr>
            <w:r/>
            <w:r>
              <w:rPr>
                <w:rFonts w:ascii="宋体" w:hAnsi="宋体" w:eastAsia="宋体"/>
                <w:b w:val="0"/>
                <w:sz w:val="21"/>
              </w:rPr>
              <w:t>3</w:t>
            </w:r>
          </w:p>
        </w:tc>
      </w:tr>
    </w:tbl>
    <w:p/>
    <w:p>
      <w:pPr>
        <w:spacing w:line="300" w:lineRule="auto"/>
      </w:pPr>
      <w:r>
        <w:rPr>
          <w:rFonts w:ascii="宋体" w:hAnsi="宋体" w:eastAsia="宋体"/>
          <w:b w:val="0"/>
          <w:sz w:val="24"/>
        </w:rPr>
        <w:t>分析以上结果可以得出以下结论：</w:t>
      </w:r>
    </w:p>
    <w:p>
      <w:pPr>
        <w:spacing w:line="300" w:lineRule="auto"/>
      </w:pPr>
      <w:r>
        <w:rPr>
          <w:rFonts w:ascii="宋体" w:hAnsi="宋体" w:eastAsia="宋体"/>
          <w:b w:val="0"/>
          <w:sz w:val="24"/>
        </w:rPr>
        <w:t>第一，ML预测显著提升了任务分配的智能化水平。+ML配置相比Baseline完成数提升25%，等待时间降低23%。这是因为ML模型优先处理了高紧急度和等待过久的任务，避免了任务"饿死"现象。在纯距离策略下，距离近但紧急度低的EXPORT任务被过度优先，而ML策略根据综合价值评分做出了更合理的取舍。</w:t>
      </w:r>
    </w:p>
    <w:p>
      <w:pPr>
        <w:spacing w:line="300" w:lineRule="auto"/>
      </w:pPr>
      <w:r>
        <w:rPr>
          <w:rFonts w:ascii="宋体" w:hAnsi="宋体" w:eastAsia="宋体"/>
          <w:b w:val="0"/>
          <w:sz w:val="24"/>
        </w:rPr>
        <w:t>第二，拥堵预测成功赋予了系统"环境感知"能力。+Congestion配置虽然直接的任务完成数提升不如+ML显著（+12.5%），但其关键贡献在于识别出了3个拥堵热点（集中在Gate_In入口和首列泊位Q1附近）。在更长的仿真时间下，趋势避障的累积优势将更加明显——车辆提前绕行拥堵区域，全局效率稳步提升。</w:t>
      </w:r>
    </w:p>
    <w:p>
      <w:pPr>
        <w:spacing w:line="300" w:lineRule="auto"/>
      </w:pPr>
      <w:r>
        <w:rPr>
          <w:rFonts w:ascii="宋体" w:hAnsi="宋体" w:eastAsia="宋体"/>
          <w:b w:val="0"/>
          <w:sz w:val="24"/>
        </w:rPr>
        <w:t>第三，Full组合在所有指标上均为最优，验证了两个智能化模块的互补性。ML负责"做对的事"（选择合适的任务），拥堵预测负责"走对的路"（选择畅通的路径）。两者的协同使完成数提升37.5%，利用率达到97.6%，接近理论上限。</w:t>
      </w:r>
    </w:p>
    <w:p>
      <w:pPr>
        <w:spacing w:line="300" w:lineRule="auto"/>
      </w:pPr>
      <w:r>
        <w:rPr>
          <w:rFonts w:ascii="宋体" w:hAnsi="宋体" w:eastAsia="宋体"/>
          <w:b w:val="0"/>
          <w:sz w:val="24"/>
        </w:rPr>
        <w:t>在大规模场景（10车，20×10港口）下的性能测试表明：</w:t>
      </w:r>
    </w:p>
    <w:p>
      <w:pPr>
        <w:jc w:val="center"/>
      </w:pPr>
      <w:r>
        <w:rPr>
          <w:rFonts w:ascii="黑体" w:hAnsi="黑体" w:eastAsia="黑体"/>
          <w:b/>
          <w:sz w:val="21"/>
        </w:rPr>
        <w:t>表9. 大规模场景性能</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1"/>
              </w:rPr>
              <w:t>指标</w:t>
            </w:r>
          </w:p>
        </w:tc>
        <w:tc>
          <w:tcPr>
            <w:tcW w:type="dxa" w:w="2880"/>
          </w:tcPr>
          <w:p>
            <w:pPr>
              <w:jc w:val="center"/>
            </w:pPr>
            <w:r/>
            <w:r>
              <w:rPr>
                <w:rFonts w:ascii="黑体" w:hAnsi="黑体" w:eastAsia="黑体"/>
                <w:b/>
                <w:sz w:val="21"/>
              </w:rPr>
              <w:t>小型(4车8×3)</w:t>
            </w:r>
          </w:p>
        </w:tc>
        <w:tc>
          <w:tcPr>
            <w:tcW w:type="dxa" w:w="2880"/>
          </w:tcPr>
          <w:p>
            <w:pPr>
              <w:jc w:val="center"/>
            </w:pPr>
            <w:r/>
            <w:r>
              <w:rPr>
                <w:rFonts w:ascii="黑体" w:hAnsi="黑体" w:eastAsia="黑体"/>
                <w:b/>
                <w:sz w:val="21"/>
              </w:rPr>
              <w:t>大型(10车20×10)</w:t>
            </w:r>
          </w:p>
        </w:tc>
      </w:tr>
      <w:tr>
        <w:tc>
          <w:tcPr>
            <w:tcW w:type="dxa" w:w="2880"/>
          </w:tcPr>
          <w:p>
            <w:pPr>
              <w:jc w:val="center"/>
            </w:pPr>
            <w:r/>
            <w:r>
              <w:rPr>
                <w:rFonts w:ascii="宋体" w:hAnsi="宋体" w:eastAsia="宋体"/>
                <w:b w:val="0"/>
                <w:sz w:val="21"/>
              </w:rPr>
              <w:t>仿真速率</w:t>
            </w:r>
          </w:p>
        </w:tc>
        <w:tc>
          <w:tcPr>
            <w:tcW w:type="dxa" w:w="2880"/>
          </w:tcPr>
          <w:p>
            <w:pPr>
              <w:jc w:val="center"/>
            </w:pPr>
            <w:r/>
            <w:r>
              <w:rPr>
                <w:rFonts w:ascii="宋体" w:hAnsi="宋体" w:eastAsia="宋体"/>
                <w:b w:val="0"/>
                <w:sz w:val="21"/>
              </w:rPr>
              <w:t>4826步/秒</w:t>
            </w:r>
          </w:p>
        </w:tc>
        <w:tc>
          <w:tcPr>
            <w:tcW w:type="dxa" w:w="2880"/>
          </w:tcPr>
          <w:p>
            <w:pPr>
              <w:jc w:val="center"/>
            </w:pPr>
            <w:r/>
            <w:r>
              <w:rPr>
                <w:rFonts w:ascii="宋体" w:hAnsi="宋体" w:eastAsia="宋体"/>
                <w:b w:val="0"/>
                <w:sz w:val="21"/>
              </w:rPr>
              <w:t>430步/秒</w:t>
            </w:r>
          </w:p>
        </w:tc>
      </w:tr>
      <w:tr>
        <w:tc>
          <w:tcPr>
            <w:tcW w:type="dxa" w:w="2880"/>
          </w:tcPr>
          <w:p>
            <w:pPr>
              <w:jc w:val="center"/>
            </w:pPr>
            <w:r/>
            <w:r>
              <w:rPr>
                <w:rFonts w:ascii="宋体" w:hAnsi="宋体" w:eastAsia="宋体"/>
                <w:b w:val="0"/>
                <w:sz w:val="21"/>
              </w:rPr>
              <w:t>车辆利用率</w:t>
            </w:r>
          </w:p>
        </w:tc>
        <w:tc>
          <w:tcPr>
            <w:tcW w:type="dxa" w:w="2880"/>
          </w:tcPr>
          <w:p>
            <w:pPr>
              <w:jc w:val="center"/>
            </w:pPr>
            <w:r/>
            <w:r>
              <w:rPr>
                <w:rFonts w:ascii="宋体" w:hAnsi="宋体" w:eastAsia="宋体"/>
                <w:b w:val="0"/>
                <w:sz w:val="21"/>
              </w:rPr>
              <w:t>97.7%</w:t>
            </w:r>
          </w:p>
        </w:tc>
        <w:tc>
          <w:tcPr>
            <w:tcW w:type="dxa" w:w="2880"/>
          </w:tcPr>
          <w:p>
            <w:pPr>
              <w:jc w:val="center"/>
            </w:pPr>
            <w:r/>
            <w:r>
              <w:rPr>
                <w:rFonts w:ascii="宋体" w:hAnsi="宋体" w:eastAsia="宋体"/>
                <w:b w:val="0"/>
                <w:sz w:val="21"/>
              </w:rPr>
              <w:t>98.4%</w:t>
            </w:r>
          </w:p>
        </w:tc>
      </w:tr>
      <w:tr>
        <w:tc>
          <w:tcPr>
            <w:tcW w:type="dxa" w:w="2880"/>
          </w:tcPr>
          <w:p>
            <w:pPr>
              <w:jc w:val="center"/>
            </w:pPr>
            <w:r/>
            <w:r>
              <w:rPr>
                <w:rFonts w:ascii="宋体" w:hAnsi="宋体" w:eastAsia="宋体"/>
                <w:b w:val="0"/>
                <w:sz w:val="21"/>
              </w:rPr>
              <w:t>检测热点数</w:t>
            </w:r>
          </w:p>
        </w:tc>
        <w:tc>
          <w:tcPr>
            <w:tcW w:type="dxa" w:w="2880"/>
          </w:tcPr>
          <w:p>
            <w:pPr>
              <w:jc w:val="center"/>
            </w:pPr>
            <w:r/>
            <w:r>
              <w:rPr>
                <w:rFonts w:ascii="宋体" w:hAnsi="宋体" w:eastAsia="宋体"/>
                <w:b w:val="0"/>
                <w:sz w:val="21"/>
              </w:rPr>
              <w:t>2</w:t>
            </w:r>
          </w:p>
        </w:tc>
        <w:tc>
          <w:tcPr>
            <w:tcW w:type="dxa" w:w="2880"/>
          </w:tcPr>
          <w:p>
            <w:pPr>
              <w:jc w:val="center"/>
            </w:pPr>
            <w:r/>
            <w:r>
              <w:rPr>
                <w:rFonts w:ascii="宋体" w:hAnsi="宋体" w:eastAsia="宋体"/>
                <w:b w:val="0"/>
                <w:sz w:val="21"/>
              </w:rPr>
              <w:t>4</w:t>
            </w:r>
          </w:p>
        </w:tc>
      </w:tr>
      <w:tr>
        <w:tc>
          <w:tcPr>
            <w:tcW w:type="dxa" w:w="2880"/>
          </w:tcPr>
          <w:p>
            <w:pPr>
              <w:jc w:val="center"/>
            </w:pPr>
            <w:r/>
            <w:r>
              <w:rPr>
                <w:rFonts w:ascii="宋体" w:hAnsi="宋体" w:eastAsia="宋体"/>
                <w:b w:val="0"/>
                <w:sz w:val="21"/>
              </w:rPr>
              <w:t>节点数</w:t>
            </w:r>
          </w:p>
        </w:tc>
        <w:tc>
          <w:tcPr>
            <w:tcW w:type="dxa" w:w="2880"/>
          </w:tcPr>
          <w:p>
            <w:pPr>
              <w:jc w:val="center"/>
            </w:pPr>
            <w:r/>
            <w:r>
              <w:rPr>
                <w:rFonts w:ascii="宋体" w:hAnsi="宋体" w:eastAsia="宋体"/>
                <w:b w:val="0"/>
                <w:sz w:val="21"/>
              </w:rPr>
              <w:t>74</w:t>
            </w:r>
          </w:p>
        </w:tc>
        <w:tc>
          <w:tcPr>
            <w:tcW w:type="dxa" w:w="2880"/>
          </w:tcPr>
          <w:p>
            <w:pPr>
              <w:jc w:val="center"/>
            </w:pPr>
            <w:r/>
            <w:r>
              <w:rPr>
                <w:rFonts w:ascii="宋体" w:hAnsi="宋体" w:eastAsia="宋体"/>
                <w:b w:val="0"/>
                <w:sz w:val="21"/>
              </w:rPr>
              <w:t>462</w:t>
            </w:r>
          </w:p>
        </w:tc>
      </w:tr>
    </w:tbl>
    <w:p/>
    <w:p>
      <w:pPr>
        <w:spacing w:line="300" w:lineRule="auto"/>
      </w:pPr>
      <w:r>
        <w:rPr>
          <w:rFonts w:ascii="宋体" w:hAnsi="宋体" w:eastAsia="宋体"/>
          <w:b w:val="0"/>
          <w:sz w:val="24"/>
        </w:rPr>
        <w:t>大规模场景下系统仍能以430步/秒的速率稳定运行（远超实时仿真的需求），验证了系统架构的可扩展性。4个拥堵热点的成功检测也表明CongestionPredictor在大规模场景下依然有效。</w:t>
      </w:r>
    </w:p>
    <w:p>
      <w:r>
        <w:rPr>
          <w:rFonts w:ascii="黑体" w:hAnsi="黑体" w:eastAsia="黑体"/>
          <w:b/>
          <w:sz w:val="36"/>
        </w:rPr>
        <w:t>六、分析与讨论</w:t>
      </w:r>
    </w:p>
    <w:p>
      <w:r>
        <w:rPr>
          <w:rFonts w:ascii="黑体" w:hAnsi="黑体" w:eastAsia="黑体"/>
          <w:b/>
          <w:sz w:val="30"/>
        </w:rPr>
        <w:t>6.1 消融实验</w:t>
      </w:r>
    </w:p>
    <w:p>
      <w:pPr>
        <w:spacing w:line="300" w:lineRule="auto"/>
      </w:pPr>
      <w:r>
        <w:rPr>
          <w:rFonts w:ascii="宋体" w:hAnsi="宋体" w:eastAsia="宋体"/>
          <w:b w:val="0"/>
          <w:sz w:val="24"/>
        </w:rPr>
        <w:t>通过逐步叠加各模块，分析每个模块对系统整体性能的独立贡献：</w:t>
      </w:r>
    </w:p>
    <w:p>
      <w:pPr>
        <w:jc w:val="center"/>
      </w:pPr>
      <w:r>
        <w:rPr>
          <w:rFonts w:ascii="黑体" w:hAnsi="黑体" w:eastAsia="黑体"/>
          <w:b/>
          <w:sz w:val="21"/>
        </w:rPr>
        <w:t>表10. 模块消融分析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21"/>
              </w:rPr>
              <w:t>配置</w:t>
            </w:r>
          </w:p>
        </w:tc>
        <w:tc>
          <w:tcPr>
            <w:tcW w:type="dxa" w:w="2160"/>
          </w:tcPr>
          <w:p>
            <w:pPr>
              <w:jc w:val="center"/>
            </w:pPr>
            <w:r/>
            <w:r>
              <w:rPr>
                <w:rFonts w:ascii="黑体" w:hAnsi="黑体" w:eastAsia="黑体"/>
                <w:b/>
                <w:sz w:val="21"/>
              </w:rPr>
              <w:t>完成数</w:t>
            </w:r>
          </w:p>
        </w:tc>
        <w:tc>
          <w:tcPr>
            <w:tcW w:type="dxa" w:w="2160"/>
          </w:tcPr>
          <w:p>
            <w:pPr>
              <w:jc w:val="center"/>
            </w:pPr>
            <w:r/>
            <w:r>
              <w:rPr>
                <w:rFonts w:ascii="黑体" w:hAnsi="黑体" w:eastAsia="黑体"/>
                <w:b/>
                <w:sz w:val="21"/>
              </w:rPr>
              <w:t>利用率</w:t>
            </w:r>
          </w:p>
        </w:tc>
        <w:tc>
          <w:tcPr>
            <w:tcW w:type="dxa" w:w="2160"/>
          </w:tcPr>
          <w:p>
            <w:pPr>
              <w:jc w:val="center"/>
            </w:pPr>
            <w:r/>
            <w:r>
              <w:rPr>
                <w:rFonts w:ascii="黑体" w:hAnsi="黑体" w:eastAsia="黑体"/>
                <w:b/>
                <w:sz w:val="21"/>
              </w:rPr>
              <w:t>分析</w:t>
            </w:r>
          </w:p>
        </w:tc>
      </w:tr>
      <w:tr>
        <w:tc>
          <w:tcPr>
            <w:tcW w:type="dxa" w:w="2160"/>
          </w:tcPr>
          <w:p>
            <w:pPr>
              <w:jc w:val="center"/>
            </w:pPr>
            <w:r/>
            <w:r>
              <w:rPr>
                <w:rFonts w:ascii="宋体" w:hAnsi="宋体" w:eastAsia="宋体"/>
                <w:b w:val="0"/>
                <w:sz w:val="21"/>
              </w:rPr>
              <w:t>纯距离+标准A*</w:t>
            </w:r>
          </w:p>
        </w:tc>
        <w:tc>
          <w:tcPr>
            <w:tcW w:type="dxa" w:w="2160"/>
          </w:tcPr>
          <w:p>
            <w:pPr>
              <w:jc w:val="center"/>
            </w:pPr>
            <w:r/>
            <w:r>
              <w:rPr>
                <w:rFonts w:ascii="宋体" w:hAnsi="宋体" w:eastAsia="宋体"/>
                <w:b w:val="0"/>
                <w:sz w:val="21"/>
              </w:rPr>
              <w:t>8</w:t>
            </w:r>
          </w:p>
        </w:tc>
        <w:tc>
          <w:tcPr>
            <w:tcW w:type="dxa" w:w="2160"/>
          </w:tcPr>
          <w:p>
            <w:pPr>
              <w:jc w:val="center"/>
            </w:pPr>
            <w:r/>
            <w:r>
              <w:rPr>
                <w:rFonts w:ascii="宋体" w:hAnsi="宋体" w:eastAsia="宋体"/>
                <w:b w:val="0"/>
                <w:sz w:val="21"/>
              </w:rPr>
              <w:t>91.2%</w:t>
            </w:r>
          </w:p>
        </w:tc>
        <w:tc>
          <w:tcPr>
            <w:tcW w:type="dxa" w:w="2160"/>
          </w:tcPr>
          <w:p>
            <w:pPr>
              <w:jc w:val="center"/>
            </w:pPr>
            <w:r/>
            <w:r>
              <w:rPr>
                <w:rFonts w:ascii="宋体" w:hAnsi="宋体" w:eastAsia="宋体"/>
                <w:b w:val="0"/>
                <w:sz w:val="21"/>
              </w:rPr>
              <w:t>Baseline，代表传统方法</w:t>
            </w:r>
          </w:p>
        </w:tc>
      </w:tr>
      <w:tr>
        <w:tc>
          <w:tcPr>
            <w:tcW w:type="dxa" w:w="2160"/>
          </w:tcPr>
          <w:p>
            <w:pPr>
              <w:jc w:val="center"/>
            </w:pPr>
            <w:r/>
            <w:r>
              <w:rPr>
                <w:rFonts w:ascii="宋体" w:hAnsi="宋体" w:eastAsia="宋体"/>
                <w:b w:val="0"/>
                <w:sz w:val="21"/>
              </w:rPr>
              <w:t>+ML预测</w:t>
            </w:r>
          </w:p>
        </w:tc>
        <w:tc>
          <w:tcPr>
            <w:tcW w:type="dxa" w:w="2160"/>
          </w:tcPr>
          <w:p>
            <w:pPr>
              <w:jc w:val="center"/>
            </w:pPr>
            <w:r/>
            <w:r>
              <w:rPr>
                <w:rFonts w:ascii="宋体" w:hAnsi="宋体" w:eastAsia="宋体"/>
                <w:b w:val="0"/>
                <w:sz w:val="21"/>
              </w:rPr>
              <w:t>10 (+25%)</w:t>
            </w:r>
          </w:p>
        </w:tc>
        <w:tc>
          <w:tcPr>
            <w:tcW w:type="dxa" w:w="2160"/>
          </w:tcPr>
          <w:p>
            <w:pPr>
              <w:jc w:val="center"/>
            </w:pPr>
            <w:r/>
            <w:r>
              <w:rPr>
                <w:rFonts w:ascii="宋体" w:hAnsi="宋体" w:eastAsia="宋体"/>
                <w:b w:val="0"/>
                <w:sz w:val="21"/>
              </w:rPr>
              <w:t>94.8%</w:t>
            </w:r>
          </w:p>
        </w:tc>
        <w:tc>
          <w:tcPr>
            <w:tcW w:type="dxa" w:w="2160"/>
          </w:tcPr>
          <w:p>
            <w:pPr>
              <w:jc w:val="center"/>
            </w:pPr>
            <w:r/>
            <w:r>
              <w:rPr>
                <w:rFonts w:ascii="宋体" w:hAnsi="宋体" w:eastAsia="宋体"/>
                <w:b w:val="0"/>
                <w:sz w:val="21"/>
              </w:rPr>
              <w:t>任务选择质量提升</w:t>
            </w:r>
          </w:p>
        </w:tc>
      </w:tr>
      <w:tr>
        <w:tc>
          <w:tcPr>
            <w:tcW w:type="dxa" w:w="2160"/>
          </w:tcPr>
          <w:p>
            <w:pPr>
              <w:jc w:val="center"/>
            </w:pPr>
            <w:r/>
            <w:r>
              <w:rPr>
                <w:rFonts w:ascii="宋体" w:hAnsi="宋体" w:eastAsia="宋体"/>
                <w:b w:val="0"/>
                <w:sz w:val="21"/>
              </w:rPr>
              <w:t>+拥堵预测</w:t>
            </w:r>
          </w:p>
        </w:tc>
        <w:tc>
          <w:tcPr>
            <w:tcW w:type="dxa" w:w="2160"/>
          </w:tcPr>
          <w:p>
            <w:pPr>
              <w:jc w:val="center"/>
            </w:pPr>
            <w:r/>
            <w:r>
              <w:rPr>
                <w:rFonts w:ascii="宋体" w:hAnsi="宋体" w:eastAsia="宋体"/>
                <w:b w:val="0"/>
                <w:sz w:val="21"/>
              </w:rPr>
              <w:t>9 (+12.5%)</w:t>
            </w:r>
          </w:p>
        </w:tc>
        <w:tc>
          <w:tcPr>
            <w:tcW w:type="dxa" w:w="2160"/>
          </w:tcPr>
          <w:p>
            <w:pPr>
              <w:jc w:val="center"/>
            </w:pPr>
            <w:r/>
            <w:r>
              <w:rPr>
                <w:rFonts w:ascii="宋体" w:hAnsi="宋体" w:eastAsia="宋体"/>
                <w:b w:val="0"/>
                <w:sz w:val="21"/>
              </w:rPr>
              <w:t>92.7%</w:t>
            </w:r>
          </w:p>
        </w:tc>
        <w:tc>
          <w:tcPr>
            <w:tcW w:type="dxa" w:w="2160"/>
          </w:tcPr>
          <w:p>
            <w:pPr>
              <w:jc w:val="center"/>
            </w:pPr>
            <w:r/>
            <w:r>
              <w:rPr>
                <w:rFonts w:ascii="宋体" w:hAnsi="宋体" w:eastAsia="宋体"/>
                <w:b w:val="0"/>
                <w:sz w:val="21"/>
              </w:rPr>
              <w:t>路径质量提升，可感知环境</w:t>
            </w:r>
          </w:p>
        </w:tc>
      </w:tr>
      <w:tr>
        <w:tc>
          <w:tcPr>
            <w:tcW w:type="dxa" w:w="2160"/>
          </w:tcPr>
          <w:p>
            <w:pPr>
              <w:jc w:val="center"/>
            </w:pPr>
            <w:r/>
            <w:r>
              <w:rPr>
                <w:rFonts w:ascii="宋体" w:hAnsi="宋体" w:eastAsia="宋体"/>
                <w:b w:val="0"/>
                <w:sz w:val="21"/>
              </w:rPr>
              <w:t>+ML+拥堵</w:t>
            </w:r>
          </w:p>
        </w:tc>
        <w:tc>
          <w:tcPr>
            <w:tcW w:type="dxa" w:w="2160"/>
          </w:tcPr>
          <w:p>
            <w:pPr>
              <w:jc w:val="center"/>
            </w:pPr>
            <w:r/>
            <w:r>
              <w:rPr>
                <w:rFonts w:ascii="宋体" w:hAnsi="宋体" w:eastAsia="宋体"/>
                <w:b w:val="0"/>
                <w:sz w:val="21"/>
              </w:rPr>
              <w:t>11 (+37.5%)</w:t>
            </w:r>
          </w:p>
        </w:tc>
        <w:tc>
          <w:tcPr>
            <w:tcW w:type="dxa" w:w="2160"/>
          </w:tcPr>
          <w:p>
            <w:pPr>
              <w:jc w:val="center"/>
            </w:pPr>
            <w:r/>
            <w:r>
              <w:rPr>
                <w:rFonts w:ascii="宋体" w:hAnsi="宋体" w:eastAsia="宋体"/>
                <w:b w:val="0"/>
                <w:sz w:val="21"/>
              </w:rPr>
              <w:t>97.6%</w:t>
            </w:r>
          </w:p>
        </w:tc>
        <w:tc>
          <w:tcPr>
            <w:tcW w:type="dxa" w:w="2160"/>
          </w:tcPr>
          <w:p>
            <w:pPr>
              <w:jc w:val="center"/>
            </w:pPr>
            <w:r/>
            <w:r>
              <w:rPr>
                <w:rFonts w:ascii="宋体" w:hAnsi="宋体" w:eastAsia="宋体"/>
                <w:b w:val="0"/>
                <w:sz w:val="21"/>
              </w:rPr>
              <w:t>协同效应，累计提升最大</w:t>
            </w:r>
          </w:p>
        </w:tc>
      </w:tr>
      <w:tr>
        <w:tc>
          <w:tcPr>
            <w:tcW w:type="dxa" w:w="2160"/>
          </w:tcPr>
          <w:p>
            <w:pPr>
              <w:jc w:val="center"/>
            </w:pPr>
            <w:r/>
            <w:r>
              <w:rPr>
                <w:rFonts w:ascii="宋体" w:hAnsi="宋体" w:eastAsia="宋体"/>
                <w:b w:val="0"/>
                <w:sz w:val="21"/>
              </w:rPr>
              <w:t>+RL协调层</w:t>
            </w:r>
          </w:p>
        </w:tc>
        <w:tc>
          <w:tcPr>
            <w:tcW w:type="dxa" w:w="2160"/>
          </w:tcPr>
          <w:p>
            <w:pPr>
              <w:jc w:val="center"/>
            </w:pPr>
            <w:r/>
            <w:r>
              <w:rPr>
                <w:rFonts w:ascii="宋体" w:hAnsi="宋体" w:eastAsia="宋体"/>
                <w:b w:val="0"/>
                <w:sz w:val="21"/>
              </w:rPr>
              <w:t>11 (+37.5%)</w:t>
            </w:r>
          </w:p>
        </w:tc>
        <w:tc>
          <w:tcPr>
            <w:tcW w:type="dxa" w:w="2160"/>
          </w:tcPr>
          <w:p>
            <w:pPr>
              <w:jc w:val="center"/>
            </w:pPr>
            <w:r/>
            <w:r>
              <w:rPr>
                <w:rFonts w:ascii="宋体" w:hAnsi="宋体" w:eastAsia="宋体"/>
                <w:b w:val="0"/>
                <w:sz w:val="21"/>
              </w:rPr>
              <w:t>97.3%</w:t>
            </w:r>
          </w:p>
        </w:tc>
        <w:tc>
          <w:tcPr>
            <w:tcW w:type="dxa" w:w="2160"/>
          </w:tcPr>
          <w:p>
            <w:pPr>
              <w:jc w:val="center"/>
            </w:pPr>
            <w:r/>
            <w:r>
              <w:rPr>
                <w:rFonts w:ascii="宋体" w:hAnsi="宋体" w:eastAsia="宋体"/>
                <w:b w:val="0"/>
                <w:sz w:val="21"/>
              </w:rPr>
              <w:t>RL在短期(&lt;200步)中有轻微探索开销</w:t>
            </w:r>
          </w:p>
        </w:tc>
      </w:tr>
    </w:tbl>
    <w:p/>
    <w:p>
      <w:pPr>
        <w:spacing w:line="300" w:lineRule="auto"/>
      </w:pPr>
      <w:r>
        <w:rPr>
          <w:rFonts w:ascii="宋体" w:hAnsi="宋体" w:eastAsia="宋体"/>
          <w:b w:val="0"/>
          <w:sz w:val="24"/>
        </w:rPr>
        <w:t>RL Agent在200步的短期仿真中尚未展现出显著优势。这是由于Q-Learning需要充分的探索步骤来填充Q表（90个状态×4个动作=360个Q值），而200步中每车大约只有50次决策机会，ε从0.3衰减到约0.11，Agent此时仍处于"探索为主"的阶段。RL的优势预期在更长训练周期（&gt;1000步，ε&lt;0.01）后才会显著体现。</w:t>
      </w:r>
    </w:p>
    <w:p>
      <w:r>
        <w:rPr>
          <w:rFonts w:ascii="黑体" w:hAnsi="黑体" w:eastAsia="黑体"/>
          <w:b/>
          <w:sz w:val="30"/>
        </w:rPr>
        <w:t>6.2 定性分析</w:t>
      </w:r>
    </w:p>
    <w:p>
      <w:pPr>
        <w:spacing w:line="300" w:lineRule="auto"/>
      </w:pPr>
      <w:r>
        <w:rPr>
          <w:rFonts w:ascii="宋体" w:hAnsi="宋体" w:eastAsia="宋体"/>
          <w:b w:val="0"/>
          <w:sz w:val="24"/>
        </w:rPr>
        <w:t>拥堵热力图分析：在仿真运行过程中，Gate_In入口处和首列泊位Q1附近持续呈现较高拥堵值（EWMA&gt;0.5）。这是因为所有车辆的初始位置在Gate_In，且Q1是距离入口最近的泊位，形成天然瓶颈。拥堵预测器在约40步后将该区域标记为热点，此后A*规划的新路径明显开始绕行该区域（路径从直穿变为绕外圈），验证了"趋势避障"机制的有效性。</w:t>
      </w:r>
    </w:p>
    <w:p>
      <w:pPr>
        <w:spacing w:line="300" w:lineRule="auto"/>
      </w:pPr>
      <w:r>
        <w:rPr>
          <w:rFonts w:ascii="宋体" w:hAnsi="宋体" w:eastAsia="宋体"/>
          <w:b w:val="0"/>
          <w:sz w:val="24"/>
        </w:rPr>
        <w:t>任务类型分布：IMPORT类型任务完成率最高（紧急度高，ML模型自动将其优先级提升），TRANSSHIPMENT次之。EXPORT任务起点在Gate_In（所有卡车初始位置附近），在纯距离策略下被过度优先分配，而在ML策略下被合理地排到了更紧急的IMPORT任务之后——这正是ML增强所带来的"业务感知"能力的体现。</w:t>
      </w:r>
    </w:p>
    <w:p>
      <w:pPr>
        <w:spacing w:line="300" w:lineRule="auto"/>
      </w:pPr>
      <w:r>
        <w:rPr>
          <w:rFonts w:ascii="宋体" w:hAnsi="宋体" w:eastAsia="宋体"/>
          <w:b w:val="0"/>
          <w:sz w:val="24"/>
        </w:rPr>
        <w:t>匈牙利vs RL对比：在200步仿真中，匈牙利算法（含ML增强）的确定性最优分配在当前场景下优于RL的探索性决策。但RL的潜在优势在于：当任务到达模式发生变化（如突发大量IMPORT任务），RL Agent可以自适应地调整决策偏好，而匈牙利算法因其确定性无法做出类似的适应性改变。</w:t>
      </w:r>
    </w:p>
    <w:p>
      <w:r>
        <w:rPr>
          <w:rFonts w:ascii="黑体" w:hAnsi="黑体" w:eastAsia="黑体"/>
          <w:b/>
          <w:sz w:val="36"/>
        </w:rPr>
        <w:t>七、交互界面</w:t>
      </w:r>
    </w:p>
    <w:p>
      <w:pPr>
        <w:spacing w:line="300" w:lineRule="auto"/>
      </w:pPr>
      <w:r>
        <w:rPr>
          <w:rFonts w:ascii="宋体" w:hAnsi="宋体" w:eastAsia="宋体"/>
          <w:b w:val="0"/>
          <w:sz w:val="24"/>
        </w:rPr>
        <w:t>系统提供两种运行模式，通过命令行参数--mode切换。</w:t>
      </w:r>
    </w:p>
    <w:p>
      <w:r>
        <w:rPr>
          <w:rFonts w:ascii="黑体" w:hAnsi="黑体" w:eastAsia="黑体"/>
          <w:b/>
          <w:sz w:val="30"/>
        </w:rPr>
        <w:t>7.1 Matplotlib桌面模式</w:t>
      </w:r>
    </w:p>
    <w:p>
      <w:pPr>
        <w:spacing w:line="300" w:lineRule="auto"/>
      </w:pPr>
      <w:r>
        <w:rPr>
          <w:rFonts w:ascii="宋体" w:hAnsi="宋体" w:eastAsia="宋体"/>
          <w:b w:val="0"/>
          <w:sz w:val="24"/>
        </w:rPr>
        <w:t>执行命令：python main.py --mode matplotlib --trucks 6 --cols 10 --rows 5</w:t>
      </w:r>
    </w:p>
    <w:p>
      <w:pPr>
        <w:spacing w:line="300" w:lineRule="auto"/>
      </w:pPr>
      <w:r>
        <w:rPr>
          <w:rFonts w:ascii="宋体" w:hAnsi="宋体" w:eastAsia="宋体"/>
          <w:b w:val="0"/>
          <w:sz w:val="24"/>
        </w:rPr>
        <w:t>运行后弹出Matplotlib窗口，实时渲染港口地图、任务位置（蓝色空心圆，大小反映紧急度）、卡车位置（彩色方块）、规划路径（彩色虚线）和拥堵热力图（红色半透明叠加层）。底部提供"Add Task"和"Toggle ML/Ignore"两个按钮，支持手动添加任务和ML模式一键切换。标题栏实时显示完成数、待处理数、平均等待时间和车辆利用率。</w:t>
      </w:r>
    </w:p>
    <w:p>
      <w:r>
        <w:rPr>
          <w:rFonts w:ascii="黑体" w:hAnsi="黑体" w:eastAsia="黑体"/>
          <w:b/>
          <w:sz w:val="30"/>
        </w:rPr>
        <w:t>7.2 Web可视化模式</w:t>
      </w:r>
    </w:p>
    <w:p>
      <w:pPr>
        <w:spacing w:line="300" w:lineRule="auto"/>
      </w:pPr>
      <w:r>
        <w:rPr>
          <w:rFonts w:ascii="宋体" w:hAnsi="宋体" w:eastAsia="宋体"/>
          <w:b w:val="0"/>
          <w:sz w:val="24"/>
        </w:rPr>
        <w:t>执行命令：python main.py --mode web --trucks 6 --cols 10 --rows 5，浏览器访问 http://127.0.0.1:5000 。</w:t>
      </w:r>
    </w:p>
    <w:p>
      <w:pPr>
        <w:spacing w:line="300" w:lineRule="auto"/>
      </w:pPr>
      <w:r>
        <w:rPr>
          <w:rFonts w:ascii="宋体" w:hAnsi="宋体" w:eastAsia="宋体"/>
          <w:b w:val="0"/>
          <w:sz w:val="24"/>
        </w:rPr>
        <w:t>界面采用左右分栏布局。左侧320px控制面板包含：指标卡片（完成任务数、待处理数、平均等待时间、车辆利用率）、控制按钮组（启动/暂停、停止、重置、添加任务、单步执行）、模块开关（ML预测ON/OFF、拥堵预测ON/OFF，用于实时对比实验）、速度滑块（0.01s~0.2s/步，控制自动运行速率）、待处理任务列表（前10个，高紧急度红色左边框高亮）、实时车辆状态列表（车号、状态、利用率、行程数）。</w:t>
      </w:r>
    </w:p>
    <w:p>
      <w:pPr>
        <w:spacing w:line="300" w:lineRule="auto"/>
      </w:pPr>
      <w:r>
        <w:rPr>
          <w:rFonts w:ascii="宋体" w:hAnsi="宋体" w:eastAsia="宋体"/>
          <w:b w:val="0"/>
          <w:sz w:val="24"/>
        </w:rPr>
        <w:t>右侧Canvas画布自适应填充剩余空间，支持鼠标拖拽平移视口和滚轮0.5×~5×无极缩放。渲染逻辑完全基于后端API返回的JSON数据，与仿真计算解耦。拥堵热力图以半透明红色矩形叠加在道路上，直观展示各区域的拥堵程度差异。每辆卡车右上角有圆形状态指示灯——绿色表示空闲、黄色表示取箱途中、红色表示运输途中。</w:t>
      </w:r>
    </w:p>
    <w:p>
      <w:r>
        <w:rPr>
          <w:rFonts w:ascii="黑体" w:hAnsi="黑体" w:eastAsia="黑体"/>
          <w:b/>
          <w:sz w:val="36"/>
        </w:rPr>
        <w:t>八、总结</w:t>
      </w:r>
    </w:p>
    <w:p>
      <w:r>
        <w:rPr>
          <w:rFonts w:ascii="黑体" w:hAnsi="黑体" w:eastAsia="黑体"/>
          <w:b/>
          <w:sz w:val="30"/>
        </w:rPr>
        <w:t>8.1 完成内容</w:t>
      </w:r>
    </w:p>
    <w:p>
      <w:pPr>
        <w:spacing w:line="300" w:lineRule="auto"/>
      </w:pPr>
      <w:r>
        <w:rPr>
          <w:rFonts w:ascii="宋体" w:hAnsi="宋体" w:eastAsia="宋体"/>
          <w:b w:val="0"/>
          <w:sz w:val="24"/>
        </w:rPr>
        <w:t>本课程设计完成了一套完整的港口集卡路径规划与任务分配智能调度系统，主要成果包括以下六个方面：</w:t>
      </w:r>
    </w:p>
    <w:p>
      <w:pPr>
        <w:spacing w:line="300" w:lineRule="auto"/>
      </w:pPr>
      <w:r>
        <w:rPr>
          <w:rFonts w:ascii="宋体" w:hAnsi="宋体" w:eastAsia="宋体"/>
          <w:b w:val="0"/>
          <w:sz w:val="24"/>
        </w:rPr>
        <w:t>（1）港口环境建模：实现了可配置规模（8×3至20×10）的随机港口布局生成器，支持泊位区、堆场块、巷道网络的自动构建和动态间距压缩，节点注册去重机制保证大规模场景的数据一致性。</w:t>
      </w:r>
    </w:p>
    <w:p>
      <w:pPr>
        <w:spacing w:line="300" w:lineRule="auto"/>
      </w:pPr>
      <w:r>
        <w:rPr>
          <w:rFonts w:ascii="宋体" w:hAnsi="宋体" w:eastAsia="宋体"/>
          <w:b w:val="0"/>
          <w:sz w:val="24"/>
        </w:rPr>
        <w:t>（2）增强A*路径规划：在标准启发式搜索基础上集成了"即时避障+趋势避障"双层拥堵惩罚机制，引入EWMA时序预测（α=0.3）和热点识别（阈值0.6），使路径规划具备环境感知和趋势预判能力。</w:t>
      </w:r>
    </w:p>
    <w:p>
      <w:pPr>
        <w:spacing w:line="300" w:lineRule="auto"/>
      </w:pPr>
      <w:r>
        <w:rPr>
          <w:rFonts w:ascii="宋体" w:hAnsi="宋体" w:eastAsia="宋体"/>
          <w:b w:val="0"/>
          <w:sz w:val="24"/>
        </w:rPr>
        <w:t>（3）ML增强任务分配：构建了基于随机森林回归（10棵决策树）的任务价值预测模型，以四维特征（紧急度、距离、等待时间、任务类型）融合评分替代纯距离成本，支持在线增量学习和模型持久化。</w:t>
      </w:r>
    </w:p>
    <w:p>
      <w:pPr>
        <w:spacing w:line="300" w:lineRule="auto"/>
      </w:pPr>
      <w:r>
        <w:rPr>
          <w:rFonts w:ascii="宋体" w:hAnsi="宋体" w:eastAsia="宋体"/>
          <w:b w:val="0"/>
          <w:sz w:val="24"/>
        </w:rPr>
        <w:t>（4）多智能体Q-Learning：为每辆车设计了独立RL Agent（90种状态×4种动作），配备epsilon-greedy探索、Q值比较冲突消解和多目标奖励函数（完成+10/碰撞-5/空闲-0.05/移动-0.5）。</w:t>
      </w:r>
    </w:p>
    <w:p>
      <w:pPr>
        <w:spacing w:line="300" w:lineRule="auto"/>
      </w:pPr>
      <w:r>
        <w:rPr>
          <w:rFonts w:ascii="宋体" w:hAnsi="宋体" w:eastAsia="宋体"/>
          <w:b w:val="0"/>
          <w:sz w:val="24"/>
        </w:rPr>
        <w:t>（5）Web可视化平台：基于Flask+Canvas技术栈，实现了6个RESTful API端点、仿真-计算-渲染三者分离的架构、以及支持拖拽/缩放/模块开关/速度调节的交互式仪表盘。</w:t>
      </w:r>
    </w:p>
    <w:p>
      <w:pPr>
        <w:spacing w:line="300" w:lineRule="auto"/>
      </w:pPr>
      <w:r>
        <w:rPr>
          <w:rFonts w:ascii="宋体" w:hAnsi="宋体" w:eastAsia="宋体"/>
          <w:b w:val="0"/>
          <w:sz w:val="24"/>
        </w:rPr>
        <w:t>（6）系统性能验证：在462节点、10车的大规模场景下以430步/秒速率稳定运行，车辆利用率98.4%。消融实验验证了ML预测（+25%完成数）和拥堵预测（+12.5%完成数）的独立贡献，以及两者协同的累加效应（+37.5%完成数）。</w:t>
      </w:r>
    </w:p>
    <w:p>
      <w:r>
        <w:rPr>
          <w:rFonts w:ascii="黑体" w:hAnsi="黑体" w:eastAsia="黑体"/>
          <w:b/>
          <w:sz w:val="30"/>
        </w:rPr>
        <w:t>8.2 分工说明</w:t>
      </w:r>
    </w:p>
    <w:p>
      <w:pPr>
        <w:spacing w:line="300" w:lineRule="auto"/>
      </w:pPr>
      <w:r>
        <w:rPr>
          <w:rFonts w:ascii="宋体" w:hAnsi="宋体" w:eastAsia="宋体"/>
          <w:b w:val="0"/>
          <w:sz w:val="24"/>
        </w:rPr>
        <w:t>本项目为个人独立完成。所有模块——包括港口环境建模、A*路径规划算法、匈牙利任务分配算法、任务价值预测模型（随机森林）、拥堵趋势预测器（EWMA+热点）、多智能体Q-Learning框架、Flask Web服务器、HTML5 Canvas前端——均由本人设计并编码实现。模块间接口设计、系统架构规划、实验设计与数据分析也由本人独立完成。</w:t>
      </w:r>
    </w:p>
    <w:p>
      <w:r>
        <w:rPr>
          <w:rFonts w:ascii="黑体" w:hAnsi="黑体" w:eastAsia="黑体"/>
          <w:b/>
          <w:sz w:val="30"/>
        </w:rPr>
        <w:t>8.3 心得体会</w:t>
      </w:r>
    </w:p>
    <w:p>
      <w:pPr>
        <w:spacing w:line="300" w:lineRule="auto"/>
      </w:pPr>
      <w:r>
        <w:rPr>
          <w:rFonts w:ascii="宋体" w:hAnsi="宋体" w:eastAsia="宋体"/>
          <w:b w:val="0"/>
          <w:sz w:val="24"/>
        </w:rPr>
        <w:t>通过本次课程设计，我对港口物流调度问题有了从理论到实践的完整理解。最大的收获是认识到：单一算法（无论是A*还是匈牙利算法）在解决实际问题时是不够的，真正的系统价值在于多个模块的有机协同。例如，ML预测告诉车"该做什么"，拥堵预测告诉车"该走哪里"，强化学习则试图让车"自己学会"这两件事。每个模块单独看都不复杂，但将它们有效集成到一个统一框架中，并确保接口清晰、数据流通畅、开关可控，是本次课程设计最具挑战性的部分。</w:t>
      </w:r>
    </w:p>
    <w:p>
      <w:pPr>
        <w:spacing w:line="300" w:lineRule="auto"/>
      </w:pPr>
      <w:r>
        <w:rPr>
          <w:rFonts w:ascii="宋体" w:hAnsi="宋体" w:eastAsia="宋体"/>
          <w:b w:val="0"/>
          <w:sz w:val="24"/>
        </w:rPr>
        <w:t>在实现过程中，遇到的三个主要技术难点及其解决方案：第一，A*算法如何在不显著增加计算复杂度的前提下引入拥堵感知——最终采用在边代价层面线性叠加惩罚项的方式，不改变搜索框架本身，计算开销可控。第二，ML模型如何在无外部训练数据的情况下运行——设计了"基模型+在线学习"的架构，初始依赖合理的先验权重，随着仿真运行自动积累训练数据并微调参数，实现了冷启动到持续优化的平滑过渡。第三，多智能体RL如何避免"囚徒困境"式的恶性竞争——通过MultiAgentCoordinator的Q值比较机制进行集中式冲突消解，在保持Agent独立性的同时避免了多车争抢同一任务的低效行为。</w:t>
      </w:r>
    </w:p>
    <w:p>
      <w:pPr>
        <w:spacing w:line="300" w:lineRule="auto"/>
      </w:pPr>
      <w:r>
        <w:rPr>
          <w:rFonts w:ascii="宋体" w:hAnsi="宋体" w:eastAsia="宋体"/>
          <w:b w:val="0"/>
          <w:sz w:val="24"/>
        </w:rPr>
        <w:t>这次课程设计让我深刻体会到，算法工程师不仅需要掌握单个算法的原理，更需要具备系统集成的能力——如何让多个算法组件协同工作，如何在性能和可维护性之间找到平衡，如何设计实验来验证每个模块的真实贡献。这些能力在未来的工程实践中将至关重要。</w:t>
      </w:r>
    </w:p>
    <w:p>
      <w:r>
        <w:rPr>
          <w:rFonts w:ascii="黑体" w:hAnsi="黑体" w:eastAsia="黑体"/>
          <w:b/>
          <w:sz w:val="30"/>
        </w:rPr>
        <w:t>8.4 未来改进方向</w:t>
      </w:r>
    </w:p>
    <w:p>
      <w:pPr>
        <w:spacing w:line="300" w:lineRule="auto"/>
      </w:pPr>
      <w:r>
        <w:rPr>
          <w:rFonts w:ascii="宋体" w:hAnsi="宋体" w:eastAsia="宋体"/>
          <w:b w:val="0"/>
          <w:sz w:val="24"/>
        </w:rPr>
        <w:t>（1）深度强化学习升级：将当前的Q-Learning（离散状态+字典Q表）升级为DQN或PPO，使用PyTorch处理连续状态空间（直接使用车辆坐标、速度等连续值），预期可突破90种离散状态的表达能力瓶颈，使RL在更长训练周期中展现出超越匈牙利算法的调度智能。</w:t>
      </w:r>
    </w:p>
    <w:p>
      <w:pPr>
        <w:spacing w:line="300" w:lineRule="auto"/>
      </w:pPr>
      <w:r>
        <w:rPr>
          <w:rFonts w:ascii="宋体" w:hAnsi="宋体" w:eastAsia="宋体"/>
          <w:b w:val="0"/>
          <w:sz w:val="24"/>
        </w:rPr>
        <w:t>（2）真实数据驱动：对接实际港口TOS（Terminal Operating System）的作业日志数据，用真实的历史任务记录训练ML模型和拥堵预测器，使系统从"仿真游戏"升级为"数字孪生"验证平台。</w:t>
      </w:r>
    </w:p>
    <w:p>
      <w:pPr>
        <w:spacing w:line="300" w:lineRule="auto"/>
      </w:pPr>
      <w:r>
        <w:rPr>
          <w:rFonts w:ascii="宋体" w:hAnsi="宋体" w:eastAsia="宋体"/>
          <w:b w:val="0"/>
          <w:sz w:val="24"/>
        </w:rPr>
        <w:t>（3）多目标优化框架：引入Pareto前沿优化或自适应加权目标函数，同时优化完工时间、车辆能耗、驾驶员工作均衡度等多个业务目标，使调度策略更贴近实际港口运营的综合考核需求。</w:t>
      </w:r>
    </w:p>
    <w:p>
      <w:pPr>
        <w:spacing w:line="300" w:lineRule="auto"/>
      </w:pPr>
      <w:r>
        <w:rPr>
          <w:rFonts w:ascii="宋体" w:hAnsi="宋体" w:eastAsia="宋体"/>
          <w:b w:val="0"/>
          <w:sz w:val="24"/>
        </w:rPr>
        <w:t>（4）容器化与生产级部署：使用Docker容器化整个仿真和Web服务栈，配合Gunicorn+Nginx实现生产级的并发Web服务，支持多用户同时访问和独立仿真会话。</w:t>
      </w:r>
    </w:p>
    <w:p>
      <w:r>
        <w:rPr>
          <w:rFonts w:ascii="黑体" w:hAnsi="黑体" w:eastAsia="黑体"/>
          <w:b/>
          <w:sz w:val="36"/>
        </w:rPr>
        <w:t>参考文献</w:t>
      </w:r>
    </w:p>
    <w:p>
      <w:pPr>
        <w:spacing w:line="240" w:lineRule="auto"/>
      </w:pPr>
      <w:r>
        <w:rPr>
          <w:rFonts w:ascii="Times New Roman" w:hAnsi="Times New Roman" w:eastAsia="Times New Roman"/>
          <w:b w:val="0"/>
          <w:sz w:val="18"/>
        </w:rPr>
        <w:t>[1] H. W. Kuhn, "The Hungarian method for the assignment problem," Naval Research Logistics Quarterly, vol. 2, no. 1-2, pp. 83–97, 1955.</w:t>
      </w:r>
    </w:p>
    <w:p>
      <w:pPr>
        <w:spacing w:line="240" w:lineRule="auto"/>
      </w:pPr>
      <w:r>
        <w:rPr>
          <w:rFonts w:ascii="Times New Roman" w:hAnsi="Times New Roman" w:eastAsia="Times New Roman"/>
          <w:b w:val="0"/>
          <w:sz w:val="18"/>
        </w:rPr>
        <w:t>[2] P. E. Hart, N. J. Nilsson, and B. Raphael, "A Formal Basis for the Heuristic Determination of Minimum Cost Paths," IEEE Transactions on Systems Science and Cybernetics, vol. 4, no. 2, pp. 100–107, 1968.</w:t>
      </w:r>
    </w:p>
    <w:p>
      <w:pPr>
        <w:spacing w:line="240" w:lineRule="auto"/>
      </w:pPr>
      <w:r>
        <w:rPr>
          <w:rFonts w:ascii="Times New Roman" w:hAnsi="Times New Roman" w:eastAsia="Times New Roman"/>
          <w:b w:val="0"/>
          <w:sz w:val="18"/>
        </w:rPr>
        <w:t>[3] S. Koenig and M. Likhachev, "D* Lite," in Proceedings of the AAAI Conference on Artificial Intelligence, 2002, pp. 476–483.</w:t>
      </w:r>
    </w:p>
    <w:p>
      <w:pPr>
        <w:spacing w:line="240" w:lineRule="auto"/>
      </w:pPr>
      <w:r>
        <w:rPr>
          <w:rFonts w:ascii="Times New Roman" w:hAnsi="Times New Roman" w:eastAsia="Times New Roman"/>
          <w:b w:val="0"/>
          <w:sz w:val="18"/>
        </w:rPr>
        <w:t>[4] M. Likhachev, G. J. Gordon, and S. Thrun, "ARA*: Anytime A* with Provable Bounds on Sub-Optimality," in Advances in Neural Information Processing Systems, 2003.</w:t>
      </w:r>
    </w:p>
    <w:p>
      <w:pPr>
        <w:spacing w:line="240" w:lineRule="auto"/>
      </w:pPr>
      <w:r>
        <w:rPr>
          <w:rFonts w:ascii="Times New Roman" w:hAnsi="Times New Roman" w:eastAsia="Times New Roman"/>
          <w:b w:val="0"/>
          <w:sz w:val="18"/>
        </w:rPr>
        <w:t>[5] R. Lowe, Y. Wu, A. Tamar, J. Harb, P. Abbeel, and I. Mordatch, "Multi-Agent Actor-Critic for Mixed Cooperative-Competitive Environments," in Advances in Neural Information Processing Systems, 2017.</w:t>
      </w:r>
    </w:p>
    <w:p>
      <w:pPr>
        <w:spacing w:line="240" w:lineRule="auto"/>
      </w:pPr>
      <w:r>
        <w:rPr>
          <w:rFonts w:ascii="Times New Roman" w:hAnsi="Times New Roman" w:eastAsia="Times New Roman"/>
          <w:b w:val="0"/>
          <w:sz w:val="18"/>
        </w:rPr>
        <w:t>[6] T. Rashid, M. Samvelyan, C. S. de Witt, G. Farquhar, J. Foerster, and S. Whiteson, "QMIX: Monotonic Value Function Factorisation for Deep Multi-Agent Reinforcement Learning," in Proceedings of ICML,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