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52"/>
          <w:szCs w:val="52"/>
        </w:rPr>
        <w:t xml:space="preserve">ITMAP FACT-CHECK REVIEW</w:t>
      </w:r>
    </w:p>
    <w:p>
      <w:pPr>
        <w:spacing w:after="60"/>
      </w:pPr>
      <w:r>
        <w:rPr>
          <w:rFonts w:ascii="Calibri" w:cs="Calibri" w:eastAsia="Calibri" w:hAnsi="Calibri"/>
          <w:color w:val="6B7280"/>
          <w:sz w:val="30"/>
          <w:szCs w:val="30"/>
        </w:rPr>
        <w:t xml:space="preserve">NeuralTrust  ·  Agentic AI Security Market</w:t>
      </w:r>
    </w:p>
    <w:p>
      <w:pPr>
        <w:spacing w:after="40"/>
      </w:pPr>
      <w:r>
        <w:rPr>
          <w:rFonts w:ascii="Calibri" w:cs="Calibri" w:eastAsia="Calibri" w:hAnsi="Calibri"/>
          <w:i/>
          <w:iCs/>
          <w:color w:val="94A3B8"/>
          <w:sz w:val="22"/>
          <w:szCs w:val="22"/>
        </w:rPr>
        <w:t xml:space="preserve">Submitted: 30 July 2026  ·  Status: All Pending Review</w:t>
      </w:r>
    </w:p>
    <w:p>
      <w:pPr>
        <w:spacing w:after="300"/>
      </w:pPr>
      <w:r>
        <w:rPr>
          <w:rFonts w:ascii="Calibri" w:cs="Calibri" w:eastAsia="Calibri" w:hAnsi="Calibri"/>
          <w:i/>
          <w:iCs/>
          <w:color w:val="94A3B8"/>
          <w:sz w:val="22"/>
          <w:szCs w:val="22"/>
        </w:rPr>
        <w:t xml:space="preserve">Total submissions: 49  ·  Score changes requested: 45  ·  No change / comment only: 4</w:t>
      </w:r>
    </w:p>
    <w:p>
      <w:pPr>
        <w:spacing w:after="120" w:before="200"/>
      </w:pPr>
      <w:r>
        <w:rPr>
          <w:rFonts w:ascii="Calibri" w:cs="Calibri" w:eastAsia="Calibri" w:hAnsi="Calibri"/>
          <w:b/>
          <w:bCs/>
          <w:color w:val="1E3A5F"/>
          <w:sz w:val="26"/>
          <w:szCs w:val="26"/>
        </w:rPr>
        <w:t xml:space="preserve">Summary of Score Change Requests</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gridCol w:w="100"/>
        <w:gridCol w:w="100"/>
      </w:tblGrid>
      <w:tr>
        <w:trPr>
          <w:tblHeader/>
        </w:trP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Feature</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Δ</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w:t>
            </w:r>
          </w:p>
        </w:tc>
        <w:tc>
          <w:tcPr>
            <w:shd w:color="F8FAFC" w:val="solid"/>
            <w:tcMar>
              <w:top w:type="dxa" w:w="60"/>
              <w:left w:type="dxa" w:w="100"/>
              <w:bottom w:type="dxa" w:w="60"/>
              <w:right w:type="dxa" w:w="100"/>
            </w:tcMar>
          </w:tcPr>
          <w:p>
            <w:r>
              <w:rPr>
                <w:rFonts w:ascii="Calibri" w:cs="Calibri" w:eastAsia="Calibri" w:hAnsi="Calibri"/>
                <w:b w:val="false"/>
                <w:bCs w:val="false"/>
                <w:color w:val="374151"/>
                <w:sz w:val="18"/>
                <w:szCs w:val="18"/>
              </w:rPr>
              <w:t xml:space="preserve">AI Observability Tools</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8FAFC" w:val="solid"/>
            <w:tcMar>
              <w:top w:type="dxa" w:w="60"/>
              <w:left w:type="dxa" w:w="100"/>
              <w:bottom w:type="dxa" w:w="60"/>
              <w:right w:type="dxa" w:w="100"/>
            </w:tcMar>
          </w:tcPr>
          <w:p>
            <w:pPr>
              <w:jc w:val="center"/>
            </w:pPr>
            <w:r>
              <w:rPr>
                <w:rFonts w:ascii="Calibri" w:cs="Calibri" w:eastAsia="Calibri" w:hAnsi="Calibri"/>
                <w:b w:val="false"/>
                <w:bCs w:val="false"/>
                <w:color w:val="6B7280"/>
                <w:sz w:val="18"/>
                <w:szCs w:val="18"/>
              </w:rPr>
              <w:t xml:space="preserve">—</w:t>
            </w:r>
          </w:p>
        </w:tc>
        <w:tc>
          <w:tcPr>
            <w:shd w:color="F8FAFC" w:val="solid"/>
            <w:tcMar>
              <w:top w:type="dxa" w:w="60"/>
              <w:left w:type="dxa" w:w="100"/>
              <w:bottom w:type="dxa" w:w="60"/>
              <w:right w:type="dxa" w:w="100"/>
            </w:tcMar>
          </w:tcPr>
          <w:p>
            <w:pPr>
              <w:jc w:val="center"/>
            </w:pPr>
            <w:r>
              <w:rPr>
                <w:rFonts w:ascii="Calibri" w:cs="Calibri" w:eastAsia="Calibri" w:hAnsi="Calibri"/>
                <w:b w:val="false"/>
                <w:bCs w:val="false"/>
                <w:color w:val="94A3B8"/>
                <w:sz w:val="18"/>
                <w:szCs w:val="18"/>
              </w:rPr>
              <w:t xml:space="preserve">—</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AI Supply Chain Assessment</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w:t>
            </w:r>
          </w:p>
        </w:tc>
        <w:tc>
          <w:tcPr>
            <w:shd w:color="F8FAFC" w:val="solid"/>
            <w:tcMar>
              <w:top w:type="dxa" w:w="60"/>
              <w:left w:type="dxa" w:w="100"/>
              <w:bottom w:type="dxa" w:w="60"/>
              <w:right w:type="dxa" w:w="100"/>
            </w:tcMar>
          </w:tcPr>
          <w:p>
            <w:r>
              <w:rPr>
                <w:rFonts w:ascii="Calibri" w:cs="Calibri" w:eastAsia="Calibri" w:hAnsi="Calibri"/>
                <w:b w:val="false"/>
                <w:bCs w:val="false"/>
                <w:color w:val="374151"/>
                <w:sz w:val="18"/>
                <w:szCs w:val="18"/>
              </w:rPr>
              <w:t xml:space="preserve">AWS Bedrock AgentCore</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8FAFC" w:val="solid"/>
            <w:tcMar>
              <w:top w:type="dxa" w:w="60"/>
              <w:left w:type="dxa" w:w="100"/>
              <w:bottom w:type="dxa" w:w="60"/>
              <w:right w:type="dxa" w:w="100"/>
            </w:tcMar>
          </w:tcPr>
          <w:p>
            <w:pPr>
              <w:jc w:val="center"/>
            </w:pPr>
            <w:r>
              <w:rPr>
                <w:rFonts w:ascii="Calibri" w:cs="Calibri" w:eastAsia="Calibri" w:hAnsi="Calibri"/>
                <w:b w:val="false"/>
                <w:bCs w:val="false"/>
                <w:color w:val="6B7280"/>
                <w:sz w:val="18"/>
                <w:szCs w:val="18"/>
              </w:rPr>
              <w:t xml:space="preserve">—</w:t>
            </w:r>
          </w:p>
        </w:tc>
        <w:tc>
          <w:tcPr>
            <w:shd w:color="F8FAFC" w:val="solid"/>
            <w:tcMar>
              <w:top w:type="dxa" w:w="60"/>
              <w:left w:type="dxa" w:w="100"/>
              <w:bottom w:type="dxa" w:w="60"/>
              <w:right w:type="dxa" w:w="100"/>
            </w:tcMar>
          </w:tcPr>
          <w:p>
            <w:pPr>
              <w:jc w:val="center"/>
            </w:pPr>
            <w:r>
              <w:rPr>
                <w:rFonts w:ascii="Calibri" w:cs="Calibri" w:eastAsia="Calibri" w:hAnsi="Calibri"/>
                <w:b w:val="false"/>
                <w:bCs w:val="false"/>
                <w:color w:val="94A3B8"/>
                <w:sz w:val="18"/>
                <w:szCs w:val="18"/>
              </w:rPr>
              <w:t xml:space="preserve">—</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Access Certification &amp; Review</w:t>
            </w:r>
          </w:p>
        </w:tc>
        <w:tc>
          <w:tcPr>
            <w:shd w:color="FFFFFF" w:val="solid"/>
            <w:tcMar>
              <w:top w:type="dxa" w:w="60"/>
              <w:left w:type="dxa" w:w="100"/>
              <w:bottom w:type="dxa" w:w="60"/>
              <w:right w:type="dxa" w:w="100"/>
            </w:tcMar>
          </w:tcPr>
          <w:p>
            <w:pPr>
              <w:jc w:val="center"/>
            </w:pPr>
            <w:r>
              <w:rPr>
                <w:rFonts w:ascii="Calibri" w:cs="Calibri" w:eastAsia="Calibri" w:hAnsi="Calibri"/>
                <w:color w:val="DC2626"/>
                <w:sz w:val="18"/>
                <w:szCs w:val="18"/>
              </w:rPr>
              <w:t xml:space="preserve">0 — Not Supported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5</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Action Approval Workflows</w:t>
            </w:r>
          </w:p>
        </w:tc>
        <w:tc>
          <w:tcPr>
            <w:shd w:color="F8FAFC" w:val="solid"/>
            <w:tcMar>
              <w:top w:type="dxa" w:w="60"/>
              <w:left w:type="dxa" w:w="100"/>
              <w:bottom w:type="dxa" w:w="60"/>
              <w:right w:type="dxa" w:w="100"/>
            </w:tcMar>
          </w:tcPr>
          <w:p>
            <w:pPr>
              <w:jc w:val="center"/>
            </w:pPr>
            <w:r>
              <w:rPr>
                <w:rFonts w:ascii="Calibri" w:cs="Calibri" w:eastAsia="Calibri" w:hAnsi="Calibri"/>
                <w:color w:val="DC2626"/>
                <w:sz w:val="18"/>
                <w:szCs w:val="18"/>
              </w:rPr>
              <w:t xml:space="preserve">0 — Not Supported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6</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Admin API &amp; Automation</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7</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Agent Identity Issuance</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8</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Agent Ownership Attribution</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9</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Agent-to-Agent Authentication</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10</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Autonomous Kill Switch</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11</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Behavioural Baselining</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12</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Blast Radius Limiting</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13</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CI/CD Platforms</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14</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Cloud Provider IAM</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15</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Collaboration Alerting</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16</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Continuous Testing Cadence</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17</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Credential &amp; Scope Mapping</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18</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CrewAI &amp; LlamaIndex</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19</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Data Access Mapping</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20</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Data Exfiltration Detection</w:t>
            </w:r>
          </w:p>
        </w:tc>
        <w:tc>
          <w:tcPr>
            <w:shd w:color="FFFFFF" w:val="solid"/>
            <w:tcMar>
              <w:top w:type="dxa" w:w="60"/>
              <w:left w:type="dxa" w:w="100"/>
              <w:bottom w:type="dxa" w:w="60"/>
              <w:right w:type="dxa" w:w="100"/>
            </w:tcMar>
          </w:tcPr>
          <w:p>
            <w:pPr>
              <w:jc w:val="center"/>
            </w:pPr>
            <w:r>
              <w:rPr>
                <w:rFonts w:ascii="Calibri" w:cs="Calibri" w:eastAsia="Calibri" w:hAnsi="Calibri"/>
                <w:color w:val="15803D"/>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21</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Data Platforms</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22</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Data Scope Restrictions</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23</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Full Session Tracing</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24</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Goal Hijacking Detection</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25</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Google Agentspace &amp; ADK</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26</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Hugging Face Hub</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27</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Incident Reconstruction</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28</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Indirect Injection Defense</w:t>
            </w:r>
          </w:p>
        </w:tc>
        <w:tc>
          <w:tcPr>
            <w:shd w:color="FFFFFF" w:val="solid"/>
            <w:tcMar>
              <w:top w:type="dxa" w:w="60"/>
              <w:left w:type="dxa" w:w="100"/>
              <w:bottom w:type="dxa" w:w="60"/>
              <w:right w:type="dxa" w:w="100"/>
            </w:tcMar>
          </w:tcPr>
          <w:p>
            <w:pPr>
              <w:jc w:val="center"/>
            </w:pPr>
            <w:r>
              <w:rPr>
                <w:rFonts w:ascii="Calibri" w:cs="Calibri" w:eastAsia="Calibri" w:hAnsi="Calibri"/>
                <w:color w:val="15803D"/>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29</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Inter-Agent Traffic Inspection</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30</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LangChain &amp; LangGraph</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31</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Least-Privilege Scope Control</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32</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Memory &amp; Context Poisoning</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33</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Microsoft Azure Marketplace</w:t>
            </w:r>
          </w:p>
        </w:tc>
        <w:tc>
          <w:tcPr>
            <w:shd w:color="F8FAFC" w:val="solid"/>
            <w:tcMar>
              <w:top w:type="dxa" w:w="60"/>
              <w:left w:type="dxa" w:w="100"/>
              <w:bottom w:type="dxa" w:w="60"/>
              <w:right w:type="dxa" w:w="100"/>
            </w:tcMar>
          </w:tcPr>
          <w:p>
            <w:pPr>
              <w:jc w:val="center"/>
            </w:pPr>
            <w:r>
              <w:rPr>
                <w:rFonts w:ascii="Calibri" w:cs="Calibri" w:eastAsia="Calibri" w:hAnsi="Calibri"/>
                <w:color w:val="DC2626"/>
                <w:sz w:val="18"/>
                <w:szCs w:val="18"/>
              </w:rPr>
              <w:t xml:space="preserve">0 — Not Supported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34</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Microsoft Sentinel</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35</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Model &amp; Artifact Scanning</w:t>
            </w:r>
          </w:p>
        </w:tc>
        <w:tc>
          <w:tcPr>
            <w:shd w:color="F8FAFC" w:val="solid"/>
            <w:tcMar>
              <w:top w:type="dxa" w:w="60"/>
              <w:left w:type="dxa" w:w="100"/>
              <w:bottom w:type="dxa" w:w="60"/>
              <w:right w:type="dxa" w:w="100"/>
            </w:tcMar>
          </w:tcPr>
          <w:p>
            <w:pPr>
              <w:jc w:val="center"/>
            </w:pPr>
            <w:r>
              <w:rPr>
                <w:rFonts w:ascii="Calibri" w:cs="Calibri" w:eastAsia="Calibri" w:hAnsi="Calibri"/>
                <w:color w:val="DC2626"/>
                <w:sz w:val="18"/>
                <w:szCs w:val="18"/>
              </w:rPr>
              <w:t xml:space="preserve">0 — Not Supported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36</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Multi-Tenant Administration</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37</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Natural Language Policy Authoring</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38</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Network Egress Control</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39</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Okta &amp; Auth0</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40</w:t>
            </w:r>
          </w:p>
        </w:tc>
        <w:tc>
          <w:tcPr>
            <w:shd w:color="FFFFFF" w:val="solid"/>
            <w:tcMar>
              <w:top w:type="dxa" w:w="60"/>
              <w:left w:type="dxa" w:w="100"/>
              <w:bottom w:type="dxa" w:w="60"/>
              <w:right w:type="dxa" w:w="100"/>
            </w:tcMar>
          </w:tcPr>
          <w:p>
            <w:r>
              <w:rPr>
                <w:rFonts w:ascii="Calibri" w:cs="Calibri" w:eastAsia="Calibri" w:hAnsi="Calibri"/>
                <w:b w:val="false"/>
                <w:bCs w:val="false"/>
                <w:color w:val="374151"/>
                <w:sz w:val="18"/>
                <w:szCs w:val="18"/>
              </w:rPr>
              <w:t xml:space="preserve">OpenAI Agents SDK &amp; AgentKit</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FFF" w:val="solid"/>
            <w:tcMar>
              <w:top w:type="dxa" w:w="60"/>
              <w:left w:type="dxa" w:w="100"/>
              <w:bottom w:type="dxa" w:w="60"/>
              <w:right w:type="dxa" w:w="100"/>
            </w:tcMar>
          </w:tcPr>
          <w:p>
            <w:pPr>
              <w:jc w:val="center"/>
            </w:pPr>
            <w:r>
              <w:rPr>
                <w:rFonts w:ascii="Calibri" w:cs="Calibri" w:eastAsia="Calibri" w:hAnsi="Calibri"/>
                <w:b w:val="false"/>
                <w:bCs w:val="false"/>
                <w:color w:val="6B7280"/>
                <w:sz w:val="18"/>
                <w:szCs w:val="18"/>
              </w:rPr>
              <w:t xml:space="preserve">—</w:t>
            </w:r>
          </w:p>
        </w:tc>
        <w:tc>
          <w:tcPr>
            <w:shd w:color="FFFFFF" w:val="solid"/>
            <w:tcMar>
              <w:top w:type="dxa" w:w="60"/>
              <w:left w:type="dxa" w:w="100"/>
              <w:bottom w:type="dxa" w:w="60"/>
              <w:right w:type="dxa" w:w="100"/>
            </w:tcMar>
          </w:tcPr>
          <w:p>
            <w:pPr>
              <w:jc w:val="center"/>
            </w:pPr>
            <w:r>
              <w:rPr>
                <w:rFonts w:ascii="Calibri" w:cs="Calibri" w:eastAsia="Calibri" w:hAnsi="Calibri"/>
                <w:b w:val="false"/>
                <w:bCs w:val="false"/>
                <w:color w:val="94A3B8"/>
                <w:sz w:val="18"/>
                <w:szCs w:val="18"/>
              </w:rPr>
              <w:t xml:space="preserve">—</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41</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Ping Identity</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42</w:t>
            </w:r>
          </w:p>
        </w:tc>
        <w:tc>
          <w:tcPr>
            <w:shd w:color="FFFFFF" w:val="solid"/>
            <w:tcMar>
              <w:top w:type="dxa" w:w="60"/>
              <w:left w:type="dxa" w:w="100"/>
              <w:bottom w:type="dxa" w:w="60"/>
              <w:right w:type="dxa" w:w="100"/>
            </w:tcMar>
          </w:tcPr>
          <w:p>
            <w:r>
              <w:rPr>
                <w:rFonts w:ascii="Calibri" w:cs="Calibri" w:eastAsia="Calibri" w:hAnsi="Calibri"/>
                <w:b w:val="false"/>
                <w:bCs w:val="false"/>
                <w:color w:val="374151"/>
                <w:sz w:val="18"/>
                <w:szCs w:val="18"/>
              </w:rPr>
              <w:t xml:space="preserve">Pipeline Gating</w:t>
            </w:r>
          </w:p>
        </w:tc>
        <w:tc>
          <w:tcPr>
            <w:shd w:color="FFFFFF"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FFF" w:val="solid"/>
            <w:tcMar>
              <w:top w:type="dxa" w:w="60"/>
              <w:left w:type="dxa" w:w="100"/>
              <w:bottom w:type="dxa" w:w="60"/>
              <w:right w:type="dxa" w:w="100"/>
            </w:tcMar>
          </w:tcPr>
          <w:p>
            <w:pPr>
              <w:jc w:val="center"/>
            </w:pPr>
            <w:r>
              <w:rPr>
                <w:rFonts w:ascii="Calibri" w:cs="Calibri" w:eastAsia="Calibri" w:hAnsi="Calibri"/>
                <w:b w:val="false"/>
                <w:bCs w:val="false"/>
                <w:color w:val="6B7280"/>
                <w:sz w:val="18"/>
                <w:szCs w:val="18"/>
              </w:rPr>
              <w:t xml:space="preserve">—</w:t>
            </w:r>
          </w:p>
        </w:tc>
        <w:tc>
          <w:tcPr>
            <w:shd w:color="FFFFFF" w:val="solid"/>
            <w:tcMar>
              <w:top w:type="dxa" w:w="60"/>
              <w:left w:type="dxa" w:w="100"/>
              <w:bottom w:type="dxa" w:w="60"/>
              <w:right w:type="dxa" w:w="100"/>
            </w:tcMar>
          </w:tcPr>
          <w:p>
            <w:pPr>
              <w:jc w:val="center"/>
            </w:pPr>
            <w:r>
              <w:rPr>
                <w:rFonts w:ascii="Calibri" w:cs="Calibri" w:eastAsia="Calibri" w:hAnsi="Calibri"/>
                <w:b w:val="false"/>
                <w:bCs w:val="false"/>
                <w:color w:val="94A3B8"/>
                <w:sz w:val="18"/>
                <w:szCs w:val="18"/>
              </w:rPr>
              <w:t xml:space="preserve">—</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43</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Policy Lifecycle Management</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44</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Policy Simulation Mode</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45</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Privilege Escalation Detection</w:t>
            </w:r>
          </w:p>
        </w:tc>
        <w:tc>
          <w:tcPr>
            <w:shd w:color="F8FAFC" w:val="solid"/>
            <w:tcMar>
              <w:top w:type="dxa" w:w="60"/>
              <w:left w:type="dxa" w:w="100"/>
              <w:bottom w:type="dxa" w:w="60"/>
              <w:right w:type="dxa" w:w="100"/>
            </w:tcMar>
          </w:tcPr>
          <w:p>
            <w:pPr>
              <w:jc w:val="center"/>
            </w:pPr>
            <w:r>
              <w:rPr>
                <w:rFonts w:ascii="Calibri" w:cs="Calibri" w:eastAsia="Calibri" w:hAnsi="Calibri"/>
                <w:color w:val="92400E"/>
                <w:sz w:val="18"/>
                <w:szCs w:val="18"/>
              </w:rPr>
              <w:t xml:space="preserve">1 — Partial / Basic</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46</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Risk Reporting Dashboards</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47</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Session &amp; Token Lifecycle</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FFFFF"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48</w:t>
            </w:r>
          </w:p>
        </w:tc>
        <w:tc>
          <w:tcPr>
            <w:shd w:color="FFFFFF" w:val="solid"/>
            <w:tcMar>
              <w:top w:type="dxa" w:w="60"/>
              <w:left w:type="dxa" w:w="100"/>
              <w:bottom w:type="dxa" w:w="60"/>
              <w:right w:type="dxa" w:w="100"/>
            </w:tcMar>
          </w:tcPr>
          <w:p>
            <w:r>
              <w:rPr>
                <w:rFonts w:ascii="Calibri" w:cs="Calibri" w:eastAsia="Calibri" w:hAnsi="Calibri"/>
                <w:b/>
                <w:bCs/>
                <w:color w:val="1E3A5F"/>
                <w:sz w:val="18"/>
                <w:szCs w:val="18"/>
              </w:rPr>
              <w:t xml:space="preserve">Splunk</w:t>
            </w:r>
          </w:p>
        </w:tc>
        <w:tc>
          <w:tcPr>
            <w:shd w:color="FFFFFF"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3 — Good</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+1</w:t>
            </w:r>
          </w:p>
        </w:tc>
      </w:tr>
      <w:tr>
        <w:tc>
          <w:tcPr>
            <w:shd w:color="F8FAFC" w:val="solid"/>
            <w:tcMar>
              <w:top w:type="dxa" w:w="60"/>
              <w:left w:type="dxa" w:w="100"/>
              <w:bottom w:type="dxa" w:w="60"/>
              <w:right w:type="dxa" w:w="100"/>
            </w:tcMar>
          </w:tcPr>
          <w:p>
            <w:pPr>
              <w:jc w:val="center"/>
            </w:pPr>
            <w:r>
              <w:rPr>
                <w:rFonts w:ascii="Calibri" w:cs="Calibri" w:eastAsia="Calibri" w:hAnsi="Calibri"/>
                <w:color w:val="6B7280"/>
                <w:sz w:val="18"/>
                <w:szCs w:val="18"/>
              </w:rPr>
              <w:t xml:space="preserve">49</w:t>
            </w:r>
          </w:p>
        </w:tc>
        <w:tc>
          <w:tcPr>
            <w:shd w:color="F8FAFC" w:val="solid"/>
            <w:tcMar>
              <w:top w:type="dxa" w:w="60"/>
              <w:left w:type="dxa" w:w="100"/>
              <w:bottom w:type="dxa" w:w="60"/>
              <w:right w:type="dxa" w:w="100"/>
            </w:tcMar>
          </w:tcPr>
          <w:p>
            <w:r>
              <w:rPr>
                <w:rFonts w:ascii="Calibri" w:cs="Calibri" w:eastAsia="Calibri" w:hAnsi="Calibri"/>
                <w:b/>
                <w:bCs/>
                <w:color w:val="1E3A5F"/>
                <w:sz w:val="18"/>
                <w:szCs w:val="18"/>
              </w:rPr>
              <w:t xml:space="preserve">Tool-Call Manipulation</w:t>
            </w:r>
          </w:p>
        </w:tc>
        <w:tc>
          <w:tcPr>
            <w:shd w:color="F8FAFC" w:val="solid"/>
            <w:tcMar>
              <w:top w:type="dxa" w:w="60"/>
              <w:left w:type="dxa" w:w="100"/>
              <w:bottom w:type="dxa" w:w="60"/>
              <w:right w:type="dxa" w:w="100"/>
            </w:tcMar>
          </w:tcPr>
          <w:p>
            <w:pPr>
              <w:jc w:val="center"/>
            </w:pPr>
            <w:r>
              <w:rPr>
                <w:rFonts w:ascii="Calibri" w:cs="Calibri" w:eastAsia="Calibri" w:hAnsi="Calibri"/>
                <w:color w:val="1D4ED8"/>
                <w:sz w:val="18"/>
                <w:szCs w:val="18"/>
              </w:rPr>
              <w:t xml:space="preserve">2 — Moderate</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4 — Excellent</w:t>
            </w:r>
          </w:p>
        </w:tc>
        <w:tc>
          <w:tcPr>
            <w:shd w:color="FFF7ED" w:val="solid"/>
            <w:tcMar>
              <w:top w:type="dxa" w:w="60"/>
              <w:left w:type="dxa" w:w="100"/>
              <w:bottom w:type="dxa" w:w="60"/>
              <w:right w:type="dxa" w:w="100"/>
            </w:tcMar>
          </w:tcPr>
          <w:p>
            <w:pPr>
              <w:jc w:val="center"/>
            </w:pPr>
            <w:r>
              <w:rPr>
                <w:rFonts w:ascii="Calibri" w:cs="Calibri" w:eastAsia="Calibri" w:hAnsi="Calibri"/>
                <w:b/>
                <w:bCs/>
                <w:color w:val="C2410C"/>
                <w:sz w:val="18"/>
                <w:szCs w:val="18"/>
              </w:rPr>
              <w:t xml:space="preserve">+2</w:t>
            </w:r>
          </w:p>
        </w:tc>
      </w:tr>
    </w:tbl>
    <w:p>
      <w:r>
        <w:br w:type="page"/>
      </w:r>
    </w:p>
    <w:p>
      <w:pPr>
        <w:spacing w:after="60" w:before="0"/>
      </w:pPr>
      <w:r>
        <w:rPr>
          <w:rFonts w:ascii="Calibri" w:cs="Calibri" w:eastAsia="Calibri" w:hAnsi="Calibri"/>
          <w:b/>
          <w:bCs/>
          <w:color w:val="1E3A5F"/>
          <w:sz w:val="26"/>
          <w:szCs w:val="26"/>
        </w:rPr>
        <w:t xml:space="preserve">1.  </w:t>
      </w:r>
      <w:r>
        <w:rPr>
          <w:rFonts w:ascii="Calibri" w:cs="Calibri" w:eastAsia="Calibri" w:hAnsi="Calibri"/>
          <w:b/>
          <w:bCs/>
          <w:color w:val="1E3A5F"/>
          <w:sz w:val="26"/>
          <w:szCs w:val="26"/>
        </w:rPr>
        <w:t xml:space="preserve">AI Observability Tools</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6B7280"/>
                <w:sz w:val="19"/>
                <w:szCs w:val="19"/>
              </w:rPr>
              <w:t xml:space="preserve">—</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94A3B8"/>
                <w:sz w:val="19"/>
                <w:szCs w:val="19"/>
              </w:rPr>
              <w:t xml:space="preserve">No change requested</w:t>
            </w:r>
          </w:p>
        </w:tc>
      </w:tr>
    </w:tbl>
    <w:p>
      <w:pPr>
        <w:spacing w:after="160"/>
      </w:pP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ITMAP Write-Up</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Vendor Response</w:t>
            </w:r>
          </w:p>
        </w:tc>
      </w:tr>
      <w:tr>
        <w:tc>
          <w:tcPr>
            <w:shd w:color="EEF2FF"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Datadog is the one named observability destination with a real, configured path: it appears in the alert integrations list, receiving OCSF Detection Findings through the Datadog logs intake API with an API key, subject to the same severity filters, source restrictions, deduplication, delivery health tracking and dead-letter queue as the SIEM destinations. Beyond that, TrustGate exposes Prometheus metrics covering request counts, latency, upstream performance and connection state, streams a rich per-request event to a configurable Kafka topic, and the product overview describes OpenTelemetry OTLP export, with TrustGuard findings surfacing as spans in traces when TrustGate is the enforcement point. The TrustLens Vertex connector consumes OpenTelemetry traces from Google Cloud Trace to reconstruct tool-call breakdowns. The AI-native observability tier is missing entirely: LangSmith, Arize, Langfuse, Braintrust and Weights and Biases have no integration, so trace linkage between a NeuralTrust security verdict and an LLM evaluation trace in those tools must be reconstructed by shared identifiers the customer propagates. Datadog also receives alerts rather than full request telemetry, so its LLM Observability product will not show NeuralTrust spans without separate OTLP wiring.</w:t>
            </w:r>
          </w:p>
          <w:p>
            <w:pPr>
              <w:spacing w:after="80"/>
            </w:pPr>
            <w:r>
              <w:rPr>
                <w:rFonts w:ascii="Calibri" w:cs="Calibri" w:eastAsia="Calibri" w:hAnsi="Calibri"/>
                <w:i w:val="false"/>
                <w:iCs w:val="false"/>
                <w:color w:val="374151"/>
                <w:sz w:val="19"/>
                <w:szCs w:val="19"/>
              </w:rPr>
              <w:t xml:space="preserve">NeuralTrust docs - alert integrations describing Datadog logs intake delivery with API key - https://docs.neuraltrust.ai/platform/alert-integrations.md; NeuralTrust docs - TrustGate telemetry with Kafka event streaming and TrustLens forwarding - https://docs.neuraltrust.ai/trustgate/observability/telemetry; NeuralTrust docs - TrustGate overview citing OTLP export and Prometheus metrics - https://docs.neuraltrust.ai/trustgate/overview</w:t>
            </w:r>
          </w:p>
        </w:tc>
        <w:tc>
          <w:tcPr>
            <w:shd w:color="FFFBEB"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NeuralTrust provides mature integration with enterprise observability platforms by exporting structured AI security telemetry, operational metrics and normalized security findings into existing monitoring environments.</w:t>
            </w:r>
          </w:p>
          <w:p>
            <w:pPr>
              <w:spacing w:after="80"/>
            </w:pPr>
            <w:r>
              <w:rPr>
                <w:rFonts w:ascii="Calibri" w:cs="Calibri" w:eastAsia="Calibri" w:hAnsi="Calibri"/>
                <w:i w:val="false"/>
                <w:iCs w:val="false"/>
                <w:color w:val="374151"/>
                <w:sz w:val="19"/>
                <w:szCs w:val="19"/>
              </w:rPr>
              <w:t xml:space="preserve">The platform integrates with observability ecosystems through standardized telemetry, enabling organizations to correlate AI runtime activity, policy enforcement, security detections and operational health with broader application monitoring workflows. Security events include rich metadata, trace identifiers and operational context, supporting both engineering and security operations teams.</w:t>
            </w:r>
          </w:p>
          <w:p>
            <w:pPr>
              <w:spacing w:after="80"/>
            </w:pPr>
            <w:r>
              <w:rPr>
                <w:rFonts w:ascii="Calibri" w:cs="Calibri" w:eastAsia="Calibri" w:hAnsi="Calibri"/>
                <w:i w:val="false"/>
                <w:iCs w:val="false"/>
                <w:color w:val="374151"/>
                <w:sz w:val="19"/>
                <w:szCs w:val="19"/>
              </w:rPr>
              <w:t xml:space="preserve">This provides significantly more than basic log export and represents enterprise-grade observability integration for AI systems.</w:t>
            </w:r>
          </w:p>
        </w:tc>
      </w:tr>
    </w:tbl>
    <w:p>
      <w:pPr>
        <w:spacing w:after="12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  </w:t>
      </w:r>
      <w:r>
        <w:rPr>
          <w:rFonts w:ascii="Calibri" w:cs="Calibri" w:eastAsia="Calibri" w:hAnsi="Calibri"/>
          <w:b/>
          <w:bCs/>
          <w:color w:val="1E3A5F"/>
          <w:sz w:val="26"/>
          <w:szCs w:val="26"/>
        </w:rPr>
        <w:t xml:space="preserve">AI Supply Chain Assessment</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ITMAP Write-Up</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Vendor Response</w:t>
            </w:r>
          </w:p>
        </w:tc>
      </w:tr>
      <w:tr>
        <w:tc>
          <w:tcPr>
            <w:shd w:color="EEF2FF"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The current write-up for this feature was not available in the export.</w:t>
            </w:r>
          </w:p>
        </w:tc>
        <w:tc>
          <w:tcPr>
            <w:shd w:color="FFFBEB"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NeuralTrust provides comprehensive AI supply chain visibility by continuously evaluating the security posture of AI components including models, MCP servers, AI endpoints, datasets, external providers and connected tools.</w:t>
            </w:r>
          </w:p>
          <w:p>
            <w:pPr>
              <w:spacing w:after="80"/>
            </w:pPr>
            <w:r>
              <w:rPr>
                <w:rFonts w:ascii="Calibri" w:cs="Calibri" w:eastAsia="Calibri" w:hAnsi="Calibri"/>
                <w:i w:val="false"/>
                <w:iCs w:val="false"/>
                <w:color w:val="374151"/>
                <w:sz w:val="19"/>
                <w:szCs w:val="19"/>
              </w:rPr>
              <w:t xml:space="preserve">TrustLens includes dedicated supply chain controls that identify insecure dependencies, misconfigured MCP servers, excessive permissions, shadow AI usage and third-party integration risks. Combined with runtime policy enforcement and posture management, organizations gain continuous visibility into the operational AI supply chain and its associated security risks.</w:t>
            </w:r>
          </w:p>
          <w:p>
            <w:pPr>
              <w:spacing w:after="80"/>
            </w:pPr>
            <w:r>
              <w:rPr>
                <w:rFonts w:ascii="Calibri" w:cs="Calibri" w:eastAsia="Calibri" w:hAnsi="Calibri"/>
                <w:i w:val="false"/>
                <w:iCs w:val="false"/>
                <w:color w:val="374151"/>
                <w:sz w:val="19"/>
                <w:szCs w:val="19"/>
              </w:rPr>
              <w:t xml:space="preserve">The current write-up references SIEM integrations (specifically Splunk) and alert delivery configurations. This is relevant to SIEM integration features, but the AI Supply Chain Assessment capability focuses on evaluating third-party AI component security rather than SIEM alert delivery.</w:t>
            </w:r>
          </w:p>
          <w:p>
            <w:pPr>
              <w:spacing w:after="80"/>
            </w:pPr>
            <w:r>
              <w:rPr>
                <w:rFonts w:ascii="Calibri" w:cs="Calibri" w:eastAsia="Calibri" w:hAnsi="Calibri"/>
                <w:i w:val="false"/>
                <w:iCs w:val="false"/>
                <w:color w:val="374151"/>
                <w:sz w:val="19"/>
                <w:szCs w:val="19"/>
              </w:rPr>
              <w:t xml:space="preserve">NeuralTrust's TrustLens provides a distinct supply chain security capability that evaluates AI components, their configurations, permissions and relationships, which is not captured in the current write-up.</w:t>
            </w:r>
          </w:p>
        </w:tc>
      </w:tr>
    </w:tbl>
    <w:p>
      <w:pPr>
        <w:spacing w:after="120"/>
      </w:pPr>
    </w:p>
    <w:p>
      <w:pPr>
        <w:spacing w:after="60"/>
      </w:pPr>
      <w:r>
        <w:rPr>
          <w:rFonts w:ascii="Calibri" w:cs="Calibri" w:eastAsia="Calibri" w:hAnsi="Calibri"/>
          <w:b/>
          <w:bCs/>
          <w:color w:val="1E3A5F"/>
          <w:sz w:val="19"/>
          <w:szCs w:val="19"/>
        </w:rPr>
        <w:t xml:space="preserve">Evidence links:</w:t>
      </w:r>
    </w:p>
    <w:p>
      <w:pPr>
        <w:pStyle w:val="ListParagraph"/>
        <w:numPr>
          <w:ilvl w:val="0"/>
          <w:numId w:val="1"/>
        </w:numPr>
        <w:spacing w:after="40"/>
      </w:pPr>
      <w:r>
        <w:rPr>
          <w:rFonts w:ascii="Calibri" w:cs="Calibri" w:eastAsia="Calibri" w:hAnsi="Calibri"/>
          <w:color w:val="4F46E5"/>
          <w:sz w:val="18"/>
          <w:szCs w:val="18"/>
        </w:rPr>
        <w:t xml:space="preserve">NeuralTrust docs - alert integrations describing OCSF Detection Finding delivery to Splunk HEC, filters, dedup and dead-letter behaviour - https://docs.neuraltrust.ai/platform/alert-integrations.md</w:t>
      </w:r>
    </w:p>
    <w:p>
      <w:pPr>
        <w:pStyle w:val="ListParagraph"/>
        <w:numPr>
          <w:ilvl w:val="0"/>
          <w:numId w:val="1"/>
        </w:numPr>
        <w:spacing w:after="40"/>
      </w:pPr>
      <w:r>
        <w:rPr>
          <w:rFonts w:ascii="Calibri" w:cs="Calibri" w:eastAsia="Calibri" w:hAnsi="Calibri"/>
          <w:color w:val="4F46E5"/>
          <w:sz w:val="18"/>
          <w:szCs w:val="18"/>
        </w:rPr>
        <w:t xml:space="preserve">NeuralTrust docs - SIEM integration for audit events with Splunk HEC token setup - https://docs.neuraltrust.ai/platform/siem-integration</w:t>
      </w:r>
    </w:p>
    <w:p>
      <w:pPr>
        <w:pStyle w:val="ListParagraph"/>
        <w:numPr>
          <w:ilvl w:val="0"/>
          <w:numId w:val="1"/>
        </w:numPr>
        <w:spacing w:after="40"/>
      </w:pPr>
      <w:r>
        <w:rPr>
          <w:rFonts w:ascii="Calibri" w:cs="Calibri" w:eastAsia="Calibri" w:hAnsi="Calibri"/>
          <w:color w:val="4F46E5"/>
          <w:sz w:val="18"/>
          <w:szCs w:val="18"/>
        </w:rPr>
        <w:t xml:space="preserve">NeuralTrust docs - platform alerts overview and destination list - https://docs.neuraltrust.ai/platform/alerts</w:t>
      </w:r>
    </w:p>
    <w:p>
      <w:pPr>
        <w:spacing w:after="8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  </w:t>
      </w:r>
      <w:r>
        <w:rPr>
          <w:rFonts w:ascii="Calibri" w:cs="Calibri" w:eastAsia="Calibri" w:hAnsi="Calibri"/>
          <w:b/>
          <w:bCs/>
          <w:color w:val="1E3A5F"/>
          <w:sz w:val="26"/>
          <w:szCs w:val="26"/>
        </w:rPr>
        <w:t xml:space="preserve">AWS Bedrock AgentCore</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6B7280"/>
                <w:sz w:val="19"/>
                <w:szCs w:val="19"/>
              </w:rPr>
              <w:t xml:space="preserve">—</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94A3B8"/>
                <w:sz w:val="19"/>
                <w:szCs w:val="19"/>
              </w:rPr>
              <w:t xml:space="preserve">No change requested</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  </w:t>
      </w:r>
      <w:r>
        <w:rPr>
          <w:rFonts w:ascii="Calibri" w:cs="Calibri" w:eastAsia="Calibri" w:hAnsi="Calibri"/>
          <w:b/>
          <w:bCs/>
          <w:color w:val="1E3A5F"/>
          <w:sz w:val="26"/>
          <w:szCs w:val="26"/>
        </w:rPr>
        <w:t xml:space="preserve">Access Certification &amp; Review</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DC2626"/>
                <w:sz w:val="19"/>
                <w:szCs w:val="19"/>
              </w:rPr>
              <w:t xml:space="preserve">0 — Not Supported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0 → 2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5.  </w:t>
      </w:r>
      <w:r>
        <w:rPr>
          <w:rFonts w:ascii="Calibri" w:cs="Calibri" w:eastAsia="Calibri" w:hAnsi="Calibri"/>
          <w:b/>
          <w:bCs/>
          <w:color w:val="1E3A5F"/>
          <w:sz w:val="26"/>
          <w:szCs w:val="26"/>
        </w:rPr>
        <w:t xml:space="preserve">Action Approval Workflows</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DC2626"/>
                <w:sz w:val="19"/>
                <w:szCs w:val="19"/>
              </w:rPr>
              <w:t xml:space="preserve">0 — Not Supported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0 → 2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6.  </w:t>
      </w:r>
      <w:r>
        <w:rPr>
          <w:rFonts w:ascii="Calibri" w:cs="Calibri" w:eastAsia="Calibri" w:hAnsi="Calibri"/>
          <w:b/>
          <w:bCs/>
          <w:color w:val="1E3A5F"/>
          <w:sz w:val="26"/>
          <w:szCs w:val="26"/>
        </w:rPr>
        <w:t xml:space="preserve">Admin API &amp; Automation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7.  </w:t>
      </w:r>
      <w:r>
        <w:rPr>
          <w:rFonts w:ascii="Calibri" w:cs="Calibri" w:eastAsia="Calibri" w:hAnsi="Calibri"/>
          <w:b/>
          <w:bCs/>
          <w:color w:val="1E3A5F"/>
          <w:sz w:val="26"/>
          <w:szCs w:val="26"/>
        </w:rPr>
        <w:t xml:space="preserve">Agent Identity Issuance</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8.  </w:t>
      </w:r>
      <w:r>
        <w:rPr>
          <w:rFonts w:ascii="Calibri" w:cs="Calibri" w:eastAsia="Calibri" w:hAnsi="Calibri"/>
          <w:b/>
          <w:bCs/>
          <w:color w:val="1E3A5F"/>
          <w:sz w:val="26"/>
          <w:szCs w:val="26"/>
        </w:rPr>
        <w:t xml:space="preserve">Agent Ownership Attribution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9.  </w:t>
      </w:r>
      <w:r>
        <w:rPr>
          <w:rFonts w:ascii="Calibri" w:cs="Calibri" w:eastAsia="Calibri" w:hAnsi="Calibri"/>
          <w:b/>
          <w:bCs/>
          <w:color w:val="1E3A5F"/>
          <w:sz w:val="26"/>
          <w:szCs w:val="26"/>
        </w:rPr>
        <w:t xml:space="preserve">Agent-to-Agent Authentication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2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10.  </w:t>
      </w:r>
      <w:r>
        <w:rPr>
          <w:rFonts w:ascii="Calibri" w:cs="Calibri" w:eastAsia="Calibri" w:hAnsi="Calibri"/>
          <w:b/>
          <w:bCs/>
          <w:color w:val="1E3A5F"/>
          <w:sz w:val="26"/>
          <w:szCs w:val="26"/>
        </w:rPr>
        <w:t xml:space="preserve">Autonomous Kill Switch</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11.  </w:t>
      </w:r>
      <w:r>
        <w:rPr>
          <w:rFonts w:ascii="Calibri" w:cs="Calibri" w:eastAsia="Calibri" w:hAnsi="Calibri"/>
          <w:b/>
          <w:bCs/>
          <w:color w:val="1E3A5F"/>
          <w:sz w:val="26"/>
          <w:szCs w:val="26"/>
        </w:rPr>
        <w:t xml:space="preserve">Behavioural Baselining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12.  </w:t>
      </w:r>
      <w:r>
        <w:rPr>
          <w:rFonts w:ascii="Calibri" w:cs="Calibri" w:eastAsia="Calibri" w:hAnsi="Calibri"/>
          <w:b/>
          <w:bCs/>
          <w:color w:val="1E3A5F"/>
          <w:sz w:val="26"/>
          <w:szCs w:val="26"/>
        </w:rPr>
        <w:t xml:space="preserve">Blast Radius Limiting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13.  </w:t>
      </w:r>
      <w:r>
        <w:rPr>
          <w:rFonts w:ascii="Calibri" w:cs="Calibri" w:eastAsia="Calibri" w:hAnsi="Calibri"/>
          <w:b/>
          <w:bCs/>
          <w:color w:val="1E3A5F"/>
          <w:sz w:val="26"/>
          <w:szCs w:val="26"/>
        </w:rPr>
        <w:t xml:space="preserve">CI/CD Platforms</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14.  </w:t>
      </w:r>
      <w:r>
        <w:rPr>
          <w:rFonts w:ascii="Calibri" w:cs="Calibri" w:eastAsia="Calibri" w:hAnsi="Calibri"/>
          <w:b/>
          <w:bCs/>
          <w:color w:val="1E3A5F"/>
          <w:sz w:val="26"/>
          <w:szCs w:val="26"/>
        </w:rPr>
        <w:t xml:space="preserve">Cloud Provider IAM</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15.  </w:t>
      </w:r>
      <w:r>
        <w:rPr>
          <w:rFonts w:ascii="Calibri" w:cs="Calibri" w:eastAsia="Calibri" w:hAnsi="Calibri"/>
          <w:b/>
          <w:bCs/>
          <w:color w:val="1E3A5F"/>
          <w:sz w:val="26"/>
          <w:szCs w:val="26"/>
        </w:rPr>
        <w:t xml:space="preserve">Collaboration Alerting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2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16.  </w:t>
      </w:r>
      <w:r>
        <w:rPr>
          <w:rFonts w:ascii="Calibri" w:cs="Calibri" w:eastAsia="Calibri" w:hAnsi="Calibri"/>
          <w:b/>
          <w:bCs/>
          <w:color w:val="1E3A5F"/>
          <w:sz w:val="26"/>
          <w:szCs w:val="26"/>
        </w:rPr>
        <w:t xml:space="preserve">Continuous Testing Cadence</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17.  </w:t>
      </w:r>
      <w:r>
        <w:rPr>
          <w:rFonts w:ascii="Calibri" w:cs="Calibri" w:eastAsia="Calibri" w:hAnsi="Calibri"/>
          <w:b/>
          <w:bCs/>
          <w:color w:val="1E3A5F"/>
          <w:sz w:val="26"/>
          <w:szCs w:val="26"/>
        </w:rPr>
        <w:t xml:space="preserve">Credential &amp; Scope Mapping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18.  </w:t>
      </w:r>
      <w:r>
        <w:rPr>
          <w:rFonts w:ascii="Calibri" w:cs="Calibri" w:eastAsia="Calibri" w:hAnsi="Calibri"/>
          <w:b/>
          <w:bCs/>
          <w:color w:val="1E3A5F"/>
          <w:sz w:val="26"/>
          <w:szCs w:val="26"/>
        </w:rPr>
        <w:t xml:space="preserve">CrewAI &amp; LlamaIndex</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19.  </w:t>
      </w:r>
      <w:r>
        <w:rPr>
          <w:rFonts w:ascii="Calibri" w:cs="Calibri" w:eastAsia="Calibri" w:hAnsi="Calibri"/>
          <w:b/>
          <w:bCs/>
          <w:color w:val="1E3A5F"/>
          <w:sz w:val="26"/>
          <w:szCs w:val="26"/>
        </w:rPr>
        <w:t xml:space="preserve">Data Access Mapping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4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20.  </w:t>
      </w:r>
      <w:r>
        <w:rPr>
          <w:rFonts w:ascii="Calibri" w:cs="Calibri" w:eastAsia="Calibri" w:hAnsi="Calibri"/>
          <w:b/>
          <w:bCs/>
          <w:color w:val="1E3A5F"/>
          <w:sz w:val="26"/>
          <w:szCs w:val="26"/>
        </w:rPr>
        <w:t xml:space="preserve">Data Exfiltration Detection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5803D"/>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4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21.  </w:t>
      </w:r>
      <w:r>
        <w:rPr>
          <w:rFonts w:ascii="Calibri" w:cs="Calibri" w:eastAsia="Calibri" w:hAnsi="Calibri"/>
          <w:b/>
          <w:bCs/>
          <w:color w:val="1E3A5F"/>
          <w:sz w:val="26"/>
          <w:szCs w:val="26"/>
        </w:rPr>
        <w:t xml:space="preserve">Data Platforms</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22.  </w:t>
      </w:r>
      <w:r>
        <w:rPr>
          <w:rFonts w:ascii="Calibri" w:cs="Calibri" w:eastAsia="Calibri" w:hAnsi="Calibri"/>
          <w:b/>
          <w:bCs/>
          <w:color w:val="1E3A5F"/>
          <w:sz w:val="26"/>
          <w:szCs w:val="26"/>
        </w:rPr>
        <w:t xml:space="preserve">Data Scope Restrictions</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23.  </w:t>
      </w:r>
      <w:r>
        <w:rPr>
          <w:rFonts w:ascii="Calibri" w:cs="Calibri" w:eastAsia="Calibri" w:hAnsi="Calibri"/>
          <w:b/>
          <w:bCs/>
          <w:color w:val="1E3A5F"/>
          <w:sz w:val="26"/>
          <w:szCs w:val="26"/>
        </w:rPr>
        <w:t xml:space="preserve">Full Session Tracing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24.  </w:t>
      </w:r>
      <w:r>
        <w:rPr>
          <w:rFonts w:ascii="Calibri" w:cs="Calibri" w:eastAsia="Calibri" w:hAnsi="Calibri"/>
          <w:b/>
          <w:bCs/>
          <w:color w:val="1E3A5F"/>
          <w:sz w:val="26"/>
          <w:szCs w:val="26"/>
        </w:rPr>
        <w:t xml:space="preserve">Goal Hijacking Detection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25.  </w:t>
      </w:r>
      <w:r>
        <w:rPr>
          <w:rFonts w:ascii="Calibri" w:cs="Calibri" w:eastAsia="Calibri" w:hAnsi="Calibri"/>
          <w:b/>
          <w:bCs/>
          <w:color w:val="1E3A5F"/>
          <w:sz w:val="26"/>
          <w:szCs w:val="26"/>
        </w:rPr>
        <w:t xml:space="preserve">Google Agentspace &amp; ADK</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26.  </w:t>
      </w:r>
      <w:r>
        <w:rPr>
          <w:rFonts w:ascii="Calibri" w:cs="Calibri" w:eastAsia="Calibri" w:hAnsi="Calibri"/>
          <w:b/>
          <w:bCs/>
          <w:color w:val="1E3A5F"/>
          <w:sz w:val="26"/>
          <w:szCs w:val="26"/>
        </w:rPr>
        <w:t xml:space="preserve">Hugging Face Hub</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27.  </w:t>
      </w:r>
      <w:r>
        <w:rPr>
          <w:rFonts w:ascii="Calibri" w:cs="Calibri" w:eastAsia="Calibri" w:hAnsi="Calibri"/>
          <w:b/>
          <w:bCs/>
          <w:color w:val="1E3A5F"/>
          <w:sz w:val="26"/>
          <w:szCs w:val="26"/>
        </w:rPr>
        <w:t xml:space="preserve">Incident Reconstruction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28.  </w:t>
      </w:r>
      <w:r>
        <w:rPr>
          <w:rFonts w:ascii="Calibri" w:cs="Calibri" w:eastAsia="Calibri" w:hAnsi="Calibri"/>
          <w:b/>
          <w:bCs/>
          <w:color w:val="1E3A5F"/>
          <w:sz w:val="26"/>
          <w:szCs w:val="26"/>
        </w:rPr>
        <w:t xml:space="preserve">Indirect Injection Defense</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5803D"/>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4  (+1)</w:t>
            </w:r>
          </w:p>
        </w:tc>
      </w:tr>
    </w:tbl>
    <w:p>
      <w:pPr>
        <w:spacing w:after="160"/>
      </w:pP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ITMAP Write-Up</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Vendor Response</w:t>
            </w:r>
          </w:p>
        </w:tc>
      </w:tr>
      <w:tr>
        <w:tc>
          <w:tcPr>
            <w:shd w:color="EEF2FF"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TrustGuard ships an indirect_injection detector with three configurable sensitivity levels, strict, moderate and standard, that inspects the content of tool call responses and model context messages for injected instructions. In strict mode it fires on any deviation; moderate balances precision and recall; standard targets only high-confidence cases. This is deployed on the mcp_output direction, meaning it runs on data the MCP server returns before the model processes it, which is the right interception point for RAG and tool-result payloads. The limitation is that it cannot sanitize or rewrite the content, it can only block or flag the response, so a legitimate-but-suspicious document would be blocked in its entirety rather than scrubbed. NeuralTrust has not published a benchmark or red-team result for the detector on realistic adversarial corpora.</w:t>
            </w:r>
          </w:p>
          <w:p>
            <w:pPr>
              <w:spacing w:after="80"/>
            </w:pPr>
            <w:r>
              <w:rPr>
                <w:rFonts w:ascii="Calibri" w:cs="Calibri" w:eastAsia="Calibri" w:hAnsi="Calibri"/>
                <w:i w:val="false"/>
                <w:iCs w:val="false"/>
                <w:color w:val="374151"/>
                <w:sz w:val="19"/>
                <w:szCs w:val="19"/>
              </w:rPr>
              <w:t xml:space="preserve">NeuralTrust Docs - Detector catalog listing indirect_injection with sensitivity levels - https://docs.neuraltrust.ai/trustguard/detectors/overview; NeuralTrust Docs - TrustGuard detector concepts explaining directions and config - https://docs.neuraltrust.ai/trustguard/concepts/detectors</w:t>
            </w:r>
          </w:p>
        </w:tc>
        <w:tc>
          <w:tcPr>
            <w:shd w:color="FFFBEB"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NeuralTrust TrustGuard includes an indirect_injection detector with configurable sensitivity levels (strict, moderate, standard) and a TrustGate Semantic Analysis Policy that performs semantic similarity checking against a configurable threshold and block response to prevent indirect prompt injection. The product provides both detection and active blocking of indirect injection attacks, not just detection.</w:t>
            </w:r>
          </w:p>
          <w:p>
            <w:pPr>
              <w:spacing w:after="80"/>
            </w:pPr>
            <w:r>
              <w:rPr>
                <w:rFonts w:ascii="Calibri" w:cs="Calibri" w:eastAsia="Calibri" w:hAnsi="Calibri"/>
                <w:i w:val="false"/>
                <w:iCs w:val="false"/>
                <w:color w:val="374151"/>
                <w:sz w:val="19"/>
                <w:szCs w:val="19"/>
              </w:rPr>
              <w:t xml:space="preserve">Furthermore, NeuralTrust TrustLens includes Input Integrity monitoring, which includes user-controlled data tagging and policy violation alerting, providing additional defense-in-depth.</w:t>
            </w:r>
          </w:p>
        </w:tc>
      </w:tr>
    </w:tbl>
    <w:p>
      <w:pPr>
        <w:spacing w:after="120"/>
      </w:pPr>
    </w:p>
    <w:p>
      <w:pPr>
        <w:spacing w:after="60"/>
      </w:pPr>
      <w:r>
        <w:rPr>
          <w:rFonts w:ascii="Calibri" w:cs="Calibri" w:eastAsia="Calibri" w:hAnsi="Calibri"/>
          <w:b/>
          <w:bCs/>
          <w:color w:val="1E3A5F"/>
          <w:sz w:val="19"/>
          <w:szCs w:val="19"/>
        </w:rPr>
        <w:t xml:space="preserve">Evidence links:</w:t>
      </w:r>
    </w:p>
    <w:p>
      <w:pPr>
        <w:pStyle w:val="ListParagraph"/>
        <w:numPr>
          <w:ilvl w:val="0"/>
          <w:numId w:val="1"/>
        </w:numPr>
        <w:spacing w:after="40"/>
      </w:pPr>
      <w:r>
        <w:rPr>
          <w:rFonts w:ascii="Calibri" w:cs="Calibri" w:eastAsia="Calibri" w:hAnsi="Calibri"/>
          <w:color w:val="4F46E5"/>
          <w:sz w:val="18"/>
          <w:szCs w:val="18"/>
        </w:rPr>
        <w:t xml:space="preserve">https://docs.neuraltrust.ai/trustguard/detectors/security</w:t>
      </w:r>
    </w:p>
    <w:p>
      <w:pPr>
        <w:pStyle w:val="ListParagraph"/>
        <w:numPr>
          <w:ilvl w:val="0"/>
          <w:numId w:val="1"/>
        </w:numPr>
        <w:spacing w:after="40"/>
      </w:pPr>
      <w:r>
        <w:rPr>
          <w:rFonts w:ascii="Calibri" w:cs="Calibri" w:eastAsia="Calibri" w:hAnsi="Calibri"/>
          <w:color w:val="4F46E5"/>
          <w:sz w:val="18"/>
          <w:szCs w:val="18"/>
        </w:rPr>
        <w:t xml:space="preserve">https://docs.neuraltrust.ai/trustgate/policies/semantic-analysis</w:t>
      </w:r>
    </w:p>
    <w:p>
      <w:pPr>
        <w:spacing w:after="8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29.  </w:t>
      </w:r>
      <w:r>
        <w:rPr>
          <w:rFonts w:ascii="Calibri" w:cs="Calibri" w:eastAsia="Calibri" w:hAnsi="Calibri"/>
          <w:b/>
          <w:bCs/>
          <w:color w:val="1E3A5F"/>
          <w:sz w:val="26"/>
          <w:szCs w:val="26"/>
        </w:rPr>
        <w:t xml:space="preserve">Inter-Agent Traffic Inspection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4  (+3)</w:t>
            </w:r>
          </w:p>
        </w:tc>
      </w:tr>
    </w:tbl>
    <w:p>
      <w:pPr>
        <w:spacing w:after="160"/>
      </w:pP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ITMAP Write-Up</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Vendor Response</w:t>
            </w:r>
          </w:p>
        </w:tc>
      </w:tr>
      <w:tr>
        <w:tc>
          <w:tcPr>
            <w:shd w:color="EEF2FF"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TrustGate provides protocol-bound MCP inspection by sitting between an agent and an MCP server, applying inbound and outbound policies on the mcp_input and mcp_output directions. Inbound tool call policies can validate, rate-limit and transform tool requests before they reach the MCP server; outbound tool response policies can redact PII, detect indirect injection and scan for secrets in responses before the model receives them. This covers the canonical agentic attack surface: poisoned tool outputs and unauthorised outbound data. The gap is protocol scope: coverage is explicitly limited to MCP traffic. Tool calls made through non-MCP paths, such as OpenAI function calling or LangChain tool abstractions not routed through an MCP server, do not pass through TrustGate and are not inspected. Multi-hop agent-to-agent calls where neither agent exposes an MCP interface are similarly outside scope. Buyers running heterogeneous stacks should map their tool call paths carefully before assuming full coverage.</w:t>
            </w:r>
          </w:p>
          <w:p>
            <w:pPr>
              <w:spacing w:after="80"/>
            </w:pPr>
            <w:r>
              <w:rPr>
                <w:rFonts w:ascii="Calibri" w:cs="Calibri" w:eastAsia="Calibri" w:hAnsi="Calibri"/>
                <w:i w:val="false"/>
                <w:iCs w:val="false"/>
                <w:color w:val="374151"/>
                <w:sz w:val="19"/>
                <w:szCs w:val="19"/>
              </w:rPr>
              <w:t xml:space="preserve">NeuralTrust Docs - TrustGate overview describing bidirectional MCP enforcement - https://docs.neuraltrust.ai/trustgate/overview; NeuralTrust Docs - Tool governance describing allowlists, rate limits and transformation - https://docs.neuraltrust.ai/trustgate/policies/tool-governance</w:t>
            </w:r>
          </w:p>
        </w:tc>
        <w:tc>
          <w:tcPr>
            <w:shd w:color="FFFBEB"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NeuralTrust provides deep inter-agent traffic inspection and policy enforcement through TrustGate's MCP-native integration. TrustGate acts as a transparent, bidirectional enforcement layer between agents and MCP servers, inspecting and applying policies to both incoming tool requests and outgoing tool responses in real time.</w:t>
            </w:r>
          </w:p>
          <w:p>
            <w:pPr>
              <w:spacing w:after="80"/>
            </w:pPr>
            <w:r>
              <w:rPr>
                <w:rFonts w:ascii="Calibri" w:cs="Calibri" w:eastAsia="Calibri" w:hAnsi="Calibri"/>
                <w:i w:val="false"/>
                <w:iCs w:val="false"/>
                <w:color w:val="374151"/>
                <w:sz w:val="19"/>
                <w:szCs w:val="19"/>
              </w:rPr>
              <w:t xml:space="preserve">The MCP-native enforcement is bidirectional: TrustGate evaluates tool requests on the mcp_input direction (applying tool allowlists, rate limits and transformation), and evaluates tool responses on the mcp_output direction (applying content policies, secret scanning, PII redaction and indirect injection detection). This covers the full round-trip of inter-agent tool communication, not just one direction.</w:t>
            </w:r>
          </w:p>
        </w:tc>
      </w:tr>
    </w:tbl>
    <w:p>
      <w:pPr>
        <w:spacing w:after="120"/>
      </w:pPr>
    </w:p>
    <w:p>
      <w:pPr>
        <w:spacing w:after="60"/>
      </w:pPr>
      <w:r>
        <w:rPr>
          <w:rFonts w:ascii="Calibri" w:cs="Calibri" w:eastAsia="Calibri" w:hAnsi="Calibri"/>
          <w:b/>
          <w:bCs/>
          <w:color w:val="1E3A5F"/>
          <w:sz w:val="19"/>
          <w:szCs w:val="19"/>
        </w:rPr>
        <w:t xml:space="preserve">Evidence links:</w:t>
      </w:r>
    </w:p>
    <w:p>
      <w:pPr>
        <w:pStyle w:val="ListParagraph"/>
        <w:numPr>
          <w:ilvl w:val="0"/>
          <w:numId w:val="1"/>
        </w:numPr>
        <w:spacing w:after="40"/>
      </w:pPr>
      <w:r>
        <w:rPr>
          <w:rFonts w:ascii="Calibri" w:cs="Calibri" w:eastAsia="Calibri" w:hAnsi="Calibri"/>
          <w:color w:val="4F46E5"/>
          <w:sz w:val="18"/>
          <w:szCs w:val="18"/>
        </w:rPr>
        <w:t xml:space="preserve">https://docs.neuraltrust.ai/trustgate/overview</w:t>
      </w:r>
    </w:p>
    <w:p>
      <w:pPr>
        <w:pStyle w:val="ListParagraph"/>
        <w:numPr>
          <w:ilvl w:val="0"/>
          <w:numId w:val="1"/>
        </w:numPr>
        <w:spacing w:after="40"/>
      </w:pPr>
      <w:r>
        <w:rPr>
          <w:rFonts w:ascii="Calibri" w:cs="Calibri" w:eastAsia="Calibri" w:hAnsi="Calibri"/>
          <w:color w:val="4F46E5"/>
          <w:sz w:val="18"/>
          <w:szCs w:val="18"/>
        </w:rPr>
        <w:t xml:space="preserve">https://docs.neuraltrust.ai/trustgate/policies/tool-governance</w:t>
      </w:r>
    </w:p>
    <w:p>
      <w:pPr>
        <w:spacing w:after="8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30.  </w:t>
      </w:r>
      <w:r>
        <w:rPr>
          <w:rFonts w:ascii="Calibri" w:cs="Calibri" w:eastAsia="Calibri" w:hAnsi="Calibri"/>
          <w:b/>
          <w:bCs/>
          <w:color w:val="1E3A5F"/>
          <w:sz w:val="26"/>
          <w:szCs w:val="26"/>
        </w:rPr>
        <w:t xml:space="preserve">LangChain &amp; LangGraph</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31.  </w:t>
      </w:r>
      <w:r>
        <w:rPr>
          <w:rFonts w:ascii="Calibri" w:cs="Calibri" w:eastAsia="Calibri" w:hAnsi="Calibri"/>
          <w:b/>
          <w:bCs/>
          <w:color w:val="1E3A5F"/>
          <w:sz w:val="26"/>
          <w:szCs w:val="26"/>
        </w:rPr>
        <w:t xml:space="preserve">Least-Privilege Scope Control</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32.  </w:t>
      </w:r>
      <w:r>
        <w:rPr>
          <w:rFonts w:ascii="Calibri" w:cs="Calibri" w:eastAsia="Calibri" w:hAnsi="Calibri"/>
          <w:b/>
          <w:bCs/>
          <w:color w:val="1E3A5F"/>
          <w:sz w:val="26"/>
          <w:szCs w:val="26"/>
        </w:rPr>
        <w:t xml:space="preserve">Memory &amp; Context Poisoning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4  (+3)</w:t>
            </w:r>
          </w:p>
        </w:tc>
      </w:tr>
    </w:tbl>
    <w:p>
      <w:pPr>
        <w:spacing w:after="160"/>
      </w:pP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ITMAP Write-Up</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Vendor Response</w:t>
            </w:r>
          </w:p>
        </w:tc>
      </w:tr>
      <w:tr>
        <w:tc>
          <w:tcPr>
            <w:shd w:color="EEF2FF"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The detector catalog lists a memory_poisoning entry under the security category on the mcp_output direction. The documentation describes it as targeting attempts to inject persistent false beliefs or corrupted memory entries into an agent's context. Configuration follows the same sensitivity-level pattern as other TrustGuard detectors. The limitation is identical to the other hidden detectors: the documentation states that memory_poisoning is not currently shown in the catalog picker and must be enabled by contacting NeuralTrust, making it a gated capability rather than a self-service one. Additionally, coverage is limited to the MCP output direction, so poisoning attempts arriving through direct model context injection outside MCP are not covered by this detector.</w:t>
            </w:r>
          </w:p>
          <w:p>
            <w:pPr>
              <w:spacing w:after="80"/>
            </w:pPr>
            <w:r>
              <w:rPr>
                <w:rFonts w:ascii="Calibri" w:cs="Calibri" w:eastAsia="Calibri" w:hAnsi="Calibri"/>
                <w:i w:val="false"/>
                <w:iCs w:val="false"/>
                <w:color w:val="374151"/>
                <w:sz w:val="19"/>
                <w:szCs w:val="19"/>
              </w:rPr>
              <w:t xml:space="preserve">NeuralTrust Docs - Detector catalog with memory_poisoning entry - https://docs.neuraltrust.ai/trustguard/detectors/overview</w:t>
            </w:r>
          </w:p>
        </w:tc>
        <w:tc>
          <w:tcPr>
            <w:shd w:color="FFFBEB"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NeuralTrust TrustGuard includes memory_poisoning and context_manipulation detectors. These are distinct from the indirect_injection detector and are dedicated to detecting attempts to corrupt or manipulate agent memory and context windows. Additionally, TrustGate Semantic Analysis can be configured to detect contextual manipulation patterns.</w:t>
            </w:r>
          </w:p>
          <w:p>
            <w:pPr>
              <w:spacing w:after="80"/>
            </w:pPr>
            <w:r>
              <w:rPr>
                <w:rFonts w:ascii="Calibri" w:cs="Calibri" w:eastAsia="Calibri" w:hAnsi="Calibri"/>
                <w:i w:val="false"/>
                <w:iCs w:val="false"/>
                <w:color w:val="374151"/>
                <w:sz w:val="19"/>
                <w:szCs w:val="19"/>
              </w:rPr>
              <w:t xml:space="preserve">The combination of a dedicated memory poisoning detector plus semantic analysis provides layered protection against context manipulation attacks.</w:t>
            </w:r>
          </w:p>
        </w:tc>
      </w:tr>
    </w:tbl>
    <w:p>
      <w:pPr>
        <w:spacing w:after="120"/>
      </w:pPr>
    </w:p>
    <w:p>
      <w:pPr>
        <w:spacing w:after="60"/>
      </w:pPr>
      <w:r>
        <w:rPr>
          <w:rFonts w:ascii="Calibri" w:cs="Calibri" w:eastAsia="Calibri" w:hAnsi="Calibri"/>
          <w:b/>
          <w:bCs/>
          <w:color w:val="1E3A5F"/>
          <w:sz w:val="19"/>
          <w:szCs w:val="19"/>
        </w:rPr>
        <w:t xml:space="preserve">Evidence links:</w:t>
      </w:r>
    </w:p>
    <w:p>
      <w:pPr>
        <w:pStyle w:val="ListParagraph"/>
        <w:numPr>
          <w:ilvl w:val="0"/>
          <w:numId w:val="1"/>
        </w:numPr>
        <w:spacing w:after="40"/>
      </w:pPr>
      <w:r>
        <w:rPr>
          <w:rFonts w:ascii="Calibri" w:cs="Calibri" w:eastAsia="Calibri" w:hAnsi="Calibri"/>
          <w:color w:val="4F46E5"/>
          <w:sz w:val="18"/>
          <w:szCs w:val="18"/>
        </w:rPr>
        <w:t xml:space="preserve">https://docs.neuraltrust.ai/trustguard/detectors/security</w:t>
      </w:r>
    </w:p>
    <w:p>
      <w:pPr>
        <w:spacing w:after="8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33.  </w:t>
      </w:r>
      <w:r>
        <w:rPr>
          <w:rFonts w:ascii="Calibri" w:cs="Calibri" w:eastAsia="Calibri" w:hAnsi="Calibri"/>
          <w:b/>
          <w:bCs/>
          <w:color w:val="1E3A5F"/>
          <w:sz w:val="26"/>
          <w:szCs w:val="26"/>
        </w:rPr>
        <w:t xml:space="preserve">Microsoft Azure Marketplace</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DC2626"/>
                <w:sz w:val="19"/>
                <w:szCs w:val="19"/>
              </w:rPr>
              <w:t xml:space="preserve">0 — Not Supported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0 → 4  (+4)</w:t>
            </w:r>
          </w:p>
        </w:tc>
      </w:tr>
    </w:tbl>
    <w:p>
      <w:pPr>
        <w:spacing w:after="160"/>
      </w:pP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ITMAP Write-Up</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Vendor Response</w:t>
            </w:r>
          </w:p>
        </w:tc>
      </w:tr>
      <w:tr>
        <w:tc>
          <w:tcPr>
            <w:shd w:color="EEF2FF"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No evidence found of a NeuralTrust listing on the Azure Marketplace at the time of research. The NeuralTrust website and documentation do not reference Azure Marketplace availability, and a search of the Azure Marketplace did not surface a NeuralTrust product listing.</w:t>
            </w:r>
          </w:p>
          <w:p>
            <w:pPr>
              <w:spacing w:after="80"/>
            </w:pPr>
            <w:r>
              <w:rPr>
                <w:rFonts w:ascii="Calibri" w:cs="Calibri" w:eastAsia="Calibri" w:hAnsi="Calibri"/>
                <w:i w:val="false"/>
                <w:iCs w:val="false"/>
                <w:color w:val="374151"/>
                <w:sz w:val="19"/>
                <w:szCs w:val="19"/>
              </w:rPr>
              <w:t xml:space="preserve">NeuralTrust website - no Azure Marketplace mention found during research</w:t>
            </w:r>
          </w:p>
        </w:tc>
        <w:tc>
          <w:tcPr>
            <w:shd w:color="FFFBEB"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NeuralTrust is available on the Microsoft Azure Marketplace, enabling enterprise procurement teams to purchase and deploy NeuralTrust through existing Azure contracts and commitments. The Azure Marketplace listing supports standard enterprise procurement workflows including Azure private offers, consolidated billing, and Azure MACC (Microsoft Azure Consumption Commitment) eligibility.</w:t>
            </w:r>
          </w:p>
          <w:p>
            <w:pPr>
              <w:spacing w:after="80"/>
            </w:pPr>
            <w:r>
              <w:rPr>
                <w:rFonts w:ascii="Calibri" w:cs="Calibri" w:eastAsia="Calibri" w:hAnsi="Calibri"/>
                <w:i w:val="false"/>
                <w:iCs w:val="false"/>
                <w:color w:val="374151"/>
                <w:sz w:val="19"/>
                <w:szCs w:val="19"/>
              </w:rPr>
              <w:t xml:space="preserve">The Azure Marketplace presence represents a significant enterprise distribution and procurement channel, not merely a technical integration, and should be scored accordingly.</w:t>
            </w:r>
          </w:p>
        </w:tc>
      </w:tr>
    </w:tbl>
    <w:p>
      <w:pPr>
        <w:spacing w:after="120"/>
      </w:pPr>
    </w:p>
    <w:p>
      <w:pPr>
        <w:spacing w:after="60"/>
      </w:pPr>
      <w:r>
        <w:rPr>
          <w:rFonts w:ascii="Calibri" w:cs="Calibri" w:eastAsia="Calibri" w:hAnsi="Calibri"/>
          <w:b/>
          <w:bCs/>
          <w:color w:val="1E3A5F"/>
          <w:sz w:val="19"/>
          <w:szCs w:val="19"/>
        </w:rPr>
        <w:t xml:space="preserve">Evidence links:</w:t>
      </w:r>
    </w:p>
    <w:p>
      <w:pPr>
        <w:pStyle w:val="ListParagraph"/>
        <w:numPr>
          <w:ilvl w:val="0"/>
          <w:numId w:val="1"/>
        </w:numPr>
        <w:spacing w:after="40"/>
      </w:pPr>
      <w:r>
        <w:rPr>
          <w:rFonts w:ascii="Calibri" w:cs="Calibri" w:eastAsia="Calibri" w:hAnsi="Calibri"/>
          <w:color w:val="4F46E5"/>
          <w:sz w:val="18"/>
          <w:szCs w:val="18"/>
        </w:rPr>
        <w:t xml:space="preserve">https://azuremarketplace.microsoft.com/en-us/marketplace/apps/neuraltrust1733226680598.neuraltrust_standard?tab=Overview</w:t>
      </w:r>
    </w:p>
    <w:p>
      <w:pPr>
        <w:spacing w:after="8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34.  </w:t>
      </w:r>
      <w:r>
        <w:rPr>
          <w:rFonts w:ascii="Calibri" w:cs="Calibri" w:eastAsia="Calibri" w:hAnsi="Calibri"/>
          <w:b/>
          <w:bCs/>
          <w:color w:val="1E3A5F"/>
          <w:sz w:val="26"/>
          <w:szCs w:val="26"/>
        </w:rPr>
        <w:t xml:space="preserve">Microsoft Sentinel</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35.  </w:t>
      </w:r>
      <w:r>
        <w:rPr>
          <w:rFonts w:ascii="Calibri" w:cs="Calibri" w:eastAsia="Calibri" w:hAnsi="Calibri"/>
          <w:b/>
          <w:bCs/>
          <w:color w:val="1E3A5F"/>
          <w:sz w:val="26"/>
          <w:szCs w:val="26"/>
        </w:rPr>
        <w:t xml:space="preserve">Model &amp; Artifact Scanning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DC2626"/>
                <w:sz w:val="19"/>
                <w:szCs w:val="19"/>
              </w:rPr>
              <w:t xml:space="preserve">0 — Not Supported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0 → 2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36.  </w:t>
      </w:r>
      <w:r>
        <w:rPr>
          <w:rFonts w:ascii="Calibri" w:cs="Calibri" w:eastAsia="Calibri" w:hAnsi="Calibri"/>
          <w:b/>
          <w:bCs/>
          <w:color w:val="1E3A5F"/>
          <w:sz w:val="26"/>
          <w:szCs w:val="26"/>
        </w:rPr>
        <w:t xml:space="preserve">Multi-Tenant Administration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37.  </w:t>
      </w:r>
      <w:r>
        <w:rPr>
          <w:rFonts w:ascii="Calibri" w:cs="Calibri" w:eastAsia="Calibri" w:hAnsi="Calibri"/>
          <w:b/>
          <w:bCs/>
          <w:color w:val="1E3A5F"/>
          <w:sz w:val="26"/>
          <w:szCs w:val="26"/>
        </w:rPr>
        <w:t xml:space="preserve">Natural Language Policy Authoring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38.  </w:t>
      </w:r>
      <w:r>
        <w:rPr>
          <w:rFonts w:ascii="Calibri" w:cs="Calibri" w:eastAsia="Calibri" w:hAnsi="Calibri"/>
          <w:b/>
          <w:bCs/>
          <w:color w:val="1E3A5F"/>
          <w:sz w:val="26"/>
          <w:szCs w:val="26"/>
        </w:rPr>
        <w:t xml:space="preserve">Network Egress Control</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39.  </w:t>
      </w:r>
      <w:r>
        <w:rPr>
          <w:rFonts w:ascii="Calibri" w:cs="Calibri" w:eastAsia="Calibri" w:hAnsi="Calibri"/>
          <w:b/>
          <w:bCs/>
          <w:color w:val="1E3A5F"/>
          <w:sz w:val="26"/>
          <w:szCs w:val="26"/>
        </w:rPr>
        <w:t xml:space="preserve">Okta &amp; Auth0</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40.  </w:t>
      </w:r>
      <w:r>
        <w:rPr>
          <w:rFonts w:ascii="Calibri" w:cs="Calibri" w:eastAsia="Calibri" w:hAnsi="Calibri"/>
          <w:b/>
          <w:bCs/>
          <w:color w:val="1E3A5F"/>
          <w:sz w:val="26"/>
          <w:szCs w:val="26"/>
        </w:rPr>
        <w:t xml:space="preserve">OpenAI Agents SDK &amp; AgentKit</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6B7280"/>
                <w:sz w:val="19"/>
                <w:szCs w:val="19"/>
              </w:rPr>
              <w:t xml:space="preserve">—</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94A3B8"/>
                <w:sz w:val="19"/>
                <w:szCs w:val="19"/>
              </w:rPr>
              <w:t xml:space="preserve">No change requested</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41.  </w:t>
      </w:r>
      <w:r>
        <w:rPr>
          <w:rFonts w:ascii="Calibri" w:cs="Calibri" w:eastAsia="Calibri" w:hAnsi="Calibri"/>
          <w:b/>
          <w:bCs/>
          <w:color w:val="1E3A5F"/>
          <w:sz w:val="26"/>
          <w:szCs w:val="26"/>
        </w:rPr>
        <w:t xml:space="preserve">Ping Identity</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42.  </w:t>
      </w:r>
      <w:r>
        <w:rPr>
          <w:rFonts w:ascii="Calibri" w:cs="Calibri" w:eastAsia="Calibri" w:hAnsi="Calibri"/>
          <w:b/>
          <w:bCs/>
          <w:color w:val="1E3A5F"/>
          <w:sz w:val="26"/>
          <w:szCs w:val="26"/>
        </w:rPr>
        <w:t xml:space="preserve">Pipeline Gating</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6B7280"/>
                <w:sz w:val="19"/>
                <w:szCs w:val="19"/>
              </w:rPr>
              <w:t xml:space="preserve">—</w:t>
            </w:r>
          </w:p>
        </w:tc>
        <w:tc>
          <w:tcPr>
            <w:shd w:color="FFFFFF" w:val="solid"/>
            <w:tcMar>
              <w:top w:type="dxa" w:w="80"/>
              <w:left w:type="dxa" w:w="140"/>
              <w:bottom w:type="dxa" w:w="80"/>
              <w:right w:type="dxa" w:w="140"/>
            </w:tcMar>
            <w:vAlign w:val="center"/>
          </w:tcPr>
          <w:p>
            <w:pPr>
              <w:jc w:val="center"/>
            </w:pPr>
            <w:r>
              <w:rPr>
                <w:rFonts w:ascii="Calibri" w:cs="Calibri" w:eastAsia="Calibri" w:hAnsi="Calibri"/>
                <w:b w:val="false"/>
                <w:bCs w:val="false"/>
                <w:color w:val="94A3B8"/>
                <w:sz w:val="19"/>
                <w:szCs w:val="19"/>
              </w:rPr>
              <w:t xml:space="preserve">No change requested</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43.  </w:t>
      </w:r>
      <w:r>
        <w:rPr>
          <w:rFonts w:ascii="Calibri" w:cs="Calibri" w:eastAsia="Calibri" w:hAnsi="Calibri"/>
          <w:b/>
          <w:bCs/>
          <w:color w:val="1E3A5F"/>
          <w:sz w:val="26"/>
          <w:szCs w:val="26"/>
        </w:rPr>
        <w:t xml:space="preserve">Policy Lifecycle Management</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44.  </w:t>
      </w:r>
      <w:r>
        <w:rPr>
          <w:rFonts w:ascii="Calibri" w:cs="Calibri" w:eastAsia="Calibri" w:hAnsi="Calibri"/>
          <w:b/>
          <w:bCs/>
          <w:color w:val="1E3A5F"/>
          <w:sz w:val="26"/>
          <w:szCs w:val="26"/>
        </w:rPr>
        <w:t xml:space="preserve">Policy Simulation Mode</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45.  </w:t>
      </w:r>
      <w:r>
        <w:rPr>
          <w:rFonts w:ascii="Calibri" w:cs="Calibri" w:eastAsia="Calibri" w:hAnsi="Calibri"/>
          <w:b/>
          <w:bCs/>
          <w:color w:val="1E3A5F"/>
          <w:sz w:val="26"/>
          <w:szCs w:val="26"/>
        </w:rPr>
        <w:t xml:space="preserve">Privilege Escalation Detection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92400E"/>
                <w:sz w:val="19"/>
                <w:szCs w:val="19"/>
              </w:rPr>
              <w:t xml:space="preserve">1 — Partial / Basic</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1 → 3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46.  </w:t>
      </w:r>
      <w:r>
        <w:rPr>
          <w:rFonts w:ascii="Calibri" w:cs="Calibri" w:eastAsia="Calibri" w:hAnsi="Calibri"/>
          <w:b/>
          <w:bCs/>
          <w:color w:val="1E3A5F"/>
          <w:sz w:val="26"/>
          <w:szCs w:val="26"/>
        </w:rPr>
        <w:t xml:space="preserve">Risk Reporting Dashboards</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4  (+2)</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47.  </w:t>
      </w:r>
      <w:r>
        <w:rPr>
          <w:rFonts w:ascii="Calibri" w:cs="Calibri" w:eastAsia="Calibri" w:hAnsi="Calibri"/>
          <w:b/>
          <w:bCs/>
          <w:color w:val="1E3A5F"/>
          <w:sz w:val="26"/>
          <w:szCs w:val="26"/>
        </w:rPr>
        <w:t xml:space="preserve">Session &amp; Token Lifecycle</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48.  </w:t>
      </w:r>
      <w:r>
        <w:rPr>
          <w:rFonts w:ascii="Calibri" w:cs="Calibri" w:eastAsia="Calibri" w:hAnsi="Calibri"/>
          <w:b/>
          <w:bCs/>
          <w:color w:val="1E3A5F"/>
          <w:sz w:val="26"/>
          <w:szCs w:val="26"/>
        </w:rPr>
        <w:t xml:space="preserve">Splunk</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3 — Good</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3  (+1)</w:t>
            </w:r>
          </w:p>
        </w:tc>
      </w:tr>
    </w:tbl>
    <w:p>
      <w:pPr>
        <w:spacing w:after="160"/>
      </w:pPr>
    </w:p>
    <w:p>
      <w:pPr>
        <w:pBdr>
          <w:bottom w:val="single" w:color="E2E8F0" w:sz="4"/>
        </w:pBdr>
        <w:spacing w:after="100"/>
      </w:pPr>
    </w:p>
    <w:p>
      <w:pPr>
        <w:spacing w:after="60" w:before="480"/>
      </w:pPr>
      <w:r>
        <w:rPr>
          <w:rFonts w:ascii="Calibri" w:cs="Calibri" w:eastAsia="Calibri" w:hAnsi="Calibri"/>
          <w:b/>
          <w:bCs/>
          <w:color w:val="1E3A5F"/>
          <w:sz w:val="26"/>
          <w:szCs w:val="26"/>
        </w:rPr>
        <w:t xml:space="preserve">49.  </w:t>
      </w:r>
      <w:r>
        <w:rPr>
          <w:rFonts w:ascii="Calibri" w:cs="Calibri" w:eastAsia="Calibri" w:hAnsi="Calibri"/>
          <w:b/>
          <w:bCs/>
          <w:color w:val="1E3A5F"/>
          <w:sz w:val="26"/>
          <w:szCs w:val="26"/>
        </w:rPr>
        <w:t xml:space="preserve">Tool-Call Manipulation</w:t>
      </w:r>
    </w:p>
    <w:p>
      <w:pPr>
        <w:spacing w:after="200"/>
      </w:pPr>
      <w:r>
        <w:rPr>
          <w:rFonts w:ascii="Calibri" w:cs="Calibri" w:eastAsia="Calibri" w:hAnsi="Calibri"/>
          <w:i/>
          <w:iCs/>
          <w:color w:val="94A3B8"/>
          <w:sz w:val="18"/>
          <w:szCs w:val="18"/>
        </w:rPr>
        <w:t xml:space="preserve">Submitted by rodrigo.fernandez@neuraltrust.ai  ·  2026-07-30</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Proposed Score</w:t>
            </w:r>
          </w:p>
        </w:tc>
        <w:tc>
          <w:tcPr>
            <w:shd w:color="B45309"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Change</w:t>
            </w:r>
          </w:p>
        </w:tc>
      </w:tr>
      <w:tr>
        <w:tc>
          <w:tcPr>
            <w:shd w:color="FFFFFF" w:val="solid"/>
            <w:tcMar>
              <w:top w:type="dxa" w:w="80"/>
              <w:left w:type="dxa" w:w="140"/>
              <w:bottom w:type="dxa" w:w="80"/>
              <w:right w:type="dxa" w:w="140"/>
            </w:tcMar>
            <w:vAlign w:val="center"/>
          </w:tcPr>
          <w:p>
            <w:pPr>
              <w:jc w:val="center"/>
            </w:pPr>
            <w:r>
              <w:rPr>
                <w:rFonts w:ascii="Calibri" w:cs="Calibri" w:eastAsia="Calibri" w:hAnsi="Calibri"/>
                <w:b/>
                <w:bCs/>
                <w:color w:val="1D4ED8"/>
                <w:sz w:val="19"/>
                <w:szCs w:val="19"/>
              </w:rPr>
              <w:t xml:space="preserve">2 — Moderate</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4 — Excellent</w:t>
            </w:r>
          </w:p>
        </w:tc>
        <w:tc>
          <w:tcPr>
            <w:shd w:color="FFF7ED" w:val="solid"/>
            <w:tcMar>
              <w:top w:type="dxa" w:w="80"/>
              <w:left w:type="dxa" w:w="140"/>
              <w:bottom w:type="dxa" w:w="80"/>
              <w:right w:type="dxa" w:w="140"/>
            </w:tcMar>
            <w:vAlign w:val="center"/>
          </w:tcPr>
          <w:p>
            <w:pPr>
              <w:jc w:val="center"/>
            </w:pPr>
            <w:r>
              <w:rPr>
                <w:rFonts w:ascii="Calibri" w:cs="Calibri" w:eastAsia="Calibri" w:hAnsi="Calibri"/>
                <w:b/>
                <w:bCs/>
                <w:color w:val="C2410C"/>
                <w:sz w:val="19"/>
                <w:szCs w:val="19"/>
              </w:rPr>
              <w:t xml:space="preserve">2 → 4  (+2)</w:t>
            </w:r>
          </w:p>
        </w:tc>
      </w:tr>
    </w:tbl>
    <w:p>
      <w:pPr>
        <w:spacing w:after="160"/>
      </w:pP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Current ITMAP Write-Up</w:t>
            </w:r>
          </w:p>
        </w:tc>
        <w:tc>
          <w:tcPr>
            <w:shd w:color="1E3A5F" w:val="solid"/>
            <w:tcMar>
              <w:top w:type="dxa" w:w="80"/>
              <w:left w:type="dxa" w:w="140"/>
              <w:bottom w:type="dxa" w:w="80"/>
              <w:right w:type="dxa" w:w="140"/>
            </w:tcMar>
            <w:vAlign w:val="center"/>
          </w:tcPr>
          <w:p>
            <w:r>
              <w:rPr>
                <w:rFonts w:ascii="Calibri" w:cs="Calibri" w:eastAsia="Calibri" w:hAnsi="Calibri"/>
                <w:b/>
                <w:bCs/>
                <w:color w:val="FFFFFF"/>
                <w:sz w:val="19"/>
                <w:szCs w:val="19"/>
              </w:rPr>
              <w:t xml:space="preserve">Vendor Response</w:t>
            </w:r>
          </w:p>
        </w:tc>
      </w:tr>
      <w:tr>
        <w:tc>
          <w:tcPr>
            <w:shd w:color="EEF2FF"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There are two overlapping mechanisms here and their maturity differs sharply. In TrustGate, tool governance is generally available and reasonably deep: a tool allowlist matches glob patterns with deny overriding allow before the model ever sees the tool set, tool definition transformation rewrites schemas and descriptions, a per-tool rate limiter caps invocations per fixed window with the option to reject, inject an error result or strip the tool from the request, and tool call validation checks model-generated calls with JSON schema, regex, semantic and denylist validators, rejecting or redacting violating responses. In TrustGuard, three detectors specifically target this problem, tool_guard and tool_permission on the mcp input direction and tool_selection on the mcp output direction. The significant caveat is that the documentation states these three are currently not shown in the catalog picker and buyers must contact NeuralTrust to have them enabled, which is functionally a gated or early-access capability rather than a self-service GA one. Detection is also protocol-bound to mcp, so tool calls made through proprietary function-calling paths that are not routed through the MCP plane fall back to the gateway validators alone. Buyers should demand a demonstration of the hidden detectors before assuming full coverage.</w:t>
            </w:r>
          </w:p>
          <w:p>
            <w:pPr>
              <w:spacing w:after="80"/>
            </w:pPr>
            <w:r>
              <w:rPr>
                <w:rFonts w:ascii="Calibri" w:cs="Calibri" w:eastAsia="Calibri" w:hAnsi="Calibri"/>
                <w:i w:val="false"/>
                <w:iCs w:val="false"/>
                <w:color w:val="374151"/>
                <w:sz w:val="19"/>
                <w:szCs w:val="19"/>
              </w:rPr>
              <w:t xml:space="preserve">NeuralTrust Docs - Tool governance - https://docs.neuraltrust.ai/trustgate/policies/tool-governance; NeuralTrust Docs - Detector catalog - https://docs.neuraltrust.ai/trustguard/detectors/overview; NeuralTrust Docs - TrustGuard detector concepts - https://docs.neuraltrust.ai/trustguard/concepts/detectors</w:t>
            </w:r>
          </w:p>
        </w:tc>
        <w:tc>
          <w:tcPr>
            <w:shd w:color="FFFBEB" w:val="solid"/>
            <w:tcMar>
              <w:top w:type="dxa" w:w="80"/>
              <w:left w:type="dxa" w:w="140"/>
              <w:bottom w:type="dxa" w:w="80"/>
              <w:right w:type="dxa" w:w="140"/>
            </w:tcMar>
          </w:tcPr>
          <w:p>
            <w:pPr>
              <w:spacing w:after="80"/>
            </w:pPr>
            <w:r>
              <w:rPr>
                <w:rFonts w:ascii="Calibri" w:cs="Calibri" w:eastAsia="Calibri" w:hAnsi="Calibri"/>
                <w:i w:val="false"/>
                <w:iCs w:val="false"/>
                <w:color w:val="374151"/>
                <w:sz w:val="19"/>
                <w:szCs w:val="19"/>
              </w:rPr>
              <w:t xml:space="preserve">Tool governance in TrustGate is mature and enforced pre-execution: an allowlist matches glob patterns with deny overriding allow before the model ever sees the tool set, tool definitions can be rewritten to adjust schemas and descriptions, and per-tool rate limiting is in place. This is proactive control at the gateway layer, not just detection after the fact. Worth noting in the submission that the two mechanisms have different maturity levels, so this should be scored on the stronger, generally-available TrustGate capability rather than averaged down by the earlier-stage piece.</w:t>
            </w:r>
          </w:p>
        </w:tc>
      </w:tr>
    </w:tbl>
    <w:p>
      <w:pPr>
        <w:spacing w:after="120"/>
      </w:pPr>
    </w:p>
    <w:p>
      <w:pPr>
        <w:spacing w:after="60"/>
      </w:pPr>
      <w:r>
        <w:rPr>
          <w:rFonts w:ascii="Calibri" w:cs="Calibri" w:eastAsia="Calibri" w:hAnsi="Calibri"/>
          <w:b/>
          <w:bCs/>
          <w:color w:val="1E3A5F"/>
          <w:sz w:val="19"/>
          <w:szCs w:val="19"/>
        </w:rPr>
        <w:t xml:space="preserve">Evidence links:</w:t>
      </w:r>
    </w:p>
    <w:p>
      <w:pPr>
        <w:pStyle w:val="ListParagraph"/>
        <w:numPr>
          <w:ilvl w:val="0"/>
          <w:numId w:val="1"/>
        </w:numPr>
        <w:spacing w:after="40"/>
      </w:pPr>
      <w:r>
        <w:rPr>
          <w:rFonts w:ascii="Calibri" w:cs="Calibri" w:eastAsia="Calibri" w:hAnsi="Calibri"/>
          <w:color w:val="4F46E5"/>
          <w:sz w:val="18"/>
          <w:szCs w:val="18"/>
        </w:rPr>
        <w:t xml:space="preserve">https://neuraltrust.ai/ai-gateway</w:t>
      </w:r>
    </w:p>
    <w:p>
      <w:pPr>
        <w:spacing w:after="80"/>
      </w:pPr>
    </w:p>
    <w:p>
      <w:pPr>
        <w:spacing w:before="400"/>
      </w:pPr>
    </w:p>
    <w:p>
      <w:r>
        <w:rPr>
          <w:rFonts w:ascii="Calibri" w:cs="Calibri" w:eastAsia="Calibri" w:hAnsi="Calibri"/>
          <w:i/>
          <w:iCs/>
          <w:color w:val="94A3B8"/>
          <w:sz w:val="18"/>
          <w:szCs w:val="18"/>
        </w:rPr>
        <w:t xml:space="preserve">All 49 submissions are currently in Pending Review status.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2026-07-30T17:37:55.201Z</dcterms:created>
  <dcterms:modified xsi:type="dcterms:W3CDTF">2026-07-30T17:37:55.201Z</dcterms:modified>
</cp:coreProperties>
</file>

<file path=docProps/custom.xml><?xml version="1.0" encoding="utf-8"?>
<Properties xmlns="http://schemas.openxmlformats.org/officeDocument/2006/custom-properties" xmlns:vt="http://schemas.openxmlformats.org/officeDocument/2006/docPropsVTypes"/>
</file>