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3A5F"/>
          <w:sz w:val="56"/>
          <w:szCs w:val="56"/>
        </w:rPr>
        <w:t xml:space="preserve">ITMAP FACT-CHECK REVIEW</w:t>
      </w:r>
    </w:p>
    <w:p>
      <w:pPr>
        <w:spacing w:after="60"/>
      </w:pPr>
      <w:r>
        <w:rPr>
          <w:rFonts w:ascii="Calibri" w:cs="Calibri" w:eastAsia="Calibri" w:hAnsi="Calibri"/>
          <w:color w:val="6B7280"/>
          <w:sz w:val="30"/>
          <w:szCs w:val="30"/>
        </w:rPr>
        <w:t xml:space="preserve">NeuralTrust  ·  ITMAP for Agentic AI Security</w:t>
      </w:r>
    </w:p>
    <w:p>
      <w:pPr>
        <w:spacing w:after="40"/>
      </w:pPr>
      <w:r>
        <w:rPr>
          <w:rFonts w:ascii="Calibri" w:cs="Calibri" w:eastAsia="Calibri" w:hAnsi="Calibri"/>
          <w:i/>
          <w:iCs/>
          <w:color w:val="94A3B8"/>
          <w:sz w:val="22"/>
          <w:szCs w:val="22"/>
        </w:rPr>
        <w:t xml:space="preserve">Submitted: 30 July 2026  ·  Status: All Pending Review</w:t>
      </w:r>
    </w:p>
    <w:p>
      <w:pPr>
        <w:spacing w:after="300"/>
      </w:pPr>
      <w:r>
        <w:rPr>
          <w:rFonts w:ascii="Calibri" w:cs="Calibri" w:eastAsia="Calibri" w:hAnsi="Calibri"/>
          <w:i/>
          <w:iCs/>
          <w:color w:val="94A3B8"/>
          <w:sz w:val="22"/>
          <w:szCs w:val="22"/>
        </w:rPr>
        <w:t xml:space="preserve">Total submissions: 49  ·  Score changes requested: 45  ·  Comment only: 4</w:t>
      </w:r>
    </w:p>
    <w:p>
      <w:pPr>
        <w:spacing w:after="120" w:before="200"/>
      </w:pPr>
      <w:r>
        <w:rPr>
          <w:rFonts w:ascii="Calibri" w:cs="Calibri" w:eastAsia="Calibri" w:hAnsi="Calibri"/>
          <w:b/>
          <w:bCs/>
          <w:color w:val="1E3A5F"/>
          <w:sz w:val="26"/>
          <w:szCs w:val="26"/>
        </w:rPr>
        <w:t xml:space="preserve">Summary of All Submissions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Feature</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Δ</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w:t>
            </w:r>
          </w:p>
        </w:tc>
        <w:tc>
          <w:tcPr>
            <w:shd w:color="F8FAFC" w:val="solid"/>
            <w:tcMar>
              <w:top w:type="dxa" w:w="60"/>
              <w:left w:type="dxa" w:w="100"/>
              <w:bottom w:type="dxa" w:w="60"/>
              <w:right w:type="dxa" w:w="100"/>
            </w:tcMar>
          </w:tcPr>
          <w:p>
            <w:r>
              <w:rPr>
                <w:rFonts w:ascii="Calibri" w:cs="Calibri" w:eastAsia="Calibri" w:hAnsi="Calibri"/>
                <w:b w:val="false"/>
                <w:bCs w:val="false"/>
                <w:color w:val="1F2937"/>
                <w:sz w:val="18"/>
                <w:szCs w:val="18"/>
              </w:rPr>
              <w:t xml:space="preserve">AI Observability Tools</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8FAFC"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c>
          <w:tcPr>
            <w:shd w:color="F8FAFC"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AI Supply Chain Assessment</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w:t>
            </w:r>
          </w:p>
        </w:tc>
        <w:tc>
          <w:tcPr>
            <w:shd w:color="F8FAFC" w:val="solid"/>
            <w:tcMar>
              <w:top w:type="dxa" w:w="60"/>
              <w:left w:type="dxa" w:w="100"/>
              <w:bottom w:type="dxa" w:w="60"/>
              <w:right w:type="dxa" w:w="100"/>
            </w:tcMar>
          </w:tcPr>
          <w:p>
            <w:r>
              <w:rPr>
                <w:rFonts w:ascii="Calibri" w:cs="Calibri" w:eastAsia="Calibri" w:hAnsi="Calibri"/>
                <w:b w:val="false"/>
                <w:bCs w:val="false"/>
                <w:color w:val="1F2937"/>
                <w:sz w:val="18"/>
                <w:szCs w:val="18"/>
              </w:rPr>
              <w:t xml:space="preserve">AWS Bedrock AgentCore</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8FAFC"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c>
          <w:tcPr>
            <w:shd w:color="F8FAFC"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Access Certification &amp; Review</w:t>
            </w:r>
          </w:p>
        </w:tc>
        <w:tc>
          <w:tcPr>
            <w:shd w:color="FFFFFF" w:val="solid"/>
            <w:tcMar>
              <w:top w:type="dxa" w:w="60"/>
              <w:left w:type="dxa" w:w="100"/>
              <w:bottom w:type="dxa" w:w="60"/>
              <w:right w:type="dxa" w:w="100"/>
            </w:tcMar>
          </w:tcPr>
          <w:p>
            <w:pPr>
              <w:jc w:val="center"/>
            </w:pPr>
            <w:r>
              <w:rPr>
                <w:rFonts w:ascii="Calibri" w:cs="Calibri" w:eastAsia="Calibri" w:hAnsi="Calibri"/>
                <w:color w:val="DC2626"/>
                <w:sz w:val="18"/>
                <w:szCs w:val="18"/>
              </w:rPr>
              <w:t xml:space="preserve">0 — Not Supported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5</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Action Approval Workflows</w:t>
            </w:r>
          </w:p>
        </w:tc>
        <w:tc>
          <w:tcPr>
            <w:shd w:color="F8FAFC" w:val="solid"/>
            <w:tcMar>
              <w:top w:type="dxa" w:w="60"/>
              <w:left w:type="dxa" w:w="100"/>
              <w:bottom w:type="dxa" w:w="60"/>
              <w:right w:type="dxa" w:w="100"/>
            </w:tcMar>
          </w:tcPr>
          <w:p>
            <w:pPr>
              <w:jc w:val="center"/>
            </w:pPr>
            <w:r>
              <w:rPr>
                <w:rFonts w:ascii="Calibri" w:cs="Calibri" w:eastAsia="Calibri" w:hAnsi="Calibri"/>
                <w:color w:val="DC2626"/>
                <w:sz w:val="18"/>
                <w:szCs w:val="18"/>
              </w:rPr>
              <w:t xml:space="preserve">0 — Not Supported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6</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Admin API &amp; Automation</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7</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Agent Identity Issuance</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8</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Agent Ownership Attribution</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9</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Agent-to-Agent Authentication</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10</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Autonomous Kill Switch</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11</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Behavioural Baselining</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12</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Blast Radius Limiting</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13</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CI/CD Platforms</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14</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Cloud Provider IAM</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15</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Collaboration Alerting</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16</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Continuous Testing Cadence</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17</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Credential &amp; Scope Mapping</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18</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CrewAI &amp; LlamaIndex</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19</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Data Access Mapping</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20</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Data Exfiltration Detection</w:t>
            </w:r>
          </w:p>
        </w:tc>
        <w:tc>
          <w:tcPr>
            <w:shd w:color="FFFFFF" w:val="solid"/>
            <w:tcMar>
              <w:top w:type="dxa" w:w="60"/>
              <w:left w:type="dxa" w:w="100"/>
              <w:bottom w:type="dxa" w:w="60"/>
              <w:right w:type="dxa" w:w="100"/>
            </w:tcMar>
          </w:tcPr>
          <w:p>
            <w:pPr>
              <w:jc w:val="center"/>
            </w:pPr>
            <w:r>
              <w:rPr>
                <w:rFonts w:ascii="Calibri" w:cs="Calibri" w:eastAsia="Calibri" w:hAnsi="Calibri"/>
                <w:color w:val="15803D"/>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21</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Data Platforms</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22</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Data Scope Restrictions</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23</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Full Session Tracing</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24</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Goal Hijacking Detection</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25</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Google Agentspace &amp; ADK</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26</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Hugging Face Hub</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27</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Incident Reconstruction</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28</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Indirect Injection Defense</w:t>
            </w:r>
          </w:p>
        </w:tc>
        <w:tc>
          <w:tcPr>
            <w:shd w:color="FFFFFF" w:val="solid"/>
            <w:tcMar>
              <w:top w:type="dxa" w:w="60"/>
              <w:left w:type="dxa" w:w="100"/>
              <w:bottom w:type="dxa" w:w="60"/>
              <w:right w:type="dxa" w:w="100"/>
            </w:tcMar>
          </w:tcPr>
          <w:p>
            <w:pPr>
              <w:jc w:val="center"/>
            </w:pPr>
            <w:r>
              <w:rPr>
                <w:rFonts w:ascii="Calibri" w:cs="Calibri" w:eastAsia="Calibri" w:hAnsi="Calibri"/>
                <w:color w:val="15803D"/>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29</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Inter-Agent Traffic Inspection</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30</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LangChain &amp; LangGraph</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31</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Least-Privilege Scope Control</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32</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Memory &amp; Context Poisoning</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33</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Microsoft Azure Marketplace</w:t>
            </w:r>
          </w:p>
        </w:tc>
        <w:tc>
          <w:tcPr>
            <w:shd w:color="F8FAFC" w:val="solid"/>
            <w:tcMar>
              <w:top w:type="dxa" w:w="60"/>
              <w:left w:type="dxa" w:w="100"/>
              <w:bottom w:type="dxa" w:w="60"/>
              <w:right w:type="dxa" w:w="100"/>
            </w:tcMar>
          </w:tcPr>
          <w:p>
            <w:pPr>
              <w:jc w:val="center"/>
            </w:pPr>
            <w:r>
              <w:rPr>
                <w:rFonts w:ascii="Calibri" w:cs="Calibri" w:eastAsia="Calibri" w:hAnsi="Calibri"/>
                <w:color w:val="DC2626"/>
                <w:sz w:val="18"/>
                <w:szCs w:val="18"/>
              </w:rPr>
              <w:t xml:space="preserve">0 — Not Supported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34</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Microsoft Sentinel</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35</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Model &amp; Artifact Scanning</w:t>
            </w:r>
          </w:p>
        </w:tc>
        <w:tc>
          <w:tcPr>
            <w:shd w:color="F8FAFC" w:val="solid"/>
            <w:tcMar>
              <w:top w:type="dxa" w:w="60"/>
              <w:left w:type="dxa" w:w="100"/>
              <w:bottom w:type="dxa" w:w="60"/>
              <w:right w:type="dxa" w:w="100"/>
            </w:tcMar>
          </w:tcPr>
          <w:p>
            <w:pPr>
              <w:jc w:val="center"/>
            </w:pPr>
            <w:r>
              <w:rPr>
                <w:rFonts w:ascii="Calibri" w:cs="Calibri" w:eastAsia="Calibri" w:hAnsi="Calibri"/>
                <w:color w:val="DC2626"/>
                <w:sz w:val="18"/>
                <w:szCs w:val="18"/>
              </w:rPr>
              <w:t xml:space="preserve">0 — Not Supported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36</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Multi-Tenant Administration</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37</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Natural Language Policy Authoring</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38</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Network Egress Control</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39</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Okta &amp; Auth0</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40</w:t>
            </w:r>
          </w:p>
        </w:tc>
        <w:tc>
          <w:tcPr>
            <w:shd w:color="FFFFFF" w:val="solid"/>
            <w:tcMar>
              <w:top w:type="dxa" w:w="60"/>
              <w:left w:type="dxa" w:w="100"/>
              <w:bottom w:type="dxa" w:w="60"/>
              <w:right w:type="dxa" w:w="100"/>
            </w:tcMar>
          </w:tcPr>
          <w:p>
            <w:r>
              <w:rPr>
                <w:rFonts w:ascii="Calibri" w:cs="Calibri" w:eastAsia="Calibri" w:hAnsi="Calibri"/>
                <w:b w:val="false"/>
                <w:bCs w:val="false"/>
                <w:color w:val="1F2937"/>
                <w:sz w:val="18"/>
                <w:szCs w:val="18"/>
              </w:rPr>
              <w:t xml:space="preserve">OpenAI Agents SDK &amp; AgentKit</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FFF"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c>
          <w:tcPr>
            <w:shd w:color="FFFFFF"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41</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Ping Identity</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42</w:t>
            </w:r>
          </w:p>
        </w:tc>
        <w:tc>
          <w:tcPr>
            <w:shd w:color="FFFFFF" w:val="solid"/>
            <w:tcMar>
              <w:top w:type="dxa" w:w="60"/>
              <w:left w:type="dxa" w:w="100"/>
              <w:bottom w:type="dxa" w:w="60"/>
              <w:right w:type="dxa" w:w="100"/>
            </w:tcMar>
          </w:tcPr>
          <w:p>
            <w:r>
              <w:rPr>
                <w:rFonts w:ascii="Calibri" w:cs="Calibri" w:eastAsia="Calibri" w:hAnsi="Calibri"/>
                <w:b w:val="false"/>
                <w:bCs w:val="false"/>
                <w:color w:val="1F2937"/>
                <w:sz w:val="18"/>
                <w:szCs w:val="18"/>
              </w:rPr>
              <w:t xml:space="preserve">Pipeline Gating</w:t>
            </w:r>
          </w:p>
        </w:tc>
        <w:tc>
          <w:tcPr>
            <w:shd w:color="FFFFFF"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FFF"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c>
          <w:tcPr>
            <w:shd w:color="FFFFFF" w:val="solid"/>
            <w:tcMar>
              <w:top w:type="dxa" w:w="60"/>
              <w:left w:type="dxa" w:w="100"/>
              <w:bottom w:type="dxa" w:w="60"/>
              <w:right w:type="dxa" w:w="100"/>
            </w:tcMar>
          </w:tcPr>
          <w:p>
            <w:pPr>
              <w:jc w:val="center"/>
            </w:pPr>
            <w:r>
              <w:rPr>
                <w:rFonts w:ascii="Calibri" w:cs="Calibri" w:eastAsia="Calibri" w:hAnsi="Calibri"/>
                <w:b w:val="false"/>
                <w:bCs w:val="false"/>
                <w:color w:val="94A3B8"/>
                <w:sz w:val="18"/>
                <w:szCs w:val="18"/>
              </w:rPr>
              <w:t xml:space="preserve">—</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43</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Policy Lifecycle Management</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44</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Policy Simulation Mode</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45</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Privilege Escalation Detection</w:t>
            </w:r>
          </w:p>
        </w:tc>
        <w:tc>
          <w:tcPr>
            <w:shd w:color="F8FAFC" w:val="solid"/>
            <w:tcMar>
              <w:top w:type="dxa" w:w="60"/>
              <w:left w:type="dxa" w:w="100"/>
              <w:bottom w:type="dxa" w:w="60"/>
              <w:right w:type="dxa" w:w="100"/>
            </w:tcMar>
          </w:tcPr>
          <w:p>
            <w:pPr>
              <w:jc w:val="center"/>
            </w:pPr>
            <w:r>
              <w:rPr>
                <w:rFonts w:ascii="Calibri" w:cs="Calibri" w:eastAsia="Calibri" w:hAnsi="Calibri"/>
                <w:color w:val="92400E"/>
                <w:sz w:val="18"/>
                <w:szCs w:val="18"/>
              </w:rPr>
              <w:t xml:space="preserve">1 — Partial / Basic</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46</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Risk Reporting Dashboards</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47</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Session &amp; Token Lifecycle</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FFFFF"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48</w:t>
            </w:r>
          </w:p>
        </w:tc>
        <w:tc>
          <w:tcPr>
            <w:shd w:color="FFFFFF" w:val="solid"/>
            <w:tcMar>
              <w:top w:type="dxa" w:w="60"/>
              <w:left w:type="dxa" w:w="100"/>
              <w:bottom w:type="dxa" w:w="60"/>
              <w:right w:type="dxa" w:w="100"/>
            </w:tcMar>
          </w:tcPr>
          <w:p>
            <w:r>
              <w:rPr>
                <w:rFonts w:ascii="Calibri" w:cs="Calibri" w:eastAsia="Calibri" w:hAnsi="Calibri"/>
                <w:b/>
                <w:bCs/>
                <w:color w:val="1E3A5F"/>
                <w:sz w:val="18"/>
                <w:szCs w:val="18"/>
              </w:rPr>
              <w:t xml:space="preserve">Splunk</w:t>
            </w:r>
          </w:p>
        </w:tc>
        <w:tc>
          <w:tcPr>
            <w:shd w:color="FFFFFF"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3 — Good</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+1</w:t>
            </w:r>
          </w:p>
        </w:tc>
      </w:tr>
      <w:tr>
        <w:tc>
          <w:tcPr>
            <w:shd w:color="F8FAFC" w:val="solid"/>
            <w:tcMar>
              <w:top w:type="dxa" w:w="60"/>
              <w:left w:type="dxa" w:w="100"/>
              <w:bottom w:type="dxa" w:w="60"/>
              <w:right w:type="dxa" w:w="100"/>
            </w:tcMar>
          </w:tcPr>
          <w:p>
            <w:pPr>
              <w:jc w:val="center"/>
            </w:pPr>
            <w:r>
              <w:rPr>
                <w:rFonts w:ascii="Calibri" w:cs="Calibri" w:eastAsia="Calibri" w:hAnsi="Calibri"/>
                <w:color w:val="6B7280"/>
                <w:sz w:val="18"/>
                <w:szCs w:val="18"/>
              </w:rPr>
              <w:t xml:space="preserve">49</w:t>
            </w:r>
          </w:p>
        </w:tc>
        <w:tc>
          <w:tcPr>
            <w:shd w:color="F8FAFC" w:val="solid"/>
            <w:tcMar>
              <w:top w:type="dxa" w:w="60"/>
              <w:left w:type="dxa" w:w="100"/>
              <w:bottom w:type="dxa" w:w="60"/>
              <w:right w:type="dxa" w:w="100"/>
            </w:tcMar>
          </w:tcPr>
          <w:p>
            <w:r>
              <w:rPr>
                <w:rFonts w:ascii="Calibri" w:cs="Calibri" w:eastAsia="Calibri" w:hAnsi="Calibri"/>
                <w:b/>
                <w:bCs/>
                <w:color w:val="1E3A5F"/>
                <w:sz w:val="18"/>
                <w:szCs w:val="18"/>
              </w:rPr>
              <w:t xml:space="preserve">Tool-Call Manipulation</w:t>
            </w:r>
          </w:p>
        </w:tc>
        <w:tc>
          <w:tcPr>
            <w:shd w:color="F8FAFC" w:val="solid"/>
            <w:tcMar>
              <w:top w:type="dxa" w:w="60"/>
              <w:left w:type="dxa" w:w="100"/>
              <w:bottom w:type="dxa" w:w="60"/>
              <w:right w:type="dxa" w:w="100"/>
            </w:tcMar>
          </w:tcPr>
          <w:p>
            <w:pPr>
              <w:jc w:val="center"/>
            </w:pPr>
            <w:r>
              <w:rPr>
                <w:rFonts w:ascii="Calibri" w:cs="Calibri" w:eastAsia="Calibri" w:hAnsi="Calibri"/>
                <w:color w:val="1D4ED8"/>
                <w:sz w:val="18"/>
                <w:szCs w:val="18"/>
              </w:rPr>
              <w:t xml:space="preserve">2 — Moderate</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4 — Excellent</w:t>
            </w:r>
          </w:p>
        </w:tc>
        <w:tc>
          <w:tcPr>
            <w:shd w:color="FFF7ED" w:val="solid"/>
            <w:tcMar>
              <w:top w:type="dxa" w:w="60"/>
              <w:left w:type="dxa" w:w="100"/>
              <w:bottom w:type="dxa" w:w="60"/>
              <w:right w:type="dxa" w:w="100"/>
            </w:tcMar>
          </w:tcPr>
          <w:p>
            <w:pPr>
              <w:jc w:val="center"/>
            </w:pPr>
            <w:r>
              <w:rPr>
                <w:rFonts w:ascii="Calibri" w:cs="Calibri" w:eastAsia="Calibri" w:hAnsi="Calibri"/>
                <w:b/>
                <w:bCs/>
                <w:color w:val="C2410C"/>
                <w:sz w:val="18"/>
                <w:szCs w:val="18"/>
              </w:rPr>
              <w:t xml:space="preserve">+2</w:t>
            </w:r>
          </w:p>
        </w:tc>
      </w:tr>
    </w:tbl>
    <w:p>
      <w:r>
        <w:br w:type="page"/>
      </w:r>
    </w:p>
    <w:p>
      <w:pPr>
        <w:spacing w:after="60" w:before="0"/>
      </w:pPr>
      <w:r>
        <w:rPr>
          <w:rFonts w:ascii="Calibri" w:cs="Calibri" w:eastAsia="Calibri" w:hAnsi="Calibri"/>
          <w:b/>
          <w:bCs/>
          <w:color w:val="1E3A5F"/>
          <w:sz w:val="28"/>
          <w:szCs w:val="28"/>
        </w:rPr>
        <w:t xml:space="preserve">1.  AI Observability Tools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No change requested</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Datadog is the one named observability destination with a real, configured path: it appears in the alert integrations list, receiving OCSF Detection Findings through the Datadog logs intake API with an API key, subject to the same severity filters, source restrictions, deduplication, delivery health tracking and dead-letter queue as the SIEM destinations. Beyond that, TrustGate exposes Prometheus metrics covering request counts, latency, upstream performance and connection state, streams a rich per-request event to a configurable Kafka topic, and the product overview describes OpenTelemetry OTLP export, with TrustGuard findings surfacing as spans in traces when TrustGate is the enforcement point. The TrustLens Vertex connector consumes OpenTelemetry traces from Google Cloud Trace to reconstruct tool-call breakdowns. The AI-native observability tier is missing entirely: LangSmith, Arize, Langfuse, Braintrust and Weights and Biases have no integration, so trace linkage between a NeuralTrust security verdict and an LLM evaluation trace in those tools must be reconstructed by shared identifiers the customer propagates. Datadog also receives alerts rather than full request telemetry, so its LLM Observability product will not show NeuralTrust spans without separate OTLP wiring.</w:t>
            </w:r>
          </w:p>
          <w:p>
            <w:pPr>
              <w:spacing w:after="80"/>
            </w:pPr>
            <w:r>
              <w:rPr>
                <w:rFonts w:ascii="Calibri" w:cs="Calibri" w:eastAsia="Calibri" w:hAnsi="Calibri"/>
                <w:color w:val="1F2937"/>
                <w:sz w:val="19"/>
                <w:szCs w:val="19"/>
              </w:rPr>
              <w:t xml:space="preserve">NeuralTrust docs - alert integrations describing Datadog logs intake delivery with API key - https://docs.neuraltrust.ai/platform/alert-integrations.md; NeuralTrust docs - TrustGate telemetry with Kafka event streaming and TrustLens forwarding - https://docs.neuraltrust.ai/trustgate/observability/telemetry; NeuralTrust docs - TrustGate overview citing OTLP export and Prometheus metrics - https://docs.neuraltrust.ai/trustgate/overview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mature integration with enterprise observability platforms by exporting structured AI security telemetry, operational metrics and normalized security findings into existing monitoring environments.</w:t>
            </w:r>
          </w:p>
          <w:p>
            <w:pPr>
              <w:spacing w:after="80"/>
            </w:pPr>
            <w:r>
              <w:rPr>
                <w:rFonts w:ascii="Calibri" w:cs="Calibri" w:eastAsia="Calibri" w:hAnsi="Calibri"/>
                <w:color w:val="1F2937"/>
                <w:sz w:val="19"/>
                <w:szCs w:val="19"/>
              </w:rPr>
              <w:t xml:space="preserve">The platform integrates with observability ecosystems through standardized telemetry, enabling organizations to correlate AI runtime activity, policy enforcement, security detections and operational health with broader application monitoring workflows. Security events include rich metadata, trace identifiers and operational context, supporting both engineering and security operations teams.</w:t>
            </w:r>
          </w:p>
          <w:p>
            <w:pPr>
              <w:spacing w:after="80"/>
            </w:pPr>
            <w:r>
              <w:rPr>
                <w:rFonts w:ascii="Calibri" w:cs="Calibri" w:eastAsia="Calibri" w:hAnsi="Calibri"/>
                <w:color w:val="1F2937"/>
                <w:sz w:val="19"/>
                <w:szCs w:val="19"/>
              </w:rPr>
              <w:t xml:space="preserve">This provides significantly more than basic log export and represents enterprise-grade observability integration for AI systems.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  AI Supply Chain Assessment</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Supply chain is a named control category in TrustLens and it receives the heaviest weighting on endpoints, at forty percent of the endpoint score against thirty percent on cloud resources, reflecting the vendor's view that managed devices carry different exposure. Concretely, MCP servers are assessed against five controls including mcp_supply_chain weighted at 3.5, mcp_no_hardcoded_secrets at 5.0 and mcp_no_auto_approve_wildcard at 4.0, endpoint tools are assessed against five controls covering known CVEs and version currency, and one documented alert playbook targets critical CVEs on developer tools. Discovery feeds this from three directions: the GitHub connector parses mcp.json and framework configurations plus agent code using CrewAI, OpenAI Agents SDK, AutoGen, LangChain, LangGraph and LlamaIndex, the endpoint script harvests MCP declarations from devices, and TrustGate publishes a curated remote MCP server catalogue. Findings map to OWASP MCP Top 10 among other frameworks. The gaps are meaningful. The TrustGate MCP catalogue ranks servers by an enterprise relevance score rather than any security vetting or attestation, there is no dependency or SBOM analysis of the agent framework packages themselves, no maintainer or publisher reputation signal, and no continuous monitoring of a third-party MCP server for tool definition changes after onboarding.</w:t>
            </w:r>
          </w:p>
          <w:p>
            <w:pPr>
              <w:spacing w:after="80"/>
            </w:pPr>
            <w:r>
              <w:rPr>
                <w:rFonts w:ascii="Calibri" w:cs="Calibri" w:eastAsia="Calibri" w:hAnsi="Calibri"/>
                <w:color w:val="1F2937"/>
                <w:sz w:val="19"/>
                <w:szCs w:val="19"/>
              </w:rPr>
              <w:t xml:space="preserve">NeuralTrust Docs - TrustLens risk &amp; findings - https://docs.neuraltrust.ai/trustlens/risk-and-findings; NeuralTrust Docs - MCP servers catalog API - https://docs.neuraltrust.ai/trustgate/api-reference/catalog/list-the-mcp-servers-catalog; NeuralTrust Docs - GitHub integration - https://docs.neuraltrust.ai/trustlens/integrations/github; NeuralTrust Docs - TrustLens alerts - https://docs.neuraltrust.ai/trustlens/alerts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comprehensive AI supply chain visibility by continuously evaluating the security posture of AI components including models, MCP servers, AI endpoints, datasets, external providers and connected tools.</w:t>
            </w:r>
          </w:p>
          <w:p>
            <w:pPr>
              <w:spacing w:after="80"/>
            </w:pPr>
            <w:r>
              <w:rPr>
                <w:rFonts w:ascii="Calibri" w:cs="Calibri" w:eastAsia="Calibri" w:hAnsi="Calibri"/>
                <w:color w:val="1F2937"/>
                <w:sz w:val="19"/>
                <w:szCs w:val="19"/>
              </w:rPr>
              <w:t xml:space="preserve">TrustLens includes dedicated supply chain controls that identify insecure dependencies, misconfigured MCP servers, excessive permissions, shadow AI usage and third-party integration risks. Combined with runtime policy enforcement and posture management, organizations gain continuous visibility into the operational AI supply chain and its associated security risks.</w:t>
            </w:r>
          </w:p>
          <w:p>
            <w:pPr>
              <w:spacing w:after="80"/>
            </w:pPr>
            <w:r>
              <w:rPr>
                <w:rFonts w:ascii="Calibri" w:cs="Calibri" w:eastAsia="Calibri" w:hAnsi="Calibri"/>
                <w:color w:val="1F2937"/>
                <w:sz w:val="19"/>
                <w:szCs w:val="19"/>
              </w:rPr>
              <w:t xml:space="preserve">The platform delivers practical supply chain assessment capabilities tailored specifically for enterprise AI systems, extending well beyond traditional dependency inventories.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https://neuraltrust.ai/red-teaming</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  AWS Bedrock AgentCore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No change requested</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AWS is the weakest of the three hyperscalers for NeuralTrust, and the asymmetry is striking. On the traffic side TrustGate ships a first-class bedrock provider adapter and TrustGuard can invoke AWS Bedrock Guardrails as one of its policy backends alongside OpenAI Moderation and Azure Content Safety, so multi-model inference routed through the gateway is inspectable. On the posture side there is nothing. Where TrustLens publishes documented connectors for Azure and GCP Vertex AI with named service principal roles and IAM bindings, no equivalent AWS connector exists in the documentation set, which means Bedrock Agents, action groups, knowledge bases and AgentCore runtime, memory, gateway and identity components are not enumerated, and no AgentCore Observability or CloudTrail ingestion is described. NeuralTrust does document AWS EKS as a self-hosted and hybrid deployment target, but that is where the product runs rather than what it secures. The practical consequence for a Bedrock-standardised buyer is that inline inspection is available only for traffic they explicitly proxy through TrustGate, agent inventory must be maintained manually or via the GitHub code scanner, and AgentCore's own identity and gateway primitives are neither read nor enforced against.</w:t>
            </w:r>
          </w:p>
          <w:p>
            <w:pPr>
              <w:spacing w:after="80"/>
            </w:pPr>
            <w:r>
              <w:rPr>
                <w:rFonts w:ascii="Calibri" w:cs="Calibri" w:eastAsia="Calibri" w:hAnsi="Calibri"/>
                <w:color w:val="1F2937"/>
                <w:sz w:val="19"/>
                <w:szCs w:val="19"/>
              </w:rPr>
              <w:t xml:space="preserve">NeuralTrust docs - TrustGate overview listing Bedrock adapter and Bedrock guardrail policies - https://docs.neuraltrust.ai/trustgate/overview; NeuralTrust docs - TrustGate registries provider identifiers including bedrock - https://docs.neuraltrust.ai/trustgate/concepts/registries; NeuralTrust documentation sitemap - TrustLens integrations contain no AWS connector - https://docs.neuraltrust.ai/sitemap.xml</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primarily evaluates native management integrations rather than runtime security capabilities. NeuralTrust provides first-class support for Amazon Bedrock as a protected AI runtime, including secure routing, policy enforcement, observability, content moderation, tool governance and multi-model security controls through TrustGate.</w:t>
            </w:r>
          </w:p>
          <w:p>
            <w:pPr>
              <w:spacing w:after="80"/>
            </w:pPr>
            <w:r>
              <w:rPr>
                <w:rFonts w:ascii="Calibri" w:cs="Calibri" w:eastAsia="Calibri" w:hAnsi="Calibri"/>
                <w:color w:val="1F2937"/>
                <w:sz w:val="19"/>
                <w:szCs w:val="19"/>
              </w:rPr>
              <w:t xml:space="preserve">Organizations can apply consistent enterprise security policies across Bedrock-hosted AI applications alongside OpenAI, Azure OpenAI, Anthropic and other providers without changing application logic. This enables centralized governance of heterogeneous AI environments while maintaining provider-specific capabilities where appropriate.</w:t>
            </w:r>
          </w:p>
          <w:p>
            <w:pPr>
              <w:spacing w:after="80"/>
            </w:pPr>
            <w:r>
              <w:rPr>
                <w:rFonts w:ascii="Calibri" w:cs="Calibri" w:eastAsia="Calibri" w:hAnsi="Calibri"/>
                <w:color w:val="1F2937"/>
                <w:sz w:val="19"/>
                <w:szCs w:val="19"/>
              </w:rPr>
              <w:t xml:space="preserve">Given the breadth of runtime protection available for Amazon Bedrock deployments, "Good" more accurately reflects the platform's practical support.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  Access Certification &amp; Review</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DC2626"/>
                <w:sz w:val="19"/>
                <w:szCs w:val="19"/>
              </w:rPr>
              <w:t xml:space="preserve">0 — Not Supported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0 → 2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Periodic attestation of agent entitlements by business owners does not exist in the NeuralTrust platform. There is no campaign engine, no reviewer assignment, no certify or revoke decision capture, no recertification schedule and no evidence package for auditors demonstrating that entitlements were reviewed. The absence compounds a related gap already noted in discovery: because the TrustLens inventory carries no attested business owner field, there would be nobody for a campaign to route to even if the workflow existed. What the platform offers is the raw material a reviewer would need. TrustLens produces a current inventory of agents with their tools, knowledge bases, guardrails and authentication modes, retained indefinitely for current state with ninety days of historical change by default and configurable up to three hundred sixty-five. TrustGate exposes consumers, roles, registries, model policies and MCP toolkits through an admin API from which entitlement extracts can be generated. Platform audit logs retain a year of user and API key events for SOC 2 purposes, and identity governance for human users is handled through SCIM provisioning and Entra ID or generic OIDC SSO. Buyers with ISO 42001 or SOX obligations should assume they will export this data into an existing IGA tool such as SailPoint or Saviynt.</w:t>
            </w:r>
          </w:p>
          <w:p>
            <w:pPr>
              <w:spacing w:after="80"/>
            </w:pPr>
            <w:r>
              <w:rPr>
                <w:rFonts w:ascii="Calibri" w:cs="Calibri" w:eastAsia="Calibri" w:hAnsi="Calibri"/>
                <w:color w:val="1F2937"/>
                <w:sz w:val="19"/>
                <w:szCs w:val="19"/>
              </w:rPr>
              <w:t xml:space="preserve">NeuralTrust Docs - TrustLens Inventory - https://docs.neuraltrust.ai/trustlens/inventory; NeuralTrust Docs - Audit logs - https://docs.neuraltrust.ai/platform/audit-logs; NeuralTrust Docs - SCIM provisioning - https://docs.neuraltrust.ai/platform/scim; NeuralTrust Docs - TrustGate Admin API - https://docs.neuraltrust.ai/trustgate/api/overview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While NeuralTrust does not provide a standalone access certification campaign engine comparable to traditional IGA solutions, administrators can centrally review and manage the permissions assigned to AI applications, agents, models, tools and MCP resources through the platform.</w:t>
            </w:r>
          </w:p>
          <w:p>
            <w:pPr>
              <w:spacing w:after="80"/>
            </w:pPr>
            <w:r>
              <w:rPr>
                <w:rFonts w:ascii="Calibri" w:cs="Calibri" w:eastAsia="Calibri" w:hAnsi="Calibri"/>
                <w:color w:val="1F2937"/>
                <w:sz w:val="19"/>
                <w:szCs w:val="19"/>
              </w:rPr>
              <w:t xml:space="preserve">Runtime identities, authentication methods, model permissions, tool access and security policies are centrally visible and auditable, allowing organizations to periodically review and validate AI access configurations. These capabilities complement existing enterprise IAM and governance platforms rather than replacing them.</w:t>
            </w:r>
          </w:p>
          <w:p>
            <w:pPr>
              <w:spacing w:after="80"/>
            </w:pPr>
            <w:r>
              <w:rPr>
                <w:rFonts w:ascii="Calibri" w:cs="Calibri" w:eastAsia="Calibri" w:hAnsi="Calibri"/>
                <w:color w:val="1F2937"/>
                <w:sz w:val="19"/>
                <w:szCs w:val="19"/>
              </w:rPr>
              <w:t xml:space="preserve">Given the availability of centralized visibility, auditability and permission management for AI workloads, "Partial" better reflects the platform's capabilities than "None".</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5.  Action Approval Workflows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DC2626"/>
                <w:sz w:val="19"/>
                <w:szCs w:val="19"/>
              </w:rPr>
              <w:t xml:space="preserve">0 — Not Supported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0 → 2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There is no human-in-the-loop approval capability in the NeuralTrust platform. Nothing in the TrustGate policy set, the TrustGuard policy model or the MCP plane documentation describes pausing a high-impact tool call, routing it to a named approver, holding the agent in a suspended state and resuming on decision. The available enforcement outcomes are allow, report, transform and block, with block returning an immediate rejection rather than a pending state. Two features are adjacent but do not substitute. The MCP plane operates as an OAuth2 authorisation server with dynamic client registration, PKCE and consent management for downstream provider connections, so a user consents once when an agent first connects a provider, not per action. And platform alerts support a default assignee and severity so a flagged event can be routed to a person, but that is after-the-fact triage on an action that already executed. Break-glass exists only for bypassing SSO enforcement, capped at five users per provider. Buyers who need approval gates on payments, ticket closures or production changes must implement them in their own agent framework or orchestration layer and use TrustGate purely to detect and block, which is a meaningful architectural burden.</w:t>
            </w:r>
          </w:p>
          <w:p>
            <w:pPr>
              <w:spacing w:after="80"/>
            </w:pPr>
            <w:r>
              <w:rPr>
                <w:rFonts w:ascii="Calibri" w:cs="Calibri" w:eastAsia="Calibri" w:hAnsi="Calibri"/>
                <w:color w:val="1F2937"/>
                <w:sz w:val="19"/>
                <w:szCs w:val="19"/>
              </w:rPr>
              <w:t xml:space="preserve">NeuralTrust Docs - TrustGuard policies - https://docs.neuraltrust.ai/trustguard/concepts/policies; NeuralTrust Docs - TrustGate MCP plane - https://docs.neuraltrust.ai/trustgate/mcp/overview; NeuralTrust Docs - Platform alerts - https://docs.neuraltrust.ai/platform/alerts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Although NeuralTrust does not currently implement a traditional human approval workflow engine, the platform supports policy-based governance that enables organizations to control high-risk actions before execution.</w:t>
            </w:r>
          </w:p>
          <w:p>
            <w:pPr>
              <w:spacing w:after="80"/>
            </w:pPr>
            <w:r>
              <w:rPr>
                <w:rFonts w:ascii="Calibri" w:cs="Calibri" w:eastAsia="Calibri" w:hAnsi="Calibri"/>
                <w:color w:val="1F2937"/>
                <w:sz w:val="19"/>
                <w:szCs w:val="19"/>
              </w:rPr>
              <w:t xml:space="preserve">Policies can observe, report, transform, redact or block tool invocations based on configurable risk conditions, effectively preventing unauthorized operations. These controls can be combined with existing enterprise approval systems through APIs and workflow orchestration platforms, allowing approval processes to remain external while NeuralTrust enforces runtime security decisions.</w:t>
            </w:r>
          </w:p>
          <w:p>
            <w:pPr>
              <w:spacing w:after="80"/>
            </w:pPr>
            <w:r>
              <w:rPr>
                <w:rFonts w:ascii="Calibri" w:cs="Calibri" w:eastAsia="Calibri" w:hAnsi="Calibri"/>
                <w:color w:val="1F2937"/>
                <w:sz w:val="19"/>
                <w:szCs w:val="19"/>
              </w:rPr>
              <w:t xml:space="preserve">Given the availability of policy-driven enforcement and integration with enterprise workflow ecosystems, "Partial" more accurately reflects the platform's capabilities than "None".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https://neuraltrust.ai/ai-agent-security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6.  Admin API &amp; Automation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Automation coverage is excellent for TrustGate and noticeably thinner elsewhere, so the answer depends on which component a team wants to drive from code. The TrustGate admin plane publishes an OpenAPI specification and exposes full lifecycle operations across gateways, registries, upstreams, consumers, auth objects, roles, policies, catalogs and system probes, including policy duplicate, mark-global and clear-global operations that make templating practical. Administration is authenticated with a JWT derived from the server secret key, and because the entire object graph is API-addressable the gateway can legitimately be managed as code from CI, with the Helm chart and its per-component feature flags covering the infrastructure layer for GitOps workflows. Three official SDKs cover Python, Node and TypeScript, and Go. The limitation is uneven surface area across the portfolio. TrustGuard publicly documents only the guard and evaluate endpoints; detector configuration, collector creation and policy routing are console-driven operations without a documented management API, which forces click-ops for the part of the platform most likely to change during tuning. TrustLens has no documented public API for connectors, findings export or risk scores. Teams standardising on infrastructure-as-code should expect to automate the gateway fully and manage detection and posture configuration manually.</w:t>
            </w:r>
          </w:p>
          <w:p>
            <w:pPr>
              <w:spacing w:after="80"/>
            </w:pPr>
            <w:r>
              <w:rPr>
                <w:rFonts w:ascii="Calibri" w:cs="Calibri" w:eastAsia="Calibri" w:hAnsi="Calibri"/>
                <w:color w:val="1F2937"/>
                <w:sz w:val="19"/>
                <w:szCs w:val="19"/>
              </w:rPr>
              <w:t xml:space="preserve">NeuralTrust Docs - TrustGate API reference - https://docs.neuraltrust.ai/trustgate/api-reference/overview; NeuralTrust Docs - TrustGate policies API - https://docs.neuraltrust.ai/trustgate/api-reference/policies/list-policies; NeuralTrust Docs - TrustGuard Evaluate API - https://docs.neuraltrust.ai/trustguard/api/evaluate; NeuralTrust GitHub - TrustGate - https://github.com/NeuralTrust/TrustGate</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does not fully reflect the maturity of NeuralTrust's automation capabilities. TrustGate exposes a comprehensive OpenAPI-based administration API covering the complete lifecycle of gateways, consumers, applications, authentication objects, registries, models, policies, roles and runtime configuration.</w:t>
            </w:r>
          </w:p>
          <w:p>
            <w:pPr>
              <w:spacing w:after="80"/>
            </w:pPr>
            <w:r>
              <w:rPr>
                <w:rFonts w:ascii="Calibri" w:cs="Calibri" w:eastAsia="Calibri" w:hAnsi="Calibri"/>
                <w:color w:val="1F2937"/>
                <w:sz w:val="19"/>
                <w:szCs w:val="19"/>
              </w:rPr>
              <w:t xml:space="preserve">The platform is designed for Infrastructure-as-Code and DevSecOps workflows, enabling organizations to automate provisioning, policy deployment, configuration management and operational administration through CI/CD pipelines and orchestration platforms. Configuration changes are fully programmatic, repeatable and version-controlled, significantly reducing manual operational effort.</w:t>
            </w:r>
          </w:p>
          <w:p>
            <w:pPr>
              <w:spacing w:after="80"/>
            </w:pPr>
            <w:r>
              <w:rPr>
                <w:rFonts w:ascii="Calibri" w:cs="Calibri" w:eastAsia="Calibri" w:hAnsi="Calibri"/>
                <w:color w:val="1F2937"/>
                <w:sz w:val="19"/>
                <w:szCs w:val="19"/>
              </w:rPr>
              <w:t xml:space="preserve">While API maturity varies slightly across individual platform modules, NeuralTrust provides enterprise-grade administrative automation suitable for large-scale AI security deployments.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7.  Agent Identity Issuance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models agent identity through the TrustGate consumer, described in the documentation as the runtime identity of a calling application and the object that holds credentials and routing configuration. Each consumer belongs to one gateway, carries a URL-safe slug that forms the first path segment of its requests, and is typed as LLM, MCP or A2A, with A2A explicitly marked as planned. Credentials attach to consumers as separate auth objects so they can be rotated or shared without touching consumer configuration, and API keys are prefixed ag_ with only a SHA-256 hash retained server-side. That gives an agent an identity distinct from the human who created it, which is the core requirement. The implementation stops short of a verifiable workload identity, however. There is no SPIFFE or SVID support, no cryptographic attestation binding the identity to the running workload, and no issuance of short-lived x509 or JWT workload credentials by NeuralTrust itself, so possession of a bearer key is the whole proof. Identity is also gateway-scoped rather than global: the same agent reaching two gateways is two consumers with no shared identity record, and TrustLens-discovered agents that never traverse TrustGate have no runtime identity at all.</w:t>
            </w:r>
          </w:p>
          <w:p>
            <w:pPr>
              <w:spacing w:after="80"/>
            </w:pPr>
            <w:r>
              <w:rPr>
                <w:rFonts w:ascii="Calibri" w:cs="Calibri" w:eastAsia="Calibri" w:hAnsi="Calibri"/>
                <w:color w:val="1F2937"/>
                <w:sz w:val="19"/>
                <w:szCs w:val="19"/>
              </w:rPr>
              <w:t xml:space="preserve">NeuralTrust Docs - TrustGate Consumers - https://docs.neuraltrust.ai/trustgate/concepts/consumers; NeuralTrust Docs - TrustGate Auth concepts - https://docs.neuraltrust.ai/trustgate/concepts/auth; NeuralTrust Docs - TrustGate architecture - https://docs.neuraltrust.ai/trustgate/architecture</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NeuralTrust's identity model. Every AI application, agent or MCP client is represented through a managed runtime identity (Consumer) with its own credentials, authentication method, routing configuration, policies, model permissions and security controls.</w:t>
            </w:r>
          </w:p>
          <w:p>
            <w:pPr>
              <w:spacing w:after="80"/>
            </w:pPr>
            <w:r>
              <w:rPr>
                <w:rFonts w:ascii="Calibri" w:cs="Calibri" w:eastAsia="Calibri" w:hAnsi="Calibri"/>
                <w:color w:val="1F2937"/>
                <w:sz w:val="19"/>
                <w:szCs w:val="19"/>
              </w:rPr>
              <w:t xml:space="preserve">These identities can be independently managed, authenticated, audited and governed, providing a unique security boundary for each AI workload. Runtime identities support API keys, OAuth2, JWTs, mTLS and enterprise identity providers, enabling secure identity issuance and lifecycle management for AI systems.</w:t>
            </w:r>
          </w:p>
          <w:p>
            <w:pPr>
              <w:spacing w:after="80"/>
            </w:pPr>
            <w:r>
              <w:rPr>
                <w:rFonts w:ascii="Calibri" w:cs="Calibri" w:eastAsia="Calibri" w:hAnsi="Calibri"/>
                <w:color w:val="1F2937"/>
                <w:sz w:val="19"/>
                <w:szCs w:val="19"/>
              </w:rPr>
              <w:t xml:space="preserve">While NeuralTrust does not operate as a traditional enterprise PKI or IAM platform, it provides comprehensive identity issuance and management for AI agents operating through the gateway.</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8.  Agent Ownership Attribution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does not document a business-owner attribute on discovered agents, and this is the clearest structural gap in the inventory. What the platform provides instead is provenance rather than ownership: every inventory record carries a source_integration field identifying which connector found it, endpoint discoveries are keyed to a hardware UUID and MDM device ID that can be resolved to an employee through Intune or Kandji, GitHub-discovered agent code inherits repository provenance, and runtime events carry a consumer_id that identifies the calling application or user. Alerts support a default assignee and severity, but that assigns an analyst to triage, not a business owner accountable for the asset. The consequence is operational. The TrustLens alert playbooks explicitly frame remediation as configuration weaknesses that the owning team must fix rather than blocks the SOC enforces, yet the platform offers no attested owner to route that work to, so enterprises must maintain the agent-to-owner mapping externally in a CMDB or ticketing system and reconcile it manually after each sync. Buyers who need ownership to drive accountability, chargeback or certification workflows should assume this is an integration they will build.</w:t>
            </w:r>
          </w:p>
          <w:p>
            <w:pPr>
              <w:spacing w:after="80"/>
            </w:pPr>
            <w:r>
              <w:rPr>
                <w:rFonts w:ascii="Calibri" w:cs="Calibri" w:eastAsia="Calibri" w:hAnsi="Calibri"/>
                <w:color w:val="1F2937"/>
                <w:sz w:val="19"/>
                <w:szCs w:val="19"/>
              </w:rPr>
              <w:t xml:space="preserve">NeuralTrust Docs - TrustLens Inventory - https://docs.neuraltrust.ai/trustlens/inventory; NeuralTrust Docs - TrustLens alerts - https://docs.neuraltrust.ai/trustlens/alerts; NeuralTrust Docs - Endpoint Discovery (MDM) - https://docs.neuraltrust.ai/trustlens/integrations/endpoint-mdm</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does not capture a manually-assigned business-owner field. Every inventory record carries a source_integration field identifying which connector discovered it, and endpoint discoveries are keyed to hardware identity. This is a provenance-based model rather than a self-declared ownership model, and arguably more reliable for security purposes since it cannot go stale the way manually-entered owner fields typically do.</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https://neuraltrust.ai/agent-posture-management</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9.  Agent-to-Agent Authentication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2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Mutual authentication between agents in a delegation chain is not a shipped capability. TrustGate consumers can be typed as A2A but the documentation lists that type as planned, so there is no generally available agent-to-agent data path through which identity could be verified. TrustGuard detectors accept a2a as a protocol scope and TrustGate documentation says findings appear as spans across LLM, MCP and A2A traffic, which shows the plumbing anticipates the protocol, but no detector or policy validates that a calling agent is who it claims to be or that a called agent is authorised to accept the delegation. What does exist and can be repurposed is ordinary machine authentication: mTLS client certificates are a supported auth type, so agents fronted by TrustGate can present certificates, and the MCP plane authenticates agent clients through OAuth2 with dynamic client registration and PKCE, which covers the agent-to-gateway leg. Neither establishes end-to-end chain identity, and neither records which agent authorised which downstream action. Vendor marketing claims that agent-to-agent delegation is traced with audit records for handoffs, but the technical documentation does not describe the authentication mechanism behind it. Buyers building multi-agent systems today should assume they must supply this themselves.</w:t>
            </w:r>
          </w:p>
          <w:p>
            <w:pPr>
              <w:spacing w:after="80"/>
            </w:pPr>
            <w:r>
              <w:rPr>
                <w:rFonts w:ascii="Calibri" w:cs="Calibri" w:eastAsia="Calibri" w:hAnsi="Calibri"/>
                <w:color w:val="1F2937"/>
                <w:sz w:val="19"/>
                <w:szCs w:val="19"/>
              </w:rPr>
              <w:t xml:space="preserve">NeuralTrust Docs - TrustGate Consumers - https://docs.neuraltrust.ai/trustgate/concepts/consumers; NeuralTrust Docs - TrustGate Auth concepts - https://docs.neuraltrust.ai/trustgate/concepts/auth; NeuralTrust - AI Gateway product page - https://neuraltrust.ai/ai-gateway; NeuralTrust Docs - Gateway integrations - https://docs.neuraltrust.ai/trustguard/integrations/gateway</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already provides the security primitives required to secure agent-to-agent communications through authenticated MCP interactions, delegated identity propagation and policy enforcement across runtime requests.</w:t>
            </w:r>
          </w:p>
          <w:p>
            <w:pPr>
              <w:spacing w:after="80"/>
            </w:pPr>
            <w:r>
              <w:rPr>
                <w:rFonts w:ascii="Calibri" w:cs="Calibri" w:eastAsia="Calibri" w:hAnsi="Calibri"/>
                <w:color w:val="1F2937"/>
                <w:sz w:val="19"/>
                <w:szCs w:val="19"/>
              </w:rPr>
              <w:t xml:space="preserve">The platform supports authentication between AI components using OAuth2, JWTs, mTLS and API Keys while enforcing authorization, tool permissions and runtime security policies on every interaction. Agent communication can therefore be authenticated and governed even if dedicated native A2A orchestration capabilities continue to evolve.</w:t>
            </w:r>
          </w:p>
          <w:p>
            <w:pPr>
              <w:spacing w:after="80"/>
            </w:pPr>
            <w:r>
              <w:rPr>
                <w:rFonts w:ascii="Calibri" w:cs="Calibri" w:eastAsia="Calibri" w:hAnsi="Calibri"/>
                <w:color w:val="1F2937"/>
                <w:sz w:val="19"/>
                <w:szCs w:val="19"/>
              </w:rPr>
              <w:t xml:space="preserve">Given the existing runtime authentication capabilities, "Partial" more accurately reflects current functionality than "Limited".</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10.  Autonomous Kill Switch</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has no autonomous quarantine or halt capability for a misbehaving agent. The strongest automatic action available is per-request denial: a TrustGuard policy resolving to block, a TrustGate gate blocking before detectors run, or the fail_mode closed setting on the MCP plane causing calls to fail when an upstream server is unavailable. Each of these stops the offending request but leaves the agent running, free to attempt the next one indefinitely, with the anomaly_detector at best raising an alert after its three hundred second history window accumulates enough signal. Stopping an agent entirely is a manual administrative act: an operator disables or deletes the consumer, revokes its auth object, toggles a policy off, or removes registry attachments through the admin API. Nothing in the documented alert pipeline can be configured to trigger those actions automatically; alerts route to Splunk, Sentinel, Elastic, QRadar, Datadog or a webhook, and to an assignee, which means any automated response must be built by the customer as SOAR playbooks calling the TrustGate admin API. The TrustLens alert playbooks themselves reinforce this framing, describing findings as configuration weaknesses that owners remediate rather than blocks the SOC enforces. For buyers expecting containment on detection, this is a build, not a buy.</w:t>
            </w:r>
          </w:p>
          <w:p>
            <w:pPr>
              <w:spacing w:after="80"/>
            </w:pPr>
            <w:r>
              <w:rPr>
                <w:rFonts w:ascii="Calibri" w:cs="Calibri" w:eastAsia="Calibri" w:hAnsi="Calibri"/>
                <w:color w:val="1F2937"/>
                <w:sz w:val="19"/>
                <w:szCs w:val="19"/>
              </w:rPr>
              <w:t xml:space="preserve">NeuralTrust Docs - TrustGuard policies - https://docs.neuraltrust.ai/trustguard/concepts/policies; NeuralTrust Docs - Platform alerts - https://docs.neuraltrust.ai/platform/alerts; NeuralTrust Docs - TrustGate MCP plane - https://docs.neuraltrust.ai/trustgate/mcp/overview; NeuralTrust Docs - TrustLens alerts - https://docs.neuraltrust.ai/trustlens/alerts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automated runtime enforcement capable of immediately stopping malicious or non-compliant AI interactions without requiring human intervention.</w:t>
            </w:r>
          </w:p>
          <w:p>
            <w:pPr>
              <w:spacing w:after="80"/>
            </w:pPr>
            <w:r>
              <w:rPr>
                <w:rFonts w:ascii="Calibri" w:cs="Calibri" w:eastAsia="Calibri" w:hAnsi="Calibri"/>
                <w:color w:val="1F2937"/>
                <w:sz w:val="19"/>
                <w:szCs w:val="19"/>
              </w:rPr>
              <w:t xml:space="preserve">Security policies continuously inspect prompts, responses, tool invocations and agent behavior, automatically blocking requests that violate organizational policies or trigger security detections. Administrators can also disable applications, revoke credentials, remove tool permissions and update policies centrally, with changes immediately enforced across protected AI workloads.</w:t>
            </w:r>
          </w:p>
          <w:p>
            <w:pPr>
              <w:spacing w:after="80"/>
            </w:pPr>
            <w:r>
              <w:rPr>
                <w:rFonts w:ascii="Calibri" w:cs="Calibri" w:eastAsia="Calibri" w:hAnsi="Calibri"/>
                <w:color w:val="1F2937"/>
                <w:sz w:val="19"/>
                <w:szCs w:val="19"/>
              </w:rPr>
              <w:t xml:space="preserve">While NeuralTrust does not terminate operating-system processes, it provides an effective runtime kill switch by preventing further agent interactions and unauthorized actions at the security gateway.</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11.  Behavioural Baselining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behavioural capability is narrow and short-memoried, and buyers should not read it as agent behaviour modelling. The anomaly_detector is the only detector in the behavioural security category. It is stateful and scores an actor on three weighted signals: request timing to catch bot-like or unusually rapid cadence, content similarity to catch repeated or near-identical payloads indicating scripted abuse, and cross-collector activity where the same actor targets multiple collectors. Defaults weight all three equally at 0.33 with a flagging threshold of 0.7 and an actor history retained for three hundred seconds. It requires a stable consumer_id on every guard request or attribution is impossible, and the documentation advises running it in observe mode first because the signals are probabilistic, and pairing it with rate limiting since limits control volume while anomaly detection catches patterns operating within an acceptable quota. The gap is that this profiles a caller's request pattern, not an agent's operational behaviour. It does not learn which tools an agent normally invokes, which data sources it typically touches, its usual sequence length or its normal cost profile, and a three hundred second window cannot establish a baseline that spans days. Longer-horizon deviation must be approximated with aggregate alert rules on latency, error rates and token usage.</w:t>
            </w:r>
          </w:p>
          <w:p>
            <w:pPr>
              <w:spacing w:after="80"/>
            </w:pPr>
            <w:r>
              <w:rPr>
                <w:rFonts w:ascii="Calibri" w:cs="Calibri" w:eastAsia="Calibri" w:hAnsi="Calibri"/>
                <w:color w:val="1F2937"/>
                <w:sz w:val="19"/>
                <w:szCs w:val="19"/>
              </w:rPr>
              <w:t xml:space="preserve">NeuralTrust Docs - Behavioral security detectors - https://docs.neuraltrust.ai/trustguard/detectors/behavioral-security; NeuralTrust Docs - Detector catalog - https://docs.neuraltrust.ai/trustguard/detectors/overview; NeuralTrust Docs - Platform alerts - https://docs.neuraltrust.ai/platform/alerts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continuously establishes operational baselines for AI systems by monitoring request patterns, model usage, tool activity, authentication context, security events and behavioral anomalies over time.</w:t>
            </w:r>
          </w:p>
          <w:p>
            <w:pPr>
              <w:spacing w:after="80"/>
            </w:pPr>
            <w:r>
              <w:rPr>
                <w:rFonts w:ascii="Calibri" w:cs="Calibri" w:eastAsia="Calibri" w:hAnsi="Calibri"/>
                <w:color w:val="1F2937"/>
                <w:sz w:val="19"/>
                <w:szCs w:val="19"/>
              </w:rPr>
              <w:t xml:space="preserve">Behavioral analytics identify deviations from expected interaction patterns, including unusual request volumes, abnormal tool usage, suspicious prompt sequences, repeated attack attempts and anomalous operational behavior. These signals are incorporated into runtime detection and alerting to identify potential security incidents early.</w:t>
            </w:r>
          </w:p>
          <w:p>
            <w:pPr>
              <w:spacing w:after="80"/>
            </w:pPr>
            <w:r>
              <w:rPr>
                <w:rFonts w:ascii="Calibri" w:cs="Calibri" w:eastAsia="Calibri" w:hAnsi="Calibri"/>
                <w:color w:val="1F2937"/>
                <w:sz w:val="19"/>
                <w:szCs w:val="19"/>
              </w:rPr>
              <w:t xml:space="preserve">Rather than focusing solely on traditional UEBA techniques, NeuralTrust applies behavioral analysis specifically to AI applications and agent interactions, providing meaningful baseline detection for enterprise AI environments.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12.  Blast Radius Limiting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Bounding damage is achieved through routing and quota constraints rather than through isolation, which caps how far it can go. TrustGate limits what an identity can reach: consumers attach only to specified registries, model_policies define allowed models per registry, roles derived from IdP claims gate registry and model access, MCP toolkits enumerate the exact tools an identity may invoke, and tool allowlists apply glob patterns with deny overriding allow. Quantitative bounds come from the ratelimit, tokenratelimit, cost_cap, requestsize and per-tool rate limiter policies, which cap how much damage a runaway agent can do per unit time. TrustLens contributes the assessment side, scoring an excessive agency control category and weighting mcp_no_auto_approve_wildcard at 4.0. The structural weakness is that all of this only bounds traffic that traverses TrustGate or a TrustGuard collector. An agent with a directly held cloud credential can act with its full IAM permissions without touching either product, so the true blast radius is set by the underlying identity permissions rather than by NeuralTrust. There is also no segmentation construct that isolates a compromised agent from peers at runtime, no per-agent network namespace, and no automatic tightening of scope when an incident is detected. Containment is preventive configuration, not reactive.</w:t>
            </w:r>
          </w:p>
          <w:p>
            <w:pPr>
              <w:spacing w:after="80"/>
            </w:pPr>
            <w:r>
              <w:rPr>
                <w:rFonts w:ascii="Calibri" w:cs="Calibri" w:eastAsia="Calibri" w:hAnsi="Calibri"/>
                <w:color w:val="1F2937"/>
                <w:sz w:val="19"/>
                <w:szCs w:val="19"/>
              </w:rPr>
              <w:t xml:space="preserve">NeuralTrust Docs - TrustGate Consumers - https://docs.neuraltrust.ai/trustgate/concepts/consumers; NeuralTrust Docs - Tool governance - https://docs.neuraltrust.ai/trustgate/policies/tool-governance; NeuralTrust Docs - Rate limiting &amp; budgets - https://docs.neuraltrust.ai/trustgate/policies/rate-limiting; NeuralTrust Docs - TrustLens risk &amp; findings - https://docs.neuraltrust.ai/trustlens/risk-and-findings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underestimates NeuralTrust's runtime containment capabilities. NeuralTrust limits the blast radius of AI agents through layered policy enforcement rather than operating-system isolation.</w:t>
            </w:r>
          </w:p>
          <w:p>
            <w:pPr>
              <w:spacing w:after="80"/>
            </w:pPr>
            <w:r>
              <w:rPr>
                <w:rFonts w:ascii="Calibri" w:cs="Calibri" w:eastAsia="Calibri" w:hAnsi="Calibri"/>
                <w:color w:val="1F2937"/>
                <w:sz w:val="19"/>
                <w:szCs w:val="19"/>
              </w:rPr>
              <w:t xml:space="preserve">Administrators can independently restrict which models, tools, MCP servers, registries and external services each agent may access, while runtime policies enforce model allowlists, tool permissions, authentication boundaries, rate limits and contextual security decisions. Combined with application-level scoping, delegated identity, and policy-driven request blocking, these controls significantly reduce the potential impact of compromised or misbehaving agents.</w:t>
            </w:r>
          </w:p>
          <w:p>
            <w:pPr>
              <w:spacing w:after="80"/>
            </w:pPr>
            <w:r>
              <w:rPr>
                <w:rFonts w:ascii="Calibri" w:cs="Calibri" w:eastAsia="Calibri" w:hAnsi="Calibri"/>
                <w:color w:val="1F2937"/>
                <w:sz w:val="19"/>
                <w:szCs w:val="19"/>
              </w:rPr>
              <w:t xml:space="preserve">Blast radius reduction is achieved through granular runtime authorization and policy enforcement, which represents the primary containment model used by modern enterprise AI gateways.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13.  CI/CD Platforms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Pipeline integration is possible but not productised. TrustTest is distributed as a Python package installed with extras per provider, and the trusttest-examples repository includes a CI/CD workshop folder alongside platform API utilities for syncing results with the NeuralTrust control plane, so a team can run red team scenarios and functional evaluations as a pipeline stage and gate a release on the outcome. NeuralTrust also maintains a public workflows repository of reusable GitHub Actions, though these appear to serve its own engineering rather than customers. What does not exist is a supported, versioned artifact for either major platform: there is no NeuralTrust action published to the GitHub Actions Marketplace, no GitLab CI/CD component or template in the catalogue, no Jenkins plugin, no Azure DevOps extension and no documented policy-as-code gate with a defined pass or fail contract, threshold configuration or annotated results returned to a pull request. The TrustLens GitHub App scans repositories for agent configuration files and framework code, but that is a discovery connector rather than a pipeline check and cannot block a merge. Teams therefore write and maintain their own wrapper scripts, pin their own versions and design their own failure semantics.</w:t>
            </w:r>
          </w:p>
          <w:p>
            <w:pPr>
              <w:spacing w:after="80"/>
            </w:pPr>
            <w:r>
              <w:rPr>
                <w:rFonts w:ascii="Calibri" w:cs="Calibri" w:eastAsia="Calibri" w:hAnsi="Calibri"/>
                <w:color w:val="1F2937"/>
                <w:sz w:val="19"/>
                <w:szCs w:val="19"/>
              </w:rPr>
              <w:t xml:space="preserve">NeuralTrust GitHub - trusttest-examples repository including a CI/CD workshop and platform API sync utilities - https://github.com/NeuralTrust/trusttest-examples; NeuralTrust GitHub organisation - workflows repository of reusable GitHub Actions - https://github.com/NeuralTrust; NeuralTrust docs - TrustTest installation as a Python package with provider extras - https://docs.neuraltrust.ai/trusttest/connect/llms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NeuralTrust's CI/CD capabilities. TrustTest is purpose-built for integration into modern software delivery pipelines and is distributed as a Python package specifically designed to run within automated build, test and release workflows.</w:t>
            </w:r>
          </w:p>
          <w:p>
            <w:pPr>
              <w:spacing w:after="80"/>
            </w:pPr>
            <w:r>
              <w:rPr>
                <w:rFonts w:ascii="Calibri" w:cs="Calibri" w:eastAsia="Calibri" w:hAnsi="Calibri"/>
                <w:color w:val="1F2937"/>
                <w:sz w:val="19"/>
                <w:szCs w:val="19"/>
              </w:rPr>
              <w:t xml:space="preserve">Security evaluations can be executed automatically during development, pull requests, pre-production validation and deployment gates, with structured outputs that integrate into existing CI/CD systems. Test suites are reusable, version-controlled and fully automatable, allowing organizations to continuously validate AI applications as part of their DevSecOps processes.</w:t>
            </w:r>
          </w:p>
          <w:p>
            <w:pPr>
              <w:spacing w:after="80"/>
            </w:pPr>
            <w:r>
              <w:rPr>
                <w:rFonts w:ascii="Calibri" w:cs="Calibri" w:eastAsia="Calibri" w:hAnsi="Calibri"/>
                <w:color w:val="1F2937"/>
                <w:sz w:val="19"/>
                <w:szCs w:val="19"/>
              </w:rPr>
              <w:t xml:space="preserve">While NeuralTrust intentionally integrates with customers' existing CI/CD platforms rather than providing a proprietary pipeline orchestrator, it delivers comprehensive automation capabilities for enterprise AI security testing.</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14.  Cloud Provider IAM</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consumes cloud IAM competently but does not govern it. The TrustLens GCP connector requires a service account granted seven named, read-only bindings, including aiplatform.viewer, storage.objectViewer, monitoring.viewer, cloudtrace.user, logging.viewer, modelarmor.viewer and a custom modelArmorFloorReader role for project-level safety floor settings. The Azure connector uses a single service principal with Azure AI User at subscription scope, Reader for control-plane enumeration and optional Log Analytics Reader and Monitoring Reader. The M365 connector documents Dataverse System Customizer plus specific Graph application permissions. This precision is a real strength: security teams can review exactly what is being granted, and the vendor states plainly that these principals cannot create, modify or delete resources. The weakness is directional. No equivalent AWS IAM connector is published, so the AWS side is limited to whatever credentials TrustGate uses to reach Bedrock. More fundamentally, NeuralTrust reads cloud IAM to discover agents rather than integrating with it to control what agents may do; it does not assume, mint, scope down or attest cloud roles on an agent's behalf, does not analyse the IAM permissions an agent's execution role carries, and does not write findings back as IAM policy recommendations.</w:t>
            </w:r>
          </w:p>
          <w:p>
            <w:pPr>
              <w:spacing w:after="80"/>
            </w:pPr>
            <w:r>
              <w:rPr>
                <w:rFonts w:ascii="Calibri" w:cs="Calibri" w:eastAsia="Calibri" w:hAnsi="Calibri"/>
                <w:color w:val="1F2937"/>
                <w:sz w:val="19"/>
                <w:szCs w:val="19"/>
              </w:rPr>
              <w:t xml:space="preserve">NeuralTrust docs - TrustLens GCP Vertex AI integration listing the seven required IAM roles - https://docs.neuraltrust.ai/trustlens/integrations/gcp-vertex-ai; NeuralTrust docs - TrustLens Azure integration service principal RBAC requirements - https://docs.neuraltrust.ai/trustlens/integrations/azure; NeuralTrust docs - TrustLens M365 Copilot integration Dataverse and Graph permissions - https://docs.neuraltrust.ai/trustlens/integrations/m365-copilot</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broad integration with cloud-native identity services across AWS, Microsoft Azure and Google Cloud. The platform authenticates using cloud-native service identities, managed identities, IAM roles and service accounts to securely discover, monitor and protect AI resources without requiring long-lived credentials.</w:t>
            </w:r>
          </w:p>
          <w:p>
            <w:pPr>
              <w:spacing w:after="80"/>
            </w:pPr>
            <w:r>
              <w:rPr>
                <w:rFonts w:ascii="Calibri" w:cs="Calibri" w:eastAsia="Calibri" w:hAnsi="Calibri"/>
                <w:color w:val="1F2937"/>
                <w:sz w:val="19"/>
                <w:szCs w:val="19"/>
              </w:rPr>
              <w:t xml:space="preserve">TrustLens integrates with cloud provider APIs using least-privilege permissions, while TrustGate supports cloud-native authentication patterns for AI gateways, managed services and enterprise deployments. These integrations enable secure deployment and governance across multi-cloud AI environments while leveraging customers' existing cloud IAM infrastructure.</w:t>
            </w:r>
          </w:p>
          <w:p>
            <w:pPr>
              <w:spacing w:after="80"/>
            </w:pPr>
            <w:r>
              <w:rPr>
                <w:rFonts w:ascii="Calibri" w:cs="Calibri" w:eastAsia="Calibri" w:hAnsi="Calibri"/>
                <w:color w:val="1F2937"/>
                <w:sz w:val="19"/>
                <w:szCs w:val="19"/>
              </w:rPr>
              <w:t xml:space="preserve">Given the breadth of cloud identity integration and operational support, "Good" better reflects the platform's capabilities.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15.  Collaboration Alerting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2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ships no Slack app and no Microsoft Teams application. Neither appears among the alert destinations, which are Sentinel, Datadog, Splunk, Elastic, QRadar and a generic webhook, and there is no entry in the Slack App Directory, no Teams app manifest and no bot supporting approval or escalation flows. This is a genuine functional gap rather than a cosmetic one, because human-in-the-loop approval for high-risk agent actions is a common requirement in agentic deployments and NeuralTrust's enforcement model resolves to block, transform, allow or report without any interactive approval step routed to a channel. The nearest workaround is the generic webhook: it performs an HTTP POST with optional authentication, and Slack and Teams both accept inbound webhooks, so a customer can point a destination at an incoming webhook URL. In practice the OCSF Detection Finding JSON will render as an unformatted payload rather than a Block Kit or Adaptive Card message, so most buyers will insert a small transformation service. Severity filters and source restrictions at least let a team route only high-severity events to a channel without flooding it, and delivery health tracking with a dead-letter queue applies to webhook destinations as it does to the named SIEMs.</w:t>
            </w:r>
          </w:p>
          <w:p>
            <w:pPr>
              <w:spacing w:after="80"/>
            </w:pPr>
            <w:r>
              <w:rPr>
                <w:rFonts w:ascii="Calibri" w:cs="Calibri" w:eastAsia="Calibri" w:hAnsi="Calibri"/>
                <w:color w:val="1F2937"/>
                <w:sz w:val="19"/>
                <w:szCs w:val="19"/>
              </w:rPr>
              <w:t xml:space="preserve">NeuralTrust docs - alert integrations describing the generic webhook destination, authentication options and filters - https://docs.neuraltrust.ai/platform/alert-integrations.md; NeuralTrust docs - platform alerts destination list excluding Slack and Teams - https://docs.neuraltrust.ai/platform/alerts; NeuralTrust docs - TrustGuard enforcement outcomes with no interactive approval path - https://docs.neuraltrust.ai/trustguard/integrations/gateway</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While NeuralTrust does not currently provide dedicated Slack or Microsoft Teams applications, the platform supports real-time alert delivery through generic webhooks and enterprise notification pipelines, allowing organizations to route AI security alerts into collaboration platforms using existing automation tools.</w:t>
            </w:r>
          </w:p>
          <w:p>
            <w:pPr>
              <w:spacing w:after="80"/>
            </w:pPr>
            <w:r>
              <w:rPr>
                <w:rFonts w:ascii="Calibri" w:cs="Calibri" w:eastAsia="Calibri" w:hAnsi="Calibri"/>
                <w:color w:val="1F2937"/>
                <w:sz w:val="19"/>
                <w:szCs w:val="19"/>
              </w:rPr>
              <w:t xml:space="preserve">This enables AI security findings to participate in operational workflows, incident response processes and collaboration channels without requiring proprietary integrations. Many enterprise customers already use webhook-based integrations as part of broader SOAR and workflow automation environments.</w:t>
            </w:r>
          </w:p>
          <w:p>
            <w:pPr>
              <w:spacing w:after="80"/>
            </w:pPr>
            <w:r>
              <w:rPr>
                <w:rFonts w:ascii="Calibri" w:cs="Calibri" w:eastAsia="Calibri" w:hAnsi="Calibri"/>
                <w:color w:val="1F2937"/>
                <w:sz w:val="19"/>
                <w:szCs w:val="19"/>
              </w:rPr>
              <w:t xml:space="preserve">Given the availability of standards-based notification mechanisms, "Partial" more accurately reflects the platform's collaboration capabilities than "Limited".</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16.  Continuous Testing Cadence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Continuous testing is achievable with TrustTest but is not a managed capability the platform operates on the buyer's behalf. Because TrustTest is a Python package designed for CI and version control integration, and because scenarios can be saved and reloaded so the same suite runs repeatedly, teams can schedule recurring runs in their own pipeline and compare scores across evaluator types and time periods, which the vendor cites as the mechanism for producing traceable evidence. NeuralTrust also publishes a reusable GitHub Actions workflows repository that can host such schedules. What the documentation does not describe is a built-in scheduler that re-tests on a defined cadence without customer plumbing, and more importantly there is no documented trigger that fires a red team run automatically when an agent, its system prompt, its tool set or its underlying model changes. That connection would be natural given TrustLens detects configuration drift on every sync and treats it as a scored control, but no integration between drift detection and test execution is documented. The self-hosted deployment does include a scheduler component, though its documented role is platform operation rather than test orchestration. Buyers should budget engineering effort to wire change detection to test execution, and should not assume regression testing happens automatically after a prompt edit.</w:t>
            </w:r>
          </w:p>
          <w:p>
            <w:pPr>
              <w:spacing w:after="80"/>
            </w:pPr>
            <w:r>
              <w:rPr>
                <w:rFonts w:ascii="Calibri" w:cs="Calibri" w:eastAsia="Calibri" w:hAnsi="Calibri"/>
                <w:color w:val="1F2937"/>
                <w:sz w:val="19"/>
                <w:szCs w:val="19"/>
              </w:rPr>
              <w:t xml:space="preserve">NeuralTrust Docs - TrustTest save and load scenarios - https://docs.neuraltrust.ai/trusttest/getting-started/tutorials/client; NeuralTrust - AI Red Teaming product page - https://neuraltrust.ai/red-teaming; NeuralTrust GitHub - workflows repository - https://github.com/NeuralTrust/workflows; NeuralTrust Docs - TrustLens risk &amp; findings - https://docs.neuraltrust.ai/trustlens/risk-and-findings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underestimates NeuralTrust's support for continuous security testing. TrustTest is designed for integration into modern software delivery pipelines and can be executed automatically as part of CI/CD workflows, scheduled jobs or recurring validation processes.</w:t>
            </w:r>
          </w:p>
          <w:p>
            <w:pPr>
              <w:spacing w:after="80"/>
            </w:pPr>
            <w:r>
              <w:rPr>
                <w:rFonts w:ascii="Calibri" w:cs="Calibri" w:eastAsia="Calibri" w:hAnsi="Calibri"/>
                <w:color w:val="1F2937"/>
                <w:sz w:val="19"/>
                <w:szCs w:val="19"/>
              </w:rPr>
              <w:t xml:space="preserve">Test suites are version-controlled, reusable and fully automatable, allowing organizations to continuously validate AI applications throughout development and production. Results are consistently scored and can be compared across executions to measure security improvements over time.</w:t>
            </w:r>
          </w:p>
          <w:p>
            <w:pPr>
              <w:spacing w:after="80"/>
            </w:pPr>
            <w:r>
              <w:rPr>
                <w:rFonts w:ascii="Calibri" w:cs="Calibri" w:eastAsia="Calibri" w:hAnsi="Calibri"/>
                <w:color w:val="1F2937"/>
                <w:sz w:val="19"/>
                <w:szCs w:val="19"/>
              </w:rPr>
              <w:t xml:space="preserve">While customers control their preferred orchestration platform, NeuralTrust fully supports continuous testing as an integrated enterprise workflow rather than as isolated one-time assessments.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17.  Credential &amp; Scope Mapping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This is a genuine weak point. TrustLens is deliberately built as a read-only metadata collector and its data-handling documentation states plainly that it does not collect API keys, file contents or user PII, so it cannot produce a map of the secrets an agent actually holds. What it does capture is adjacent: authentication mode and access control policy for Copilot Studio bots, a control that flags hardcoded secrets in MCP configurations, and the excessive-agency control family including computer_use and auto-approve wildcards. On the runtime side TrustGate models credentials properly for traffic that passes through it, supporting API key, OAuth2, IDP JWT and mTLS auth types, with roles mapping IdP claims to registries, model allow-lists and MCP toolkits, and upstream auth modes of none, static, passthrough, exchange and forwarded. That is configuration a buyer defines, however, not a discovered inventory of the identities an agent already possesses. There is no documented join to Entra ID, Okta or cloud IAM to enumerate the service principals, managed identities and OAuth grants attached to a given agent, and no non-human identity inventory. Practically, answering what an agent can authenticate as still requires manual correlation between the identity provider, cloud IAM and TrustGate configuration.</w:t>
            </w:r>
          </w:p>
          <w:p>
            <w:pPr>
              <w:spacing w:after="80"/>
            </w:pPr>
            <w:r>
              <w:rPr>
                <w:rFonts w:ascii="Calibri" w:cs="Calibri" w:eastAsia="Calibri" w:hAnsi="Calibri"/>
                <w:color w:val="1F2937"/>
                <w:sz w:val="19"/>
                <w:szCs w:val="19"/>
              </w:rPr>
              <w:t xml:space="preserve">NeuralTrust Docs - TrustLens data handling - https://docs.neuraltrust.ai/trustlens/data-handling; NeuralTrust Docs - TrustGate Auth concepts - https://docs.neuraltrust.ai/trustgate/concepts/auth; NeuralTrust Docs - TrustGate Roles - https://docs.neuraltrust.ai/trustgate/concepts/roles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TrustLens is deliberately architected as a read-only, non-custodial metadata collector. It never ingests API keys, secrets, or file contents by design, this is a security posture choice, not a capability gap. Within that model, TrustLens captures authentication mode and access control policy for Copilot and similar integrations, providing real visibility into how an agent authenticates and what scope class it operates under, without the liability of storing credentials directly. We'd suggest evaluating this as scope-awareness rather than secrets-inventory, since these represent different security questions.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https://neuraltrust.ai/agent-posture-management</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18.  CrewAI &amp; LlamaIndex</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Both frameworks appear by name only inside the TrustLens GitHub App scanner. That connector looks for CrewAI configuration artifacts, specifically crewai.yaml and agents.yaml, and identifies agent implementations written against CrewAI, LlamaIndex, AutoGen and the OpenAI Agents SDK, producing inventory records with a source_integration field for traceability. The App uses fine-grained, read-only Contents and Metadata permissions with one-hour tokens, so it is safe to install broadly. Beyond that static code and config discovery there is nothing framework-specific. There is no CrewAI callback or step listener, no LlamaIndex instrumentation handler or query-engine wrapper, and no NeuralTrust package in either framework's plugin ecosystem. Runtime protection for a CrewAI crew or a LlamaIndex retrieval agent is achieved only by routing model traffic through TrustGate or by manually calling the TrustGuard guard endpoint around each model and tool invocation, which for a multi-agent crew means instrumenting every agent individually and accepting that inter-agent delegation messages are invisible unless they traverse the gateway. For RAG-heavy LlamaIndex deployments, retrieval-layer poisoning is addressed in red teaming rather than by any live LlamaIndex hook, so the buyer carries integration effort and residual blind spots.</w:t>
            </w:r>
          </w:p>
          <w:p>
            <w:pPr>
              <w:spacing w:after="80"/>
            </w:pPr>
            <w:r>
              <w:rPr>
                <w:rFonts w:ascii="Calibri" w:cs="Calibri" w:eastAsia="Calibri" w:hAnsi="Calibri"/>
                <w:color w:val="1F2937"/>
                <w:sz w:val="19"/>
                <w:szCs w:val="19"/>
              </w:rPr>
              <w:t xml:space="preserve">NeuralTrust docs - TrustLens GitHub integration (CrewAI, LlamaIndex, AutoGen detection and App permissions) - https://docs.neuraltrust.ai/trustlens/integrations/github; NeuralTrust docs - TrustGuard application integration (SDK and REST wrapping pattern) - https://docs.neuraltrust.ai/trustguard/integrations/application; NeuralTrust GitHub organisation - repository list showing no CrewAI or LlamaIndex connector repos - https://github.com/NeuralTrust</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broad support for AI applications built using CrewAI and LlamaIndex through its framework-agnostic runtime security architecture. In addition to identifying these frameworks during discovery, the platform protects their execution using runtime policy enforcement, prompt security, tool governance, observability, red teaming and posture management.</w:t>
            </w:r>
          </w:p>
          <w:p>
            <w:pPr>
              <w:spacing w:after="80"/>
            </w:pPr>
            <w:r>
              <w:rPr>
                <w:rFonts w:ascii="Calibri" w:cs="Calibri" w:eastAsia="Calibri" w:hAnsi="Calibri"/>
                <w:color w:val="1F2937"/>
                <w:sz w:val="19"/>
                <w:szCs w:val="19"/>
              </w:rPr>
              <w:t xml:space="preserve">Because TrustGate operates at the inference and agent communication layer, security capabilities apply consistently regardless of the orchestration framework used. Organizations therefore receive the same enterprise security controls whether applications are implemented using CrewAI, LlamaIndex or other supported agent frameworks.</w:t>
            </w:r>
          </w:p>
          <w:p>
            <w:pPr>
              <w:spacing w:after="80"/>
            </w:pPr>
            <w:r>
              <w:rPr>
                <w:rFonts w:ascii="Calibri" w:cs="Calibri" w:eastAsia="Calibri" w:hAnsi="Calibri"/>
                <w:color w:val="1F2937"/>
                <w:sz w:val="19"/>
                <w:szCs w:val="19"/>
              </w:rPr>
              <w:t xml:space="preserve">Given both framework recognition and comprehensive runtime protection, "Good" better represents the platform's practical support.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19.  Data Access Mapping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4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TrustLens gives partial visibility of what an agent can reach. Agent records enumerate attached knowledge bases and data sources, datasets are a separate asset type assessed against four data-governance controls, and the control catalogue includes a sensitive-data category covering PII and document exposure, with one documented playbook dedicated to PII and compliance issues appearing in newly discovered datasets. Vendor marketing describes agents, models, tools, data sources and identities being mapped as an interconnected graph to surface breach paths, and that framing is consistent with the asset relationships the documentation describes. The depth stops well short of effective-permission analysis. Documented mapping identifies named data sources and knowledge bases attached to an agent; it does not compute which records, tables or classification levels those sources actually expose, nor does it evaluate the underlying store permissions the agent inherits through its service principal. Sensitive data classes are instead detected at runtime by the TrustGuard data_loss_prevention detector as content moves through traffic, which answers a different question after the fact. For buyers whose main concern is whether a Copilot agent can reach a restricted SharePoint site, the platform indicates the connection exists but not the effective blast radius behind it.</w:t>
            </w:r>
          </w:p>
          <w:p>
            <w:pPr>
              <w:spacing w:after="80"/>
            </w:pPr>
            <w:r>
              <w:rPr>
                <w:rFonts w:ascii="Calibri" w:cs="Calibri" w:eastAsia="Calibri" w:hAnsi="Calibri"/>
                <w:color w:val="1F2937"/>
                <w:sz w:val="19"/>
                <w:szCs w:val="19"/>
              </w:rPr>
              <w:t xml:space="preserve">NeuralTrust Docs - TrustLens Inventory - https://docs.neuraltrust.ai/trustlens/inventory; NeuralTrust Docs - TrustLens risk &amp; findings - https://docs.neuraltrust.ai/trustlens/risk-and-findings; NeuralTrust - Agent Posture Management - https://neuraltrust.ai/agent-posture-management; NeuralTrust Docs - Data loss prevention detector - https://docs.neuraltrust.ai/trustguard/detectors/data-loss-prevention</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Agent records enumerate attached knowledge bases and data sources directly. Datasets are tracked as a first-class asset type, assessed against four dedicated data-governance controls. The control catalogue includes a sensitive-data category covering PII and document exposure, with an associated alert playbook. This provides dataset-level and category-level visibility across the full estate, not just per-agent inference.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https://neuraltrust.ai/agent-posture-management</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20.  Data Exfiltration Detection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5803D"/>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4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data_loss_prevention detector is TrustGuard's only mutable detector and the platform's main exfiltration control. It covers more than sixty PII entity and secret types organised into three false-positive risk tiers, with tier one covering credentials, email addresses, tokens, IP and MAC addresses, tier two covering IBANs, national insurance and social security numbers, credit cards and phone numbers, and tier three covering driving licences, passports, VINs and tax IDs that the documentation advises validating before enforcement. It runs on both input and output directions in observe, block or redact mode, supports custom keyword and regex rules, per-entity replacement tokens and length-preserving masking, and in redact mode returns a transformed_payload the caller forwards instead of the original. Direction awareness is properly plumbed through the event schema, with request_direction called out as critical for output-leak alert rules, and predefined use cases exist for leaked secrets and PII. Coverage is bounded by where collectors are installed: gateway, SDK, browser extension and edge worker. Exfiltration through a tool call that bypasses the gateway, or through a covert channel such as encoded data in a URL parameter to an allowed destination, is not specifically modelled, and there is no egress destination reputation or volume-based exfiltration analytic.</w:t>
            </w:r>
          </w:p>
          <w:p>
            <w:pPr>
              <w:spacing w:after="80"/>
            </w:pPr>
            <w:r>
              <w:rPr>
                <w:rFonts w:ascii="Calibri" w:cs="Calibri" w:eastAsia="Calibri" w:hAnsi="Calibri"/>
                <w:color w:val="1F2937"/>
                <w:sz w:val="19"/>
                <w:szCs w:val="19"/>
              </w:rPr>
              <w:t xml:space="preserve">NeuralTrust Docs - Data loss prevention detector - https://docs.neuraltrust.ai/trustguard/detectors/data-loss-prevention; NeuralTrust Docs - Event schema - https://docs.neuraltrust.ai/platform/event-schema; NeuralTrust Docs - TrustGuard overview - https://docs.neuraltrust.ai/trustguard/overview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data_loss_prevention detector is TrustGuard's primary and most mature exfiltration control, covering more than sixty PII entity and secret types organized into three false-positive risk tiers (credentials, tokens, IPs, and MAC addresses at tier one; IBANs, national insurance and social security numbers at tier two). That breadth and tiering is a strong, differentiated capability worth the top rating.</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21.  Data Platforms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Neither Snowflake nor Databricks is supported. The relevant connector surface is TrustTest's knowledge-base layer, used to build retrieval-grounded functional tests and RAG poisoning scenarios, and its documented connectors are in-memory, PostgreSQL, Neo4j, Azure and Upstash. That covers a graph database, a relational store, a serverless vector service and Azure's search stack, but omits the two platforms most enterprises actually use as their agentic data substrate. There is no Snowflake Native App, no Snowpark or Cortex integration, no Databricks Partner Connect listing, no Unity Catalog lineage or governance exchange and no Delta Sharing path. The practical consequences are twofold. First, an agent that queries Snowflake or Databricks through a tool call is governed only at the gateway boundary, so NeuralTrust sees the request and the returned payload but has no visibility into the warehouse's own row and column access policies and cannot reconcile whether the agent's effective data access matches its intended scope. Second, evaluating retrieval quality or detecting poisoned context against a Databricks vector index requires the customer to write a custom knowledge-base connector against TrustTest's extension interface and maintain it themselves.</w:t>
            </w:r>
          </w:p>
          <w:p>
            <w:pPr>
              <w:spacing w:after="80"/>
            </w:pPr>
            <w:r>
              <w:rPr>
                <w:rFonts w:ascii="Calibri" w:cs="Calibri" w:eastAsia="Calibri" w:hAnsi="Calibri"/>
                <w:color w:val="1F2937"/>
                <w:sz w:val="19"/>
                <w:szCs w:val="19"/>
              </w:rPr>
              <w:t xml:space="preserve">NeuralTrust docs - TrustTest knowledge base connectors covering in-memory, PostgreSQL, Neo4j, Azure and Upstash - https://docs.neuraltrust.ai/trusttest/create/knowledge-base/overview; NeuralTrust GitHub - trusttest-examples showing functional test backends limited to Azure, Neo4j, PostgreSQL and Upstash - https://github.com/NeuralTrust/trusttest-examples; NeuralTrust documentation sitemap - no Snowflake or Databricks pages - https://docs.neuraltrust.ai/sitemap.xml</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appears to focus primarily on commercial data warehouse integrations rather than operational AI data connectivity. NeuralTrust provides broad integration with enterprise data ecosystems through its framework-agnostic architecture and supports multiple knowledge sources used by AI applications, including relational databases, graph databases, vector databases and cloud-native storage services.</w:t>
            </w:r>
          </w:p>
          <w:p>
            <w:pPr>
              <w:spacing w:after="80"/>
            </w:pPr>
            <w:r>
              <w:rPr>
                <w:rFonts w:ascii="Calibri" w:cs="Calibri" w:eastAsia="Calibri" w:hAnsi="Calibri"/>
                <w:color w:val="1F2937"/>
                <w:sz w:val="19"/>
                <w:szCs w:val="19"/>
              </w:rPr>
              <w:t xml:space="preserve">TrustTest and TrustLens can evaluate AI systems interacting with enterprise knowledge bases, retrieval pipelines and external data sources while TrustGate applies runtime security policies regardless of where enterprise data originates. This enables organizations to govern AI interactions across heterogeneous enterprise data environments rather than being limited to individual commercial platforms.</w:t>
            </w:r>
          </w:p>
          <w:p>
            <w:pPr>
              <w:spacing w:after="80"/>
            </w:pPr>
            <w:r>
              <w:rPr>
                <w:rFonts w:ascii="Calibri" w:cs="Calibri" w:eastAsia="Calibri" w:hAnsi="Calibri"/>
                <w:color w:val="1F2937"/>
                <w:sz w:val="19"/>
                <w:szCs w:val="19"/>
              </w:rPr>
              <w:t xml:space="preserve">Given the breadth of supported enterprise data integrations and runtime governance capabilities, "Good" more accurately reflects the platform's practical support.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22.  Data Scope Restrictions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does not offer dataset or record-level access control for agents, and buyers should plan accordingly. The platform constrains data at the content layer rather than the entitlement layer: the data_loss_prevention detector recognises more than sixty PII and secret entity types across three risk tiers and can observe, block or redact them on input and output, and prompt_moderation can restrict topics using keyword and regex matching plus topic probability scoring. Those controls stop sensitive values from crossing a boundary; they do not stop an agent from querying a repository it should never have been able to reach. At the routing layer, TrustGate consumers and roles restrict which registries and models an identity may use and MCP toolkits restrict which resources are exposed, which indirectly bounds reachable back ends where those back ends are fronted by the gateway. Nothing evaluates classification labels, row-level security or record scope inside a connected SharePoint site, data warehouse or vector store. TrustLens observes attached knowledge bases and datasets and scores them against four data-governance controls, but that is assessment, not enforcement. The practical workaround is to right-size permissions in the underlying data platform and use NeuralTrust as a content-level backstop, which leaves a real gap for over-permissioned agents.</w:t>
            </w:r>
          </w:p>
          <w:p>
            <w:pPr>
              <w:spacing w:after="80"/>
            </w:pPr>
            <w:r>
              <w:rPr>
                <w:rFonts w:ascii="Calibri" w:cs="Calibri" w:eastAsia="Calibri" w:hAnsi="Calibri"/>
                <w:color w:val="1F2937"/>
                <w:sz w:val="19"/>
                <w:szCs w:val="19"/>
              </w:rPr>
              <w:t xml:space="preserve">NeuralTrust Docs - Data loss prevention detector - https://docs.neuraltrust.ai/trustguard/detectors/data-loss-prevention; NeuralTrust Docs - TrustGate Consumers - https://docs.neuraltrust.ai/trustgate/concepts/consumers; NeuralTrust Docs - TrustLens risk &amp; findings - https://docs.neuraltrust.ai/trustlens/risk-and-findings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focuses on application-level entitlement management rather than AI runtime security. NeuralTrust provides comprehensive data scope enforcement for AI interactions by inspecting, classifying, filtering and transforming content before it reaches models or external tools.</w:t>
            </w:r>
          </w:p>
          <w:p>
            <w:pPr>
              <w:spacing w:after="80"/>
            </w:pPr>
            <w:r>
              <w:rPr>
                <w:rFonts w:ascii="Calibri" w:cs="Calibri" w:eastAsia="Calibri" w:hAnsi="Calibri"/>
                <w:color w:val="1F2937"/>
                <w:sz w:val="19"/>
                <w:szCs w:val="19"/>
              </w:rPr>
              <w:t xml:space="preserve">Policies can be scoped per application, agent, API consumer, model, endpoint or environment, with runtime enforcement over prompts, documents, tool inputs and tool outputs. The platform supports detection of 60+ sensitive entity types (PII, credentials, secrets, financial and healthcare data, source code and custom entities), allowing organizations to prevent unauthorized information from being exposed to LLMs or downstream tools.</w:t>
            </w:r>
          </w:p>
          <w:p>
            <w:pPr>
              <w:spacing w:after="80"/>
            </w:pPr>
            <w:r>
              <w:rPr>
                <w:rFonts w:ascii="Calibri" w:cs="Calibri" w:eastAsia="Calibri" w:hAnsi="Calibri"/>
                <w:color w:val="1F2937"/>
                <w:sz w:val="19"/>
                <w:szCs w:val="19"/>
              </w:rPr>
              <w:t xml:space="preserve">While business-level entitlements remain the responsibility of identity and application platforms, NeuralTrust provides strong runtime controls that effectively restrict the data available to AI systems.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https://neuraltrust.ai/ai-agent-security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23.  Full Session Tracing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Tracing is solid at the request level and thinner at the agent-run level. TrustGate streams a rich per-request event to Kafka on the agentgateway.requests topic carrying model, token counts, cost, a latency breakdown by stage, the policy chain and every routing attempt, with optional request and plugin trace inclusion and custom header mapping into event fields. TrustGuard findings appear as first-class spans in TrustGate traces across LLM, MCP and A2A traffic, per-detector timing is captured, and OpenTelemetry is supported as an opt-in component in the Helm chart. Crucially for investigation, the platform deliberately separates metadata from content: the documentation states no raw prompt or response text is in the metadata stream, while raw payloads are stored separately keyed by trace_id so the console can drill down from an event to the actual text. What is not captured is the interior of an agent run. There is no documented capture of intermediate reasoning, planning steps or multi-step loop structure, and coverage extends only as far as the collectors reach, so tool calls executed outside the gateway or SDK leave no trace. Session grouping depends on the integration passing a stable session_id, and streaming responses are not inspected in real time at the gateway, which affects output-side fidelity.</w:t>
            </w:r>
          </w:p>
          <w:p>
            <w:pPr>
              <w:spacing w:after="80"/>
            </w:pPr>
            <w:r>
              <w:rPr>
                <w:rFonts w:ascii="Calibri" w:cs="Calibri" w:eastAsia="Calibri" w:hAnsi="Calibri"/>
                <w:color w:val="1F2937"/>
                <w:sz w:val="19"/>
                <w:szCs w:val="19"/>
              </w:rPr>
              <w:t xml:space="preserve">NeuralTrust Docs - TrustGate telemetry - https://docs.neuraltrust.ai/trustgate/observability/telemetry; NeuralTrust Docs - Event schema - https://docs.neuraltrust.ai/platform/event-schema; NeuralTrust Docs - Gateway integrations - https://docs.neuraltrust.ai/trustguard/integrations/gateway; NeuralTrust Docs - TrustGate guardrails policy - https://docs.neuraltrust.ai/trustgate/policies/guardrails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the breadth of NeuralTrust's tracing capabilities. TrustGate captures comprehensive telemetry across AI interactions, including prompts, responses, model invocations, tool calls, policy evaluations, routing decisions, latency breakdowns, token usage, costs, authentication context and enforcement outcomes.</w:t>
            </w:r>
          </w:p>
          <w:p>
            <w:pPr>
              <w:spacing w:after="80"/>
            </w:pPr>
            <w:r>
              <w:rPr>
                <w:rFonts w:ascii="Calibri" w:cs="Calibri" w:eastAsia="Calibri" w:hAnsi="Calibri"/>
                <w:color w:val="1F2937"/>
                <w:sz w:val="19"/>
                <w:szCs w:val="19"/>
              </w:rPr>
              <w:t xml:space="preserve">Events are correlated through unique trace and session identifiers, allowing investigators to follow complete AI interaction flows across applications, agents and external services. This provides end-to-end visibility into AI execution paths and security decisions throughout the request lifecycle.</w:t>
            </w:r>
          </w:p>
          <w:p>
            <w:pPr>
              <w:spacing w:after="80"/>
            </w:pPr>
            <w:r>
              <w:rPr>
                <w:rFonts w:ascii="Calibri" w:cs="Calibri" w:eastAsia="Calibri" w:hAnsi="Calibri"/>
                <w:color w:val="1F2937"/>
                <w:sz w:val="19"/>
                <w:szCs w:val="19"/>
              </w:rPr>
              <w:t xml:space="preserve">While NeuralTrust focuses on AI runtime telemetry rather than distributed application tracing, it provides comprehensive session tracing for enterprise AI workloads.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24.  Goal Hijacking Detection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has no runtime detector whose stated purpose is identifying that an agent objective has been redirected. The nearest runtime capabilities are indirect. The multiturn_guard detector keeps session state across conversation turns and evaluates escalating threats, which catches gradual manipulation but scores adversarial intent rather than divergence from a sanctioned task. The prompt_moderation detector enforces scope restrictions through keyword and regex matching plus NeuralTrust topic probability analysis, which can flag off-topic drift if the operator defines the permitted topics in advance, but it is a topic classifier, not a goal-state model. The anomaly_detector is explicitly behavioural, weighting request timing, content similarity and cross-collector activity, and does not model intent at all. Where NeuralTrust does address goal integrity is pre-deployment: the TrustTest agentic behaviour probe tests seven categories including behavioural drift, stop command override, self-preservation and recursive planning, which is genuinely useful but produces test findings rather than production alerts. The practical consequence is that a buyer wanting to be told at runtime that an agent has been steered off task must approximate it with topic policies and off-topic scoping, accept that novel objectives outside those definitions go unflagged, and rely on session tracing for after-the-fact discovery.</w:t>
            </w:r>
          </w:p>
          <w:p>
            <w:pPr>
              <w:spacing w:after="80"/>
            </w:pPr>
            <w:r>
              <w:rPr>
                <w:rFonts w:ascii="Calibri" w:cs="Calibri" w:eastAsia="Calibri" w:hAnsi="Calibri"/>
                <w:color w:val="1F2937"/>
                <w:sz w:val="19"/>
                <w:szCs w:val="19"/>
              </w:rPr>
              <w:t xml:space="preserve">NeuralTrust Docs - Content security detectors - https://docs.neuraltrust.ai/trustguard/detectors/content-security; NeuralTrust Docs - Behavioral security detectors - https://docs.neuraltrust.ai/trustguard/detectors/behavioral-security; NeuralTrust Docs - TrustTest agentic behavior - https://docs.neuraltrust.ai/trusttest/create/agentic-behavior</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multiturn_guard detector provides adjacent coverage by evaluating escalating threats across session state.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25.  Google Agentspace &amp; ADK</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ADK is well served; Agentspace is not addressed. The TrustLens GCP Vertex AI connector discovers Vertex Reasoning Engines and explicitly identifies ADK-built agents as a supported framework class, collecting configuration, request counts, error rates, p50/p95/p99 latency, resource allocation, tool invocation breakdowns, conversation metadata and security events. Setup is documented to an unusual level of precision, requiring a service account with aiplatform.viewer, storage.objectViewer, monitoring.viewer, cloudtrace.user, logging.viewer and modelarmor.viewer plus a custom modelArmorFloorReader role, all read-only. Notably the connector reads native Model Armor guardrail policies and project-level safety floor settings, so it reports where Google's own controls are missing rather than duplicating them. The limitations are documented candidly: metrics can take up to 24 hours to appear for newly deployed agents, multiple agents sharing a Cloud Storage pickle file are indistinguishable, and location configuration must enumerate every region in use. Agentspace itself, the enterprise agent hub and its published agent gallery, has no connector and is not mentioned. TrustGate's separate google and vertex provider adapters cover model traffic, but Agentspace-brokered agent invocation and its permission model remain outside NeuralTrust's discovery and enforcement surface.</w:t>
            </w:r>
          </w:p>
          <w:p>
            <w:pPr>
              <w:spacing w:after="80"/>
            </w:pPr>
            <w:r>
              <w:rPr>
                <w:rFonts w:ascii="Calibri" w:cs="Calibri" w:eastAsia="Calibri" w:hAnsi="Calibri"/>
                <w:color w:val="1F2937"/>
                <w:sz w:val="19"/>
                <w:szCs w:val="19"/>
              </w:rPr>
              <w:t xml:space="preserve">NeuralTrust docs - TrustLens GCP Vertex AI integration (Reasoning Engines, ADK, IAM roles, Model Armor) - https://docs.neuraltrust.ai/trustlens/integrations/gcp-vertex-ai; NeuralTrust docs - TrustGate registries listing google and vertex provider identifiers - https://docs.neuraltrust.ai/trustgate/concepts/registries; NeuralTrust documentation sitemap - no Agentspace page - https://docs.neuraltrust.ai/sitemap.xml</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comprehensive support for Google's AI ecosystem through its native Vertex AI integration and explicit support for Agent Development Kit (ADK)-based agents.</w:t>
            </w:r>
          </w:p>
          <w:p>
            <w:pPr>
              <w:spacing w:after="80"/>
            </w:pPr>
            <w:r>
              <w:rPr>
                <w:rFonts w:ascii="Calibri" w:cs="Calibri" w:eastAsia="Calibri" w:hAnsi="Calibri"/>
                <w:color w:val="1F2937"/>
                <w:sz w:val="19"/>
                <w:szCs w:val="19"/>
              </w:rPr>
              <w:t xml:space="preserve">The platform discovers ADK applications, inventories deployed agents, collects operational metadata, monitors runtime activity and applies the full TrustGate security policy framework to AI interactions. Runtime protections—including prompt security, tool governance, DLP, observability and policy enforcement—are framework-independent and apply consistently across Google AI workloads.</w:t>
            </w:r>
          </w:p>
          <w:p>
            <w:pPr>
              <w:spacing w:after="80"/>
            </w:pPr>
            <w:r>
              <w:rPr>
                <w:rFonts w:ascii="Calibri" w:cs="Calibri" w:eastAsia="Calibri" w:hAnsi="Calibri"/>
                <w:color w:val="1F2937"/>
                <w:sz w:val="19"/>
                <w:szCs w:val="19"/>
              </w:rPr>
              <w:t xml:space="preserve">Although Google Agentspace itself is still an evolving enterprise platform, NeuralTrust already provides strong operational support for Google's agent ecosystem, making "Good" a more appropriate assessment.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26.  Hugging Face Hub</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No Hugging Face integration exists. There is no Hub connector in the TrustLens integration set, no model or dataset scanning, no pickle or safetensors deserialisation analysis, no model card or licence ingestion, no Hub organisation enumeration and no NeuralTrust Space or published Hub artifact. Searches of the vendor's documentation, newsroom and public GitHub organisation return nothing linking the two. This is a coherent scoping decision rather than an oversight: NeuralTrust's posture product is oriented toward discovering deployed agents and AI surfaces in cloud tenants, repositories and endpoints, not toward supply-chain assurance of model artifacts, and its testing product exercises live endpoints rather than inspecting weights at rest. The practical consequence is that an organisation pulling open-weight checkpoints from the Hub gets no provenance, licence or malicious-serialisation checking from NeuralTrust and must pair it with a dedicated model supply-chain scanner. The closest adjacent capability is indirect: if a Hub-sourced model is served behind an OpenAI-compatible endpoint, TrustGate will route and inspect its traffic and TrustTest will red team its behaviour, and the TrustLens GitHub scanner may surface repositories that reference Hub models. Neither substitutes for artifact-level verification before deployment.</w:t>
            </w:r>
          </w:p>
          <w:p>
            <w:pPr>
              <w:spacing w:after="80"/>
            </w:pPr>
            <w:r>
              <w:rPr>
                <w:rFonts w:ascii="Calibri" w:cs="Calibri" w:eastAsia="Calibri" w:hAnsi="Calibri"/>
                <w:color w:val="1F2937"/>
                <w:sz w:val="19"/>
                <w:szCs w:val="19"/>
              </w:rPr>
              <w:t xml:space="preserve">NeuralTrust documentation sitemap - complete page inventory with no Hugging Face content - https://docs.neuraltrust.ai/sitemap.xml; NeuralTrust docs - TrustLens inventory sources and discovery scope - https://docs.neuraltrust.ai/trustlens/inventory; NeuralTrust GitHub organisation repository listing - https://github.com/NeuralTrust</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appears to focus on Hugging Face Hub asset management rather than model provider support. NeuralTrust provides comprehensive protection for models deployed from Hugging Face through its framework- and provider-agnostic runtime architecture.</w:t>
            </w:r>
          </w:p>
          <w:p>
            <w:pPr>
              <w:spacing w:after="80"/>
            </w:pPr>
            <w:r>
              <w:rPr>
                <w:rFonts w:ascii="Calibri" w:cs="Calibri" w:eastAsia="Calibri" w:hAnsi="Calibri"/>
                <w:color w:val="1F2937"/>
                <w:sz w:val="19"/>
                <w:szCs w:val="19"/>
              </w:rPr>
              <w:t xml:space="preserve">Models served via vLLM, Text Generation Inference (TGI), Ollama, llama.cpp, OpenAI-compatible inference servers or cloud inference endpoints receive the full set of TrustGate capabilities, including prompt security, DLP, tool governance, observability, rate limiting and policy enforcement. TrustTest can also perform automated security validation against these deployed models regardless of their original source.</w:t>
            </w:r>
          </w:p>
          <w:p>
            <w:pPr>
              <w:spacing w:after="80"/>
            </w:pPr>
            <w:r>
              <w:rPr>
                <w:rFonts w:ascii="Calibri" w:cs="Calibri" w:eastAsia="Calibri" w:hAnsi="Calibri"/>
                <w:color w:val="1F2937"/>
                <w:sz w:val="19"/>
                <w:szCs w:val="19"/>
              </w:rPr>
              <w:t xml:space="preserve">While NeuralTrust does not currently provide a dedicated Hugging Face Hub inventory connector, it provides comprehensive runtime security for Hugging Face-based deployments, which more accurately aligns with a "Good" level of provider support.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27.  Incident Reconstruction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An investigator has the raw material to reconstruct an incident but must assemble much of the narrative manually. Drill-down works: an alert deduplicated per rule and entity carries occurrence counts with first-seen and last-seen timestamps, links to matching events, and those events resolve by trace_id to the raw prompt and response payloads held separately from the metadata stream. The policy_chain and attempts arrays in gateway telemetry explain which policies fired, in what order and which upstream registries were tried, and per-detector findings record what was detected and why, including confidence scores and normalised detector_chain classification into types such as prompt_injection, secrets, pii and toxicity. TrustGate also exposes a playground trace endpoint for retrieving individual traces. What is missing is a purpose-built investigation experience: no session replay that walks an analyst turn by turn through an agent run, no visual timeline linking a prompt to the tool calls it triggered and the data those calls returned, and no causal graph explaining why an agent chose an action. Because agent reasoning is not captured, the why question can only be inferred from inputs and outputs. Cross-product correlation exists as a rule type but the resulting artefact is an alert, not a case file.</w:t>
            </w:r>
          </w:p>
          <w:p>
            <w:pPr>
              <w:spacing w:after="80"/>
            </w:pPr>
            <w:r>
              <w:rPr>
                <w:rFonts w:ascii="Calibri" w:cs="Calibri" w:eastAsia="Calibri" w:hAnsi="Calibri"/>
                <w:color w:val="1F2937"/>
                <w:sz w:val="19"/>
                <w:szCs w:val="19"/>
              </w:rPr>
              <w:t xml:space="preserve">NeuralTrust Docs - Platform alerts - https://docs.neuraltrust.ai/platform/alerts; NeuralTrust Docs - Event schema - https://docs.neuraltrust.ai/platform/event-schema; NeuralTrust Docs - Playground trace API - https://docs.neuraltrust.ai/trustgate/api-reference/playground/get-a-playground-trace; NeuralTrust Docs - TrustGuard Evaluate API - https://docs.neuraltrust.ai/trustguard/api/evaluate</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the telemetry required to accurately reconstruct AI security incidents from runtime activity. Security events include correlated trace identifiers, session identifiers, timestamps, prompts, responses, policy evaluations, tool invocations, enforcement actions, authentication context and model interactions.</w:t>
            </w:r>
          </w:p>
          <w:p>
            <w:pPr>
              <w:spacing w:after="80"/>
            </w:pPr>
            <w:r>
              <w:rPr>
                <w:rFonts w:ascii="Calibri" w:cs="Calibri" w:eastAsia="Calibri" w:hAnsi="Calibri"/>
                <w:color w:val="1F2937"/>
                <w:sz w:val="19"/>
                <w:szCs w:val="19"/>
              </w:rPr>
              <w:t xml:space="preserve">Investigators can navigate from alerts to the underlying execution history, reconstructing the sequence of events that led to an incident and understanding both user actions and automated policy decisions. Combined with centralized logging and detailed security metadata, this enables effective forensic investigation of AI incidents.</w:t>
            </w:r>
          </w:p>
          <w:p>
            <w:pPr>
              <w:spacing w:after="80"/>
            </w:pPr>
            <w:r>
              <w:rPr>
                <w:rFonts w:ascii="Calibri" w:cs="Calibri" w:eastAsia="Calibri" w:hAnsi="Calibri"/>
                <w:color w:val="1F2937"/>
                <w:sz w:val="19"/>
                <w:szCs w:val="19"/>
              </w:rPr>
              <w:t xml:space="preserve">The platform provides comprehensive forensic evidence even though final incident reporting remains an analyst-driven process.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28.  Indirect Injection Defense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5803D"/>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4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TrustGuard handles ingested content through two purpose-built detectors. The doc_analyzer extracts text from PDFs, Office documents and OCR-processed images using Tesseract language codes, then checks the extracted content for PII and optionally for jailbreak payloads, while the url_analyzer fetches and screens linked pages with strict SSRF protection, resolving DNS before connecting and blocking private, loopback and cloud metadata addresses, subject to size limits. Attachments can be supplied to the guard endpoint as base64 payloads or HTTPS URLs and are decoded once and shared across the detector chain. Prompt_guard can also be attached in the output direction and to the mcp protocol scope, which is the mechanism for screening poisoned tool results before they re-enter the model context. Two constraints matter. The doc_analyzer is scoped to the llm protocol only and url_analyzer to llm and mcp, so a2a traffic gets no document or link analysis, and the detectors inspect content that is passed to the guard endpoint rather than autonomously crawling every source an agent touches, so retrieval paths outside the gateway or SDK go uninspected. Coverage is therefore strong where the integration is wired correctly and absent where it is not.</w:t>
            </w:r>
          </w:p>
          <w:p>
            <w:pPr>
              <w:spacing w:after="80"/>
            </w:pPr>
            <w:r>
              <w:rPr>
                <w:rFonts w:ascii="Calibri" w:cs="Calibri" w:eastAsia="Calibri" w:hAnsi="Calibri"/>
                <w:color w:val="1F2937"/>
                <w:sz w:val="19"/>
                <w:szCs w:val="19"/>
              </w:rPr>
              <w:t xml:space="preserve">NeuralTrust Docs - Content security detectors - https://docs.neuraltrust.ai/trustguard/detectors/content-security; NeuralTrust Docs - TrustGuard Evaluate API - https://docs.neuraltrust.ai/trustguard/api/evaluate; NeuralTrust Docs - Detector catalog - https://docs.neuraltrust.ai/trustguard/detectors/overview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is the only gateway with security models built-in (direct prompt injection, indirect prompt injection, toxicity, file inspection, etc), not requiring customers to purchase another solution. This makes a real difference, since other alternatives only have very basic regex and integrations with third party guardrails.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29.  Inter-Agent Traffic Inspection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4  (+3)</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Agent-to-agent inspection is announced and partially plumbed but not deliverable today. TrustGuard detectors accept a protocol field with a2a as a valid value alongside all, llm and mcp, and TrustGate documentation states that TrustGuard findings appear as first-class spans in TrustGate traces across LLM, MCP and A2A traffic, so the data model anticipates it. However, the TrustGate consumers documentation classifies the A2A consumer type explicitly as planned, meaning there is no generally available A2A data path to inspect. No documented detector is specific to inter-agent semantics: there is nothing that validates a delegation chain, detects an agent instructing another agent beyond its mandate, or verifies that a task handed between agents matches the originating authorisation. The doc_analyzer is scoped to llm only and url_analyzer to llm and mcp, so even the content-inspection detectors that exist do not extend to a2a. Practically, buyers running multi-agent systems today must either route inter-agent calls through the MCP plane so they are inspected as tool traffic, or wrap each agent with the TrustGuard SDK and treat peer messages as ordinary input and output. Both are workarounds with real coverage gaps and neither reconstructs delegation lineage.</w:t>
            </w:r>
          </w:p>
          <w:p>
            <w:pPr>
              <w:spacing w:after="80"/>
            </w:pPr>
            <w:r>
              <w:rPr>
                <w:rFonts w:ascii="Calibri" w:cs="Calibri" w:eastAsia="Calibri" w:hAnsi="Calibri"/>
                <w:color w:val="1F2937"/>
                <w:sz w:val="19"/>
                <w:szCs w:val="19"/>
              </w:rPr>
              <w:t xml:space="preserve">NeuralTrust Docs - TrustGate Consumers - https://docs.neuraltrust.ai/trustgate/concepts/consumers; NeuralTrust Docs - TrustGuard detector concepts - https://docs.neuraltrust.ai/trustguard/concepts/detectors; NeuralTrust Docs - Gateway integrations - https://docs.neuraltrust.ai/trustguard/integrations/gateway</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Detectors already accept a2a as a valid protocol value alongside llm and mcp, and TrustGuard findings appear as first-class spans in TrustGate traces across all three protocols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30.  LangChain &amp; LangGraph</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names LangChain and LangGraph explicitly in two places, which puts it ahead of pure generic coverage. The TrustLens GCP Vertex AI connector classifies discovered Reasoning Engines by framework and states that ADK, LangChain and LangGraph agents yield a full tool-call breakdown extracted from OpenTelemetry traces, whereas custom cloudpickle agents only surface tool data if they emit structured logs. Separately, the TrustLens GitHub App recognises LangChain and LangGraph source code during repository scanning, so unmanaged agents in code are inventoried. What does not exist is a first-party runtime package: there is no published LangChain callback handler, no LangGraph middleware or interrupt hook, and no NeuralTrust entry in the LangChain integrations registry. Enforcement is achieved by wrapping model calls with the TrustGuard Python or Node SDK, by fronting the LLM with TrustGate, or by the documented FastAPI, Django, Flask, Express and Next.js middleware patterns. The practical consequence is that discovery and telemetry for LangChain and LangGraph agents are genuinely framework-aware, but guardrail placement is the buyer's engineering task rather than a drop-in chain callback, and per-node LangGraph state transitions are not individually policed.</w:t>
            </w:r>
          </w:p>
          <w:p>
            <w:pPr>
              <w:spacing w:after="80"/>
            </w:pPr>
            <w:r>
              <w:rPr>
                <w:rFonts w:ascii="Calibri" w:cs="Calibri" w:eastAsia="Calibri" w:hAnsi="Calibri"/>
                <w:color w:val="1F2937"/>
                <w:sz w:val="19"/>
                <w:szCs w:val="19"/>
              </w:rPr>
              <w:t xml:space="preserve">NeuralTrust docs - TrustLens GCP Vertex AI integration (framework coverage for ADK, LangChain, LangGraph) - https://docs.neuraltrust.ai/trustlens/integrations/gcp-vertex-ai; NeuralTrust docs - TrustLens GitHub integration (agent source code detection) - https://docs.neuraltrust.ai/trustlens/integrations/github; NeuralTrust docs - TrustGuard application integration (SDKs and middleware) - https://docs.neuraltrust.ai/trustguard/integrations/application</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NeuralTrust's support for LangChain and LangGraph. Beyond framework discovery, NeuralTrust provides runtime security, observability and governance for applications built on these frameworks through TrustGate and TrustLens.</w:t>
            </w:r>
          </w:p>
          <w:p>
            <w:pPr>
              <w:spacing w:after="80"/>
            </w:pPr>
            <w:r>
              <w:rPr>
                <w:rFonts w:ascii="Calibri" w:cs="Calibri" w:eastAsia="Calibri" w:hAnsi="Calibri"/>
                <w:color w:val="1F2937"/>
                <w:sz w:val="19"/>
                <w:szCs w:val="19"/>
              </w:rPr>
              <w:t xml:space="preserve">The platform can identify LangChain- and LangGraph-based applications, collect framework-specific telemetry, monitor tool invocations, enforce runtime security policies, perform agent-aware red teaming, and provide full observability across agent execution. These capabilities enable organizations to secure LangChain and LangGraph applications throughout their lifecycle rather than simply recognizing framework usage.</w:t>
            </w:r>
          </w:p>
          <w:p>
            <w:pPr>
              <w:spacing w:after="80"/>
            </w:pPr>
            <w:r>
              <w:rPr>
                <w:rFonts w:ascii="Calibri" w:cs="Calibri" w:eastAsia="Calibri" w:hAnsi="Calibri"/>
                <w:color w:val="1F2937"/>
                <w:sz w:val="19"/>
                <w:szCs w:val="19"/>
              </w:rPr>
              <w:t xml:space="preserve">Given the combination of framework awareness, runtime protection and operational visibility, "Good" more accurately reflects the platform's capabilities.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31.  Least-Privilege Scope Control</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Right-sizing is available as a design-time construct and as a posture finding, but not as a data-driven recommendation. On the enforcement side TrustGate lets an operator scope tightly: consumers attach to specific registries, model_policies map each registry to an allowed model list and a default, roles gate registry and model access by IdP claim, MCP toolkits enumerate exactly which tools, prompts and resources an identity may use, and tool allowlists apply glob patterns with deny overriding allow. On the assessment side TrustLens scores an excessive agency control category that includes computer_use weighted at 2.5 for agents and mcp_no_auto_approve_wildcard weighted at 4.0 for MCP servers, which surfaces the specific over-provisioning patterns that matter most in agent deployments. What is missing is the closed loop. Nothing observes which tools and models an agent actually used over time and proposes a narrower toolkit or model allow-list, nothing computes unused permissions, and there is no simulated impact of tightening a scope before applying it. TrustLens is also strictly read-only by construction, so even where it identifies excessive agency it cannot remediate. Buyers get good primitives for enforcing least privilege once they know the right answer, and limited help deriving it.</w:t>
            </w:r>
          </w:p>
          <w:p>
            <w:pPr>
              <w:spacing w:after="80"/>
            </w:pPr>
            <w:r>
              <w:rPr>
                <w:rFonts w:ascii="Calibri" w:cs="Calibri" w:eastAsia="Calibri" w:hAnsi="Calibri"/>
                <w:color w:val="1F2937"/>
                <w:sz w:val="19"/>
                <w:szCs w:val="19"/>
              </w:rPr>
              <w:t xml:space="preserve">NeuralTrust Docs - TrustGate Roles - https://docs.neuraltrust.ai/trustgate/concepts/roles; NeuralTrust Docs - TrustLens risk &amp; findings - https://docs.neuraltrust.ai/trustlens/risk-and-findings; NeuralTrust Docs - Tool governance - https://docs.neuraltrust.ai/trustgate/policies/tool-governance; NeuralTrust Docs - TrustLens overview - https://docs.neuraltrust.ai/trustlens/overview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enforces least-privilege principles through policy-driven runtime authorization. Administrators can explicitly restrict which models, MCP servers, APIs and external tools each agent or application is allowed to access, with independent policies per consumer, environment or deployment.</w:t>
            </w:r>
          </w:p>
          <w:p>
            <w:pPr>
              <w:spacing w:after="80"/>
            </w:pPr>
            <w:r>
              <w:rPr>
                <w:rFonts w:ascii="Calibri" w:cs="Calibri" w:eastAsia="Calibri" w:hAnsi="Calibri"/>
                <w:color w:val="1F2937"/>
                <w:sz w:val="19"/>
                <w:szCs w:val="19"/>
              </w:rPr>
              <w:t xml:space="preserve">Tool permissions, model allowlists, registry restrictions, authentication policies and contextual security controls ensure AI workloads only access explicitly authorized resources. Combined with runtime inspection of prompts, tool invocations and responses, these controls significantly reduce unnecessary privileges and lateral movement opportunities.</w:t>
            </w:r>
          </w:p>
          <w:p>
            <w:pPr>
              <w:spacing w:after="80"/>
            </w:pPr>
            <w:r>
              <w:rPr>
                <w:rFonts w:ascii="Calibri" w:cs="Calibri" w:eastAsia="Calibri" w:hAnsi="Calibri"/>
                <w:color w:val="1F2937"/>
                <w:sz w:val="19"/>
                <w:szCs w:val="19"/>
              </w:rPr>
              <w:t xml:space="preserve">Although the platform does not generate automated least-privilege recommendations, it provides strong enforcement mechanisms that align with enterprise least-privilege principles.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32.  Memory &amp; Context Poisoning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4  (+3)</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Persistent memory and RAG store poisoning is largely addressed at test time rather than at runtime. TrustTest ships a RAG poisoning evaluator implemented as an LLM-as-a-judge criterion, and the RAG probe generates both functional and adversarial question sets grounded in the customer's own indexed documents across knowledge base connectors for Azure, Postgres, Neo4j, Upstash and in-memory stores. That is a credible pre-deployment control for retrieval corpora. At runtime, however, there is no detector that inspects what is written into an agent memory store, no scanning of vector database contents, and no provenance or trust scoring on retrieved chunks. The closest runtime coverage is incidental: doc_analyzer and url_analyzer screen documents and links at ingestion time if they are passed to the guard endpoint, and prompt_guard can run in the output direction on mcp traffic. The Echo Chamber research the company itself published is fundamentally a context-poisoning attack, which makes the absence of a runtime context-integrity detector conspicuous. There is also a self-inflicted risk worth noting: the TrustGate semantic cache serves stored responses on embedding similarity above a default threshold of 0.85, and the documentation warns that setting it too low risks returning a cached answer for a meaningfully different prompt.</w:t>
            </w:r>
          </w:p>
          <w:p>
            <w:pPr>
              <w:spacing w:after="80"/>
            </w:pPr>
            <w:r>
              <w:rPr>
                <w:rFonts w:ascii="Calibri" w:cs="Calibri" w:eastAsia="Calibri" w:hAnsi="Calibri"/>
                <w:color w:val="1F2937"/>
                <w:sz w:val="19"/>
                <w:szCs w:val="19"/>
              </w:rPr>
              <w:t xml:space="preserve">NeuralTrust Docs - RAG poisoning evaluator - https://docs.neuraltrust.ai/trusttest/evaluate-result/llm-as-a-judge/rag-poisoning; NeuralTrust Docs - Knowledge base connectors - https://docs.neuraltrust.ai/trusttest/create/knowledge-base/overview; NeuralTrust Docs - Semantic cache policy - https://docs.neuraltrust.ai/trustgate/policies/semantic-cache</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TrustTest ships a dedicated RAG poisoning evaluator using an LLM-as-a-judge approach, with a RAG probe that generates both functional and adversarial question sets grounded in the customer's own indexed documents.</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33.  Microsoft Azure Marketplace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DC2626"/>
                <w:sz w:val="19"/>
                <w:szCs w:val="19"/>
              </w:rPr>
              <w:t xml:space="preserve">0 — Not Supported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0 → 4  (+4)</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Despite NeuralTrust being the most Microsoft-aligned vendor in its peer group at the technical level, with Entra-only SCIM, an Entra SSO guide, a four-mode Azure AI Foundry connector and a Copilot Studio discovery integration, no Azure Marketplace listing could be found. There is no transactable SaaS offer, no Azure Application or managed-application listing, no container offer and consequently no Microsoft Azure Consumption Commitment eligibility, so customers cannot retire MACC obligations by purchasing the platform. There is likewise no evidence of Microsoft AI Cloud Partner Program co-sell status or an IP co-sell incentivised designation, which is the mechanism that would put the product in front of Microsoft field sellers. Azure is documented thoroughly as a place to run the software, with self-hosted and hybrid deployment guides and AKS as a supported Kubernetes distribution, and the product plainly integrates well with Azure services. The commercial channel simply has not been built out to match the technical integration. A buyer with a large Azure commitment and a preference for marketplace procurement should expect a standard direct purchase, and should confirm current listing status with the vendor since the technical alignment makes this a plausible near-term addition.</w:t>
            </w:r>
          </w:p>
          <w:p>
            <w:pPr>
              <w:spacing w:after="80"/>
            </w:pPr>
            <w:r>
              <w:rPr>
                <w:rFonts w:ascii="Calibri" w:cs="Calibri" w:eastAsia="Calibri" w:hAnsi="Calibri"/>
                <w:color w:val="1F2937"/>
                <w:sz w:val="19"/>
                <w:szCs w:val="19"/>
              </w:rPr>
              <w:t xml:space="preserve">NeuralTrust docs - Azure self-hosted and hybrid deployment guides - https://docs.neuraltrust.ai/neuraltrust/deployment/azure/overview; NeuralTrust docs - Entra ID SSO and Entra-only SCIM showing deep Microsoft technical alignment - https://docs.neuraltrust.ai/platform/sso; NeuralTrust funding announcement describing direct enterprise sales motion and customer base - https://www.prnewswire.com/news-releases/neuraltrust-raises-20m-to-secure-the-growing-swarm-of-ai-agents-in-the-enterprise-302802926.html</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is fully integrated with Azure and listed on the marketplace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https://docs.neuraltrust.ai/trustlens/integrations/azure</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34.  Microsoft Sentinel</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Sentinel is the first destination listed in NeuralTrust's alert integrations and is authenticated through Entra ID OAuth rather than a shared key, which is consistent with the platform's broader Microsoft alignment. Findings are emitted as OCSF Detection Findings wrapped for Log Analytics and delivered through the Azure Monitor HTTP Data Collector path, with the same severity thresholds, source filters, deduplication, delivery health tracking and dead-letter queue applied to every destination. The separate audit-log SIEM feature also lists Sentinel with Entra-based authentication, so administrative and SSO events can be shipped alongside detections. Two limitations are significant for a Microsoft-centric SOC. First, there is no published Sentinel solution in the Content Hub: no codeless connector definition, no ASIM parser, no workbook, no analytics rule templates and no hunting queries, so the payload lands in a custom table that the customer must parse and build detections against. Second, Defender XDR is not integrated at all, so NeuralTrust findings do not surface as Defender incidents, do not participate in incident correlation with identity and endpoint signals, and cannot trigger Defender response actions. The delivery mechanism also predates the Logs Ingestion API and data collection rule model.</w:t>
            </w:r>
          </w:p>
          <w:p>
            <w:pPr>
              <w:spacing w:after="80"/>
            </w:pPr>
            <w:r>
              <w:rPr>
                <w:rFonts w:ascii="Calibri" w:cs="Calibri" w:eastAsia="Calibri" w:hAnsi="Calibri"/>
                <w:color w:val="1F2937"/>
                <w:sz w:val="19"/>
                <w:szCs w:val="19"/>
              </w:rPr>
              <w:t xml:space="preserve">NeuralTrust docs - alert integrations describing Sentinel delivery via Azure Monitor HTTP Data Collector API with Log Analytics wrapper - https://docs.neuraltrust.ai/platform/alert-integrations.md; NeuralTrust docs - SIEM integration listing Sentinel with Entra ID OAuth - https://docs.neuraltrust.ai/platform/siem-integration; NeuralTrust docs - platform alerts destinations - https://docs.neuraltrust.ai/platform/alerts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does not fully reflect the depth of NeuralTrust's Microsoft Sentinel integration. The platform provides native integration with Microsoft Sentinel using Microsoft-recommended authentication mechanisms and Azure Monitor ingestion, delivering structured AI security findings into existing SOC workflows.</w:t>
            </w:r>
          </w:p>
          <w:p>
            <w:pPr>
              <w:spacing w:after="80"/>
            </w:pPr>
            <w:r>
              <w:rPr>
                <w:rFonts w:ascii="Calibri" w:cs="Calibri" w:eastAsia="Calibri" w:hAnsi="Calibri"/>
                <w:color w:val="1F2937"/>
                <w:sz w:val="19"/>
                <w:szCs w:val="19"/>
              </w:rPr>
              <w:t xml:space="preserve">Security events include correlated runtime telemetry, policy enforcement actions, attack detections, AI asset metadata and operational context, enabling organizations to investigate AI-specific incidents alongside broader enterprise security events. Findings are normalized to industry-standard formats and integrate naturally with Microsoft security operations processes.</w:t>
            </w:r>
          </w:p>
          <w:p>
            <w:pPr>
              <w:spacing w:after="80"/>
            </w:pPr>
            <w:r>
              <w:rPr>
                <w:rFonts w:ascii="Calibri" w:cs="Calibri" w:eastAsia="Calibri" w:hAnsi="Calibri"/>
                <w:color w:val="1F2937"/>
                <w:sz w:val="19"/>
                <w:szCs w:val="19"/>
              </w:rPr>
              <w:t xml:space="preserve">This provides significantly more than basic log forwarding and represents a mature SIEM integration suitable for enterprise SOC environments.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35.  Model &amp; Artifact Scanning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DC2626"/>
                <w:sz w:val="19"/>
                <w:szCs w:val="19"/>
              </w:rPr>
              <w:t xml:space="preserve">0 — Not Supported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0 → 2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does not scan model files, adapters or serialised artefacts, and this is a clear categorical absence rather than a partial implementation. There is no pickle or safetensors deserialisation analysis, no scanning of LoRA adapters or fine-tuned weights for backdoors, no signature verification of model provenance, and no inspection of container images or Python dependency trees for the agent runtime. TrustTest attacks a model through its inference API as a black box and grades responses; it never examines the artefact. TrustLens catalogues models as an asset type with capabilities, lifecycle status, context window and regional deployments and scores them against six model-security controls, but those controls assess configuration and capability risk, such as whether a deprecated model is still running, not the integrity of the binary. The one adjacent capability is endpoint-side: TrustLens applies five controls to installed AI software on managed devices covering known CVEs and version currency, weighted at 5.0 in the endpoint supply-chain category, which catches a vulnerable Cursor or Claude Code build but not a poisoned model file. Buyers who need artefact scanning must pair NeuralTrust with a model-security specialist or an existing software composition analysis tool, and should be explicit that these vendors do not overlap.</w:t>
            </w:r>
          </w:p>
          <w:p>
            <w:pPr>
              <w:spacing w:after="80"/>
            </w:pPr>
            <w:r>
              <w:rPr>
                <w:rFonts w:ascii="Calibri" w:cs="Calibri" w:eastAsia="Calibri" w:hAnsi="Calibri"/>
                <w:color w:val="1F2937"/>
                <w:sz w:val="19"/>
                <w:szCs w:val="19"/>
              </w:rPr>
              <w:t xml:space="preserve">NeuralTrust Docs - TrustLens risk &amp; findings - https://docs.neuraltrust.ai/trustlens/risk-and-findings; NeuralTrust Docs - TrustLens Inventory - https://docs.neuraltrust.ai/trustlens/inventory; NeuralTrust Docs - TrustTest connect overview - https://docs.neuraltrust.ai/trusttest/connect/overview</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Although NeuralTrust does not statically scan model weight files or serialized artifacts, the platform continuously evaluates the security posture of deployed AI assets and validates the operational behavior of models before and during production use.</w:t>
            </w:r>
          </w:p>
          <w:p>
            <w:pPr>
              <w:spacing w:after="80"/>
            </w:pPr>
            <w:r>
              <w:rPr>
                <w:rFonts w:ascii="Calibri" w:cs="Calibri" w:eastAsia="Calibri" w:hAnsi="Calibri"/>
                <w:color w:val="1F2937"/>
                <w:sz w:val="19"/>
                <w:szCs w:val="19"/>
              </w:rPr>
              <w:t xml:space="preserve">TrustTest performs automated security validation of deployed models using adversarial testing, while TrustLens assesses model configurations, endpoints, MCP servers and AI infrastructure for security risks and misconfigurations. This approach focuses on operational security and runtime assurance rather than static binary inspection.</w:t>
            </w:r>
          </w:p>
          <w:p>
            <w:pPr>
              <w:spacing w:after="80"/>
            </w:pPr>
            <w:r>
              <w:rPr>
                <w:rFonts w:ascii="Calibri" w:cs="Calibri" w:eastAsia="Calibri" w:hAnsi="Calibri"/>
                <w:color w:val="1F2937"/>
                <w:sz w:val="19"/>
                <w:szCs w:val="19"/>
              </w:rPr>
              <w:t xml:space="preserve">Given the platform's ability to assess deployed AI assets and identify security issues across the AI stack, "Partial" better reflects its capabilities than "None".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https://neuraltrust.ai/red-teaming</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36.  Multi-Tenant Administration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Administrative segmentation exists but is shallow relative to what large, federated enterprises expect. The tenancy unit is the Team, and membership carries exactly three roles: Owner, Admin and Member, with at least one Owner required at all times. Access can additionally be scoped at product level, granting a user all products or only specific ones such as TrustGate or TrustTest, which allows a red team to be kept away from production gateway configuration. Operational segmentation is achieved indirectly rather than through a tenancy hierarchy: separate gateways isolate routing, credentials, registries and policy sets; consumers and IdP-claim-derived roles separate identities within a gateway; and distinct TrustGuard collectors give each business line its own detector chain and policy routing. What is not documented is a nested organisation, business-unit or subsidiary construct, per-unit data partitioning so one division cannot see another's prompts and findings, delegated administration bounded to a subtree, or reporting scoped to a unit. Custom roles beyond the three built-ins are not offered. SCIM-style automated deprovisioning is not described; removing access is an identity-provider action plus manual team cleanup. Groups running many autonomous subsidiaries will end up operating several separate teams and reconciling them outside the product.</w:t>
            </w:r>
          </w:p>
          <w:p>
            <w:pPr>
              <w:spacing w:after="80"/>
            </w:pPr>
            <w:r>
              <w:rPr>
                <w:rFonts w:ascii="Calibri" w:cs="Calibri" w:eastAsia="Calibri" w:hAnsi="Calibri"/>
                <w:color w:val="1F2937"/>
                <w:sz w:val="19"/>
                <w:szCs w:val="19"/>
              </w:rPr>
              <w:t xml:space="preserve">NeuralTrust Docs - Teams &amp; roles - https://docs.neuraltrust.ai/platform/teams; NeuralTrust Docs - Authentication &amp; SSO - https://docs.neuraltrust.ai/platform/authentication; NeuralTrust Docs - TrustGate gateways - https://docs.neuraltrust.ai/trustgate/concepts/gateways; NeuralTrust Docs - TrustGuard collectors - https://docs.neuraltrust.ai/trustguard/concepts/collectors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NeuralTrust's enterprise administration capabilities. While the platform is intentionally optimized for AI security operations rather than general-purpose IAM, it provides robust logical isolation between organizations, teams, environments and AI workloads.</w:t>
            </w:r>
          </w:p>
          <w:p>
            <w:pPr>
              <w:spacing w:after="80"/>
            </w:pPr>
            <w:r>
              <w:rPr>
                <w:rFonts w:ascii="Calibri" w:cs="Calibri" w:eastAsia="Calibri" w:hAnsi="Calibri"/>
                <w:color w:val="1F2937"/>
                <w:sz w:val="19"/>
                <w:szCs w:val="19"/>
              </w:rPr>
              <w:t xml:space="preserve">Administrators can centrally manage users, roles, gateways, applications, agents, models, policies, credentials and deployments with role-based access controls and scoped permissions. Administrative access can be delegated at both the platform and product level, enabling operational separation between security, AI and engineering teams while maintaining centralized governance.</w:t>
            </w:r>
          </w:p>
          <w:p>
            <w:pPr>
              <w:spacing w:after="80"/>
            </w:pPr>
            <w:r>
              <w:rPr>
                <w:rFonts w:ascii="Calibri" w:cs="Calibri" w:eastAsia="Calibri" w:hAnsi="Calibri"/>
                <w:color w:val="1F2937"/>
                <w:sz w:val="19"/>
                <w:szCs w:val="19"/>
              </w:rPr>
              <w:t xml:space="preserve">These capabilities provide effective multi-tenant administration for enterprise AI deployments, supporting organizational separation, delegated administration and secure operational governance across multiple AI environments.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37.  Natural Language Policy Authoring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Policy configuration in NeuralTrust is fundamentally structured rather than conversational. TrustGate policies are JSON or YAML objects created through the admin API at the gateways policies endpoints with typed fields for stage, mode, priority, parallel execution and scope, and TrustGuard detectors are configured with typed settings for thresholds, entity lists and credentials. The custom alert rule builder in the console works on field predicates combined in disjunctive normal form using operators such as is, in, contains and numeric comparisons, with a read-only YAML preview; aggregate and cross-product rules require direct YAML editing. Natural language does appear in several places, but as detection input rather than policy syntax. The prompt_moderation detector accepts topic definitions evaluated through NeuralTrust topic probability analysis, so scope restrictions can be expressed as subject matter rather than regular expressions. Tool call validation includes a semantic validator alongside JSON schema, regex and denylist options. TrustTest lets teams state adversarial objectives in plain language and generate tests from them, and supports custom LLM-as-a-judge criteria written as prompts. The net effect is that intent can be expressed semantically inside individual detectors and evaluators, but the policy fabric that binds them remains code and console configuration.</w:t>
            </w:r>
          </w:p>
          <w:p>
            <w:pPr>
              <w:spacing w:after="80"/>
            </w:pPr>
            <w:r>
              <w:rPr>
                <w:rFonts w:ascii="Calibri" w:cs="Calibri" w:eastAsia="Calibri" w:hAnsi="Calibri"/>
                <w:color w:val="1F2937"/>
                <w:sz w:val="19"/>
                <w:szCs w:val="19"/>
              </w:rPr>
              <w:t xml:space="preserve">NeuralTrust Docs - TrustGate policies overview - https://docs.neuraltrust.ai/trustgate/policies/overview; NeuralTrust Docs - Content security detectors - https://docs.neuraltrust.ai/trustguard/detectors/content-security; NeuralTrust Docs - Use Cases rule builder - https://docs.neuraltrust.ai/platform/use-cases; NeuralTrust Docs - Tool governance - https://docs.neuraltrust.ai/trustgate/policies/tool-governance</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emphasizes the underlying policy representation rather than the user experience. While policies are ultimately stored as structured configurations, administrators can define security policies using high-level semantic concepts instead of low-level rule programming.</w:t>
            </w:r>
          </w:p>
          <w:p>
            <w:pPr>
              <w:spacing w:after="80"/>
            </w:pPr>
            <w:r>
              <w:rPr>
                <w:rFonts w:ascii="Calibri" w:cs="Calibri" w:eastAsia="Calibri" w:hAnsi="Calibri"/>
                <w:color w:val="1F2937"/>
                <w:sz w:val="19"/>
                <w:szCs w:val="19"/>
              </w:rPr>
              <w:t xml:space="preserve">NeuralTrust abstracts complex runtime controls through reusable policy templates, declarative configuration, and AI security primitives covering prompt injection, jailbreak protection, DLP, content moderation, tool governance and contextual security. This significantly reduces the complexity of authoring enterprise AI security policies without requiring custom development.</w:t>
            </w:r>
          </w:p>
          <w:p>
            <w:pPr>
              <w:spacing w:after="80"/>
            </w:pPr>
            <w:r>
              <w:rPr>
                <w:rFonts w:ascii="Calibri" w:cs="Calibri" w:eastAsia="Calibri" w:hAnsi="Calibri"/>
                <w:color w:val="1F2937"/>
                <w:sz w:val="19"/>
                <w:szCs w:val="19"/>
              </w:rPr>
              <w:t xml:space="preserve">Structured policy models are common among enterprise security platforms because they provide consistency, versionability and auditability while still enabling intuitive policy management.</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https://neuraltrust.ai/ai-agent-security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38.  Network Egress Control</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There is no agent egress firewall in the NeuralTrust product set, and the controls that exist protect the platform rather than the agent. TrustGate constrains upstream destinations only in the sense that a consumer can reach the registries attached to it, which are configured provider endpoints such as OpenAI, Azure OpenAI or Bedrock, and the MCP plane exposes only registered MCP servers; anything not registered is simply not routable through the gateway, but nothing prevents the agent from opening its own socket. Server-side hardening is genuinely careful where it applies: the url_analyzer and the attachment fetcher resolve DNS before connecting and block private, loopback and cloud metadata addresses to prevent SSRF, and client_tls configuration allows per-hostname CA pinning, mutual TLS, TLS version floors and cipher and curve restrictions on upstream connections. Deployment documentation covers firewall configuration for the platform itself, with TrustLens requiring only outbound HTTPS on 443 and endpoint devices needing egress to posture.neuraltrust.ai. None of this gives a security team a per-agent destination allowlist enforced in the agent network path. Buyers needing true egress control must implement it with cloud security groups, a service mesh, or a dedicated egress proxy, and use TrustGate to cover the model and MCP legs only.</w:t>
            </w:r>
          </w:p>
          <w:p>
            <w:pPr>
              <w:spacing w:after="80"/>
            </w:pPr>
            <w:r>
              <w:rPr>
                <w:rFonts w:ascii="Calibri" w:cs="Calibri" w:eastAsia="Calibri" w:hAnsi="Calibri"/>
                <w:color w:val="1F2937"/>
                <w:sz w:val="19"/>
                <w:szCs w:val="19"/>
              </w:rPr>
              <w:t xml:space="preserve">NeuralTrust Docs - Server security - https://docs.neuraltrust.ai/trustgate/operate/server-security; NeuralTrust Docs - TrustGuard Evaluate API - https://docs.neuraltrust.ai/trustguard/api/evaluate; NeuralTrust Docs - Firewall deployment - https://docs.neuraltrust.ai/neuraltrust/deployment/firewall; NeuralTrust Docs - TrustLens data handling - https://docs.neuraltrust.ai/trustlens/data-handling</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comprehensive control over outbound AI communications by governing which external models, MCP servers, APIs and service endpoints each AI application is permitted to access.</w:t>
            </w:r>
          </w:p>
          <w:p>
            <w:pPr>
              <w:spacing w:after="80"/>
            </w:pPr>
            <w:r>
              <w:rPr>
                <w:rFonts w:ascii="Calibri" w:cs="Calibri" w:eastAsia="Calibri" w:hAnsi="Calibri"/>
                <w:color w:val="1F2937"/>
                <w:sz w:val="19"/>
                <w:szCs w:val="19"/>
              </w:rPr>
              <w:t xml:space="preserve">All outbound requests pass through TrustGate, where routing policies, model allowlists, registry restrictions, authentication policies and runtime security controls determine whether requests may proceed. Administrators can centrally define approved providers and services while preventing unauthorized destinations from being used by AI workloads.</w:t>
            </w:r>
          </w:p>
          <w:p>
            <w:pPr>
              <w:spacing w:after="80"/>
            </w:pPr>
            <w:r>
              <w:rPr>
                <w:rFonts w:ascii="Calibri" w:cs="Calibri" w:eastAsia="Calibri" w:hAnsi="Calibri"/>
                <w:color w:val="1F2937"/>
                <w:sz w:val="19"/>
                <w:szCs w:val="19"/>
              </w:rPr>
              <w:t xml:space="preserve">Although NeuralTrust is not a general-purpose network firewall, it provides strong application-layer egress governance specifically designed for AI systems and agent communications.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39.  Okta &amp; Auth0</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Okta gets a dedicated TrustGate authorization guide, which is more than most competitors of this size publish. It walks through creating a custom authorization server, defining an mcp.access scope, adding an access policy rule permitting the authorization-code grant, and mapping a groups claim into the access token so TrustGate can route users to different registries and models by role. It also covers OAuth2 login for MCP agents such as Cursor, specifying that an OIDC Web Application must be used rather than API Services because the latter fails at the authorize endpoint, and that the redirect URI must be registered exactly as the MCP base URL plus /oauth/callback. Troubleshooting for wrong client types, missing scopes and session caching is included. Two limits matter. First, Okta is treated purely as a standards-compliant OIDC and OAuth2 provider; there is no application in the Okta Integration Network, no SCIM provisioning for Okta since that is documented as Entra-only, no Workflows connector and no Okta System Log ingestion, so joiner-mover-leaver events do not automatically deprovision NeuralTrust access. Second, Auth0 is mentioned only as one of several OIDC-compliant alternatives with no dedicated configuration guide of its own.</w:t>
            </w:r>
          </w:p>
          <w:p>
            <w:pPr>
              <w:spacing w:after="80"/>
            </w:pPr>
            <w:r>
              <w:rPr>
                <w:rFonts w:ascii="Calibri" w:cs="Calibri" w:eastAsia="Calibri" w:hAnsi="Calibri"/>
                <w:color w:val="1F2937"/>
                <w:sz w:val="19"/>
                <w:szCs w:val="19"/>
              </w:rPr>
              <w:t xml:space="preserve">NeuralTrust docs - TrustGate Okta authorization guide (custom auth server, mcp.access scope, groups claim, troubleshooting) - https://docs.neuraltrust.ai/trustgate/concepts/authorization/okta.md; NeuralTrust docs - SSO page naming Okta, Auth0 and Google Workspace as generic OIDC options - https://docs.neuraltrust.ai/platform/sso; NeuralTrust docs - SCIM provisioning restricted to Entra ID - https://docs.neuraltrust.ai/platform/scim</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NeuralTrust's integration with Okta and Auth0. The platform supports enterprise authentication through OpenID Connect and OAuth 2.0, with dedicated implementation guidance for Okta, enabling secure authentication, delegated authorization, group-based access control and identity propagation.</w:t>
            </w:r>
          </w:p>
          <w:p>
            <w:pPr>
              <w:spacing w:after="80"/>
            </w:pPr>
            <w:r>
              <w:rPr>
                <w:rFonts w:ascii="Calibri" w:cs="Calibri" w:eastAsia="Calibri" w:hAnsi="Calibri"/>
                <w:color w:val="1F2937"/>
                <w:sz w:val="19"/>
                <w:szCs w:val="19"/>
              </w:rPr>
              <w:t xml:space="preserve">TrustGate supports token validation, JWT processing, delegated user authorization, OAuth flows and identity-aware policy enforcement, allowing organizations to leverage existing Okta and Auth0 deployments without requiring custom identity infrastructure.</w:t>
            </w:r>
          </w:p>
          <w:p>
            <w:pPr>
              <w:spacing w:after="80"/>
            </w:pPr>
            <w:r>
              <w:rPr>
                <w:rFonts w:ascii="Calibri" w:cs="Calibri" w:eastAsia="Calibri" w:hAnsi="Calibri"/>
                <w:color w:val="1F2937"/>
                <w:sz w:val="19"/>
                <w:szCs w:val="19"/>
              </w:rPr>
              <w:t xml:space="preserve">While NeuralTrust is not an identity provider itself, it provides comprehensive integration with modern enterprise identity platforms, making "Good" a more representative assessment.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40.  OpenAI Agents SDK &amp; AgentKit</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No change requested</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Coverage here is split and incomplete. The TrustLens GitHub scanner names the OpenAI Agents SDK among the agent implementations it recognises in source code, so repository-level discovery works. The TrustLens Azure connector reaches Azure OpenAI Classic Assistants v1 and Azure AI Foundry Agents v2, retrieving agent names, models, instructions, tools, knowledge bases and, for v2 only, content filter and guardrails configuration. That is meaningful assistant-level visibility, but it is Microsoft-hosted assistants, not OpenAI's own platform. There is no connector to the OpenAI platform API for organisation-level enumeration of Assistants, Agents or hosted workflows, and AgentKit and Agent Builder are not mentioned anywhere in NeuralTrust's documentation, newsroom or repositories. TrustGate provides a first-class OpenAI provider adapter, so chat-completions traffic from an Agents SDK application can be proxied and policed, and the TrustGuard SDKs can wrap individual calls. What a buyer does not get is visibility into AgentKit-authored workflows, hosted tool calls executed inside OpenAI's infrastructure, or the Responses API session structure. Inspection is therefore limited to traffic the customer deliberately routes through the gateway, and anything OpenAI executes server-side remains outside the enforcement boundary.</w:t>
            </w:r>
          </w:p>
          <w:p>
            <w:pPr>
              <w:spacing w:after="80"/>
            </w:pPr>
            <w:r>
              <w:rPr>
                <w:rFonts w:ascii="Calibri" w:cs="Calibri" w:eastAsia="Calibri" w:hAnsi="Calibri"/>
                <w:color w:val="1F2937"/>
                <w:sz w:val="19"/>
                <w:szCs w:val="19"/>
              </w:rPr>
              <w:t xml:space="preserve">NeuralTrust docs - TrustLens GitHub integration (OpenAI Agents SDK code detection) - https://docs.neuraltrust.ai/trustlens/integrations/github; NeuralTrust docs - TrustLens Azure integration (Classic Assistants v1 and AI Foundry Agents v2) - https://docs.neuraltrust.ai/trustlens/integrations/azure; NeuralTrust docs - TrustGate registries and provider identifiers - https://docs.neuraltrust.ai/trustgate/concepts/registries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comprehensive support for applications built with the OpenAI Agents SDK through both discovery and runtime protection. The platform identifies OpenAI agent implementations, secures all model and tool interactions through TrustGate, performs agent-aware security testing with TrustTest and continuously monitors operational posture through TrustLens.</w:t>
            </w:r>
          </w:p>
          <w:p>
            <w:pPr>
              <w:spacing w:after="80"/>
            </w:pPr>
            <w:r>
              <w:rPr>
                <w:rFonts w:ascii="Calibri" w:cs="Calibri" w:eastAsia="Calibri" w:hAnsi="Calibri"/>
                <w:color w:val="1F2937"/>
                <w:sz w:val="19"/>
                <w:szCs w:val="19"/>
              </w:rPr>
              <w:t xml:space="preserve">Because the platform protects AI systems at the runtime layer rather than depending on framework-specific instrumentation, organizations receive consistent governance, observability and policy enforcement across OpenAI Agents SDK deployments.</w:t>
            </w:r>
          </w:p>
          <w:p>
            <w:pPr>
              <w:spacing w:after="80"/>
            </w:pPr>
            <w:r>
              <w:rPr>
                <w:rFonts w:ascii="Calibri" w:cs="Calibri" w:eastAsia="Calibri" w:hAnsi="Calibri"/>
                <w:color w:val="1F2937"/>
                <w:sz w:val="19"/>
                <w:szCs w:val="19"/>
              </w:rPr>
              <w:t xml:space="preserve">This combination of discovery, runtime enforcement and operational visibility provides broader support than the current assessment suggests.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41.  Ping Identity</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Ping is never named. The platform SSO documentation gives a dedicated Entra ID guide and points everyone else at a generic OIDC page, listing Okta, Auth0 and Google Workspace as examples of compliant providers; PingOne, PingFederate and PingAccess are absent from that list and from the whole documentation set, as is any Ping Identity marketplace or integration-directory listing. In practice PingFederate and PingOne are standards-compliant OIDC providers, so an organisation could configure NeuralTrust platform SSO against them through the generic OIDC path, and TrustGate's authorization layer validates JWTs by issuer and JWKS URL with configurable claim mapping, so Ping-issued tokens carrying group or role claims could drive registry and model routing. That is a genuine but improvised path: the buyer determines the claim names, audience formats and scope naming themselves without vendor-tested guidance, and the specific pitfalls NeuralTrust documents for Entra and Okta, such as audience mismatch and client-type errors, must be rediscovered. SCIM is unavailable outside Entra, so Ping-driven user lifecycle management will not propagate, and no Ping-specific support commitment exists if token handling behaves unexpectedly after a PingFederate upgrade.</w:t>
            </w:r>
          </w:p>
          <w:p>
            <w:pPr>
              <w:spacing w:after="80"/>
            </w:pPr>
            <w:r>
              <w:rPr>
                <w:rFonts w:ascii="Calibri" w:cs="Calibri" w:eastAsia="Calibri" w:hAnsi="Calibri"/>
                <w:color w:val="1F2937"/>
                <w:sz w:val="19"/>
                <w:szCs w:val="19"/>
              </w:rPr>
              <w:t xml:space="preserve">NeuralTrust docs - SSO page listing supported and example OIDC providers, Ping not among them - https://docs.neuraltrust.ai/platform/sso; NeuralTrust docs - SCIM restricted to Entra ID, generic OIDC excluded - https://docs.neuraltrust.ai/platform/scim; NeuralTrust docs - TrustGate authorization concepts showing issuer and JWKS based validation - https://docs.neuraltrust.ai/trustgate/concepts/authorization/okta.md</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appears to evaluate vendor-specific documentation rather than interoperability. NeuralTrust integrates with standards-based identity providers through OpenID Connect, OAuth 2.0 and JWT authentication, enabling compatibility with enterprise identity platforms including Ping Identity deployments.</w:t>
            </w:r>
          </w:p>
          <w:p>
            <w:pPr>
              <w:spacing w:after="80"/>
            </w:pPr>
            <w:r>
              <w:rPr>
                <w:rFonts w:ascii="Calibri" w:cs="Calibri" w:eastAsia="Calibri" w:hAnsi="Calibri"/>
                <w:color w:val="1F2937"/>
                <w:sz w:val="19"/>
                <w:szCs w:val="19"/>
              </w:rPr>
              <w:t xml:space="preserve">Runtime authentication, delegated authorization, identity propagation, role-based access control and policy enforcement operate independently of the underlying standards-compliant identity provider, allowing organizations to integrate Ping Identity using existing federation capabilities.</w:t>
            </w:r>
          </w:p>
          <w:p>
            <w:pPr>
              <w:spacing w:after="80"/>
            </w:pPr>
            <w:r>
              <w:rPr>
                <w:rFonts w:ascii="Calibri" w:cs="Calibri" w:eastAsia="Calibri" w:hAnsi="Calibri"/>
                <w:color w:val="1F2937"/>
                <w:sz w:val="19"/>
                <w:szCs w:val="19"/>
              </w:rPr>
              <w:t xml:space="preserve">Because NeuralTrust intentionally relies on open identity standards rather than vendor-specific implementations, "Good" more accurately reflects its practical enterprise compatibility.</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42.  Pipeline Gating</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w:t>
            </w:r>
          </w:p>
        </w:tc>
        <w:tc>
          <w:tcPr>
            <w:shd w:color="FFFFFF" w:val="solid"/>
            <w:tcMar>
              <w:top w:type="dxa" w:w="80"/>
              <w:left w:type="dxa" w:w="140"/>
              <w:bottom w:type="dxa" w:w="80"/>
              <w:right w:type="dxa" w:w="140"/>
            </w:tcMar>
            <w:vAlign w:val="center"/>
          </w:tcPr>
          <w:p>
            <w:pPr>
              <w:jc w:val="center"/>
            </w:pPr>
            <w:r>
              <w:rPr>
                <w:rFonts w:ascii="Calibri" w:cs="Calibri" w:eastAsia="Calibri" w:hAnsi="Calibri"/>
                <w:b w:val="false"/>
                <w:bCs w:val="false"/>
                <w:color w:val="94A3B8"/>
                <w:sz w:val="19"/>
                <w:szCs w:val="19"/>
              </w:rPr>
              <w:t xml:space="preserve">No change requested</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Blocking an unsafe agent from promotion is possible in principle but is not a product feature with documented mechanics. TrustTest is a Python package explicitly positioned for CI and version control integration, and results are displayed through display and display_summary methods with scores comparable across evaluator types and time periods, so a team can parse those results and fail a build themselves. NeuralTrust also maintains a public reusable GitHub Actions workflows repository. What the documentation does not provide is the gating layer itself: no documented pass or fail threshold configuration, no policy that says a scenario scoring below a stated value must block a merge, no non-zero exit code contract on failure, no native GitHub Actions, GitLab CI, Jenkins or Azure DevOps plugin published for TrustTest, and no attestation artefact that a downstream deployment step could verify. On the posture side, TrustLens is strictly read-only by construction and cannot prevent a resource being created, so it cannot act as an admission gate either; its alert playbooks explicitly describe a validate, contain, remediate and track pattern executed by owners rather than an enforcement point. Buyers wanting a hard release gate will write the threshold logic and the pipeline wiring themselves, which is achievable but is custom work.</w:t>
            </w:r>
          </w:p>
          <w:p>
            <w:pPr>
              <w:spacing w:after="80"/>
            </w:pPr>
            <w:r>
              <w:rPr>
                <w:rFonts w:ascii="Calibri" w:cs="Calibri" w:eastAsia="Calibri" w:hAnsi="Calibri"/>
                <w:color w:val="1F2937"/>
                <w:sz w:val="19"/>
                <w:szCs w:val="19"/>
              </w:rPr>
              <w:t xml:space="preserve">NeuralTrust - AI Red Teaming product page - https://neuraltrust.ai/red-teaming; NeuralTrust Docs - TrustTest quickstart - https://docs.neuraltrust.ai/trusttest/getting-started/quickstart; NeuralTrust GitHub - workflows repository - https://github.com/NeuralTrust/workflows; NeuralTrust Docs - TrustLens alerts - https://docs.neuraltrust.ai/trustlens/alerts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TrustTest is designed for integration into CI/CD pipelines and automated software delivery workflows, enabling organizations to enforce security validation before AI applications are promoted between environments.</w:t>
            </w:r>
          </w:p>
          <w:p>
            <w:pPr>
              <w:spacing w:after="80"/>
            </w:pPr>
            <w:r>
              <w:rPr>
                <w:rFonts w:ascii="Calibri" w:cs="Calibri" w:eastAsia="Calibri" w:hAnsi="Calibri"/>
                <w:color w:val="1F2937"/>
                <w:sz w:val="19"/>
                <w:szCs w:val="19"/>
              </w:rPr>
              <w:t xml:space="preserve">Security tests generate structured results, consistent scoring and machine-readable outputs that can be consumed by build pipelines to automatically enforce deployment gates based on organizational security thresholds. This enables security validation to become a standard release criterion within existing DevSecOps workflows.</w:t>
            </w:r>
          </w:p>
          <w:p>
            <w:pPr>
              <w:spacing w:after="80"/>
            </w:pPr>
            <w:r>
              <w:rPr>
                <w:rFonts w:ascii="Calibri" w:cs="Calibri" w:eastAsia="Calibri" w:hAnsi="Calibri"/>
                <w:color w:val="1F2937"/>
                <w:sz w:val="19"/>
                <w:szCs w:val="19"/>
              </w:rPr>
              <w:t xml:space="preserve">While NeuralTrust integrates with customer CI/CD platforms rather than providing a proprietary pipeline orchestrator, it fully supports automated security gating during the AI development lifecycle.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https://neuraltrust.ai/red-teaming</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43.  Policy Lifecycle Management</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Lifecycle management is the least developed part of an otherwise capable policy engine. The TrustGate admin API supports create, read, update, delete and duplicate operations on policies, plus marking a policy global and clearing its global scope, and an enabled toggle allows deactivation without deletion. Configuration changes propagate to proxy nodes through Redis publish and subscribe without restarts, with an in-process TTL cache defaulting to five minutes. What is absent is everything a change-controlled security team expects: there is no documented policy versioning, no rollback to a previous revision, no environment promotion path from development to staging to production, no approval workflow on policy edits, and no diff view of what changed between two configurations. Notably, the prompt_template policy does support named, versioned templates referenced by label, which demonstrates the vendor understands versioning but has applied it only to prompts. Change history is available indirectly through platform audit logs, which record actor identity, affected resource, source IP and outcome and are retained for one year for SOC 2 purposes, viewable only by Owners and Admins. That gives forensic traceability but not operational control. Teams should manage policy definitions as code in their own repository and drive the admin API from CI.</w:t>
            </w:r>
          </w:p>
          <w:p>
            <w:pPr>
              <w:spacing w:after="80"/>
            </w:pPr>
            <w:r>
              <w:rPr>
                <w:rFonts w:ascii="Calibri" w:cs="Calibri" w:eastAsia="Calibri" w:hAnsi="Calibri"/>
                <w:color w:val="1F2937"/>
                <w:sz w:val="19"/>
                <w:szCs w:val="19"/>
              </w:rPr>
              <w:t xml:space="preserve">NeuralTrust Docs - TrustGate policies API - https://docs.neuraltrust.ai/trustgate/api-reference/policies/list-policies; NeuralTrust Docs - TrustGate architecture - https://docs.neuraltrust.ai/trustgate/architecture; NeuralTrust Docs - Prompt &amp; model controls - https://docs.neuraltrust.ai/trustgate/policies/prompt-model-controls; NeuralTrust Docs - Audit logs - https://docs.neuraltrust.ai/platform/audit-logs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the maturity of NeuralTrust's policy management capabilities. The platform supports centralized lifecycle management including policy creation, modification, version updates, activation, deactivation, duplication, staged deployment and scoped assignment across applications, agents and environments.</w:t>
            </w:r>
          </w:p>
          <w:p>
            <w:pPr>
              <w:spacing w:after="80"/>
            </w:pPr>
            <w:r>
              <w:rPr>
                <w:rFonts w:ascii="Calibri" w:cs="Calibri" w:eastAsia="Calibri" w:hAnsi="Calibri"/>
                <w:color w:val="1F2937"/>
                <w:sz w:val="19"/>
                <w:szCs w:val="19"/>
              </w:rPr>
              <w:t xml:space="preserve">Policies are managed centrally and propagated consistently across distributed gateways, providing version consistency and operational governance for enterprise deployments. Configuration changes are auditable and designed for controlled rollout across production environments.</w:t>
            </w:r>
          </w:p>
          <w:p>
            <w:pPr>
              <w:spacing w:after="80"/>
            </w:pPr>
            <w:r>
              <w:rPr>
                <w:rFonts w:ascii="Calibri" w:cs="Calibri" w:eastAsia="Calibri" w:hAnsi="Calibri"/>
                <w:color w:val="1F2937"/>
                <w:sz w:val="19"/>
                <w:szCs w:val="19"/>
              </w:rPr>
              <w:t xml:space="preserve">While NeuralTrust is not intended to replace enterprise GRC platforms, it provides robust lifecycle management for AI runtime security policies and governance.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https://neuraltrust.ai/ai-agent-security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44.  Policy Simulation Mode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supports shadow evaluation on live traffic but not counterfactual simulation against history. Every TrustGuard detector can be set to observe mode, which reports findings without altering the payload, and TrustGuard policies have a report enforcement mode in which all configured actions become non-blocking records for measurement. TrustGate policies independently support an observe mode alongside enforce and throttle. The documentation consistently recommends this as the deployment pattern, advising teams to start a detector in observe to measure signal and false positives before promoting it to enforce, and to run the anomaly_detector in observe first to calibrate its signal weights and 0.7 flagging threshold against real traffic. That is a genuine, well-documented capability rather than a marketing claim. What is missing is the ability to evaluate a proposed policy change without deploying it: there is no documented replay of stored traffic against a candidate configuration, no side-by-side diff showing which historical requests would newly have been blocked, and no impact estimate before activation. Because raw payloads are retained separately by trace_id for UI drill-down, the data to build such a feature exists but the feature does not. Teams must therefore run each change through a live observation window, which lengthens rollout cycles.</w:t>
            </w:r>
          </w:p>
          <w:p>
            <w:pPr>
              <w:spacing w:after="80"/>
            </w:pPr>
            <w:r>
              <w:rPr>
                <w:rFonts w:ascii="Calibri" w:cs="Calibri" w:eastAsia="Calibri" w:hAnsi="Calibri"/>
                <w:color w:val="1F2937"/>
                <w:sz w:val="19"/>
                <w:szCs w:val="19"/>
              </w:rPr>
              <w:t xml:space="preserve">NeuralTrust Docs - TrustGuard detector concepts - https://docs.neuraltrust.ai/trustguard/concepts/detectors; NeuralTrust Docs - TrustGuard policies - https://docs.neuraltrust.ai/trustguard/concepts/policies; NeuralTrust Docs - TrustGate policies overview - https://docs.neuraltrust.ai/trustgate/policies/overview; NeuralTrust Docs - Behavioral security detectors - https://docs.neuraltrust.ai/trustguard/detectors/behavioral-security</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comprehensive non-blocking policy evaluation through Observe Mode and Report Mode, allowing organizations to validate policies against live production traffic before enabling enforcement.</w:t>
            </w:r>
          </w:p>
          <w:p>
            <w:pPr>
              <w:spacing w:after="80"/>
            </w:pPr>
            <w:r>
              <w:rPr>
                <w:rFonts w:ascii="Calibri" w:cs="Calibri" w:eastAsia="Calibri" w:hAnsi="Calibri"/>
                <w:color w:val="1F2937"/>
                <w:sz w:val="19"/>
                <w:szCs w:val="19"/>
              </w:rPr>
              <w:t xml:space="preserve">Security controls can execute without affecting user requests while generating detailed telemetry, detection results, policy matches and enforcement recommendations. This enables safe policy tuning, impact analysis and gradual rollout of new controls using real production workloads.</w:t>
            </w:r>
          </w:p>
          <w:p>
            <w:pPr>
              <w:spacing w:after="80"/>
            </w:pPr>
            <w:r>
              <w:rPr>
                <w:rFonts w:ascii="Calibri" w:cs="Calibri" w:eastAsia="Calibri" w:hAnsi="Calibri"/>
                <w:color w:val="1F2937"/>
                <w:sz w:val="19"/>
                <w:szCs w:val="19"/>
              </w:rPr>
              <w:t xml:space="preserve">Although the platform does not currently replay historical traffic for counterfactual simulation, its production shadow evaluation capabilities provide the primary simulation workflow used by enterprise customers during policy deployment.</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https://neuraltrust.ai/ai-agent-security</w:t>
      </w:r>
    </w:p>
    <w:p>
      <w:pPr>
        <w:spacing w:after="8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45.  Privilege Escalation Detection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92400E"/>
                <w:sz w:val="19"/>
                <w:szCs w:val="19"/>
              </w:rPr>
              <w:t xml:space="preserve">1 — Partial / Basic</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1 → 3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Detection of an agent acquiring or exercising permissions beyond its baseline is largely inferential. On the posture side, TrustLens re-evaluates controls on every sync and treats configuration drift as a scored dimension, with the excessive agency category catching patterns such as computer_use being enabled or an MCP server configured with auto-approve wildcards, and one documented playbook targets unmanaged Copilot agents with broad access. That surfaces a widened permission set within the six to twenty-four hour sync window, but as a configuration finding rather than an escalation event with a before and after state. On the runtime side, the platform ships predefined alert use cases covering authentication anomalies, and the anomaly_detector flags actors by request timing, content similarity and cross-collector activity using a default 0.7 threshold and a three hundred second history, which is abuse detection rather than privilege analysis. Nothing correlates an agent identity against an approved entitlement baseline and alerts when it exercises something new, and nothing monitors the identity provider or cloud IAM for role assignments granted to agent service principals. A denied call is simply a 403 in telemetry that a customer must write their own windowed use case to detect. Buyers should treat this as a build-your-own detection rather than a product feature.</w:t>
            </w:r>
          </w:p>
          <w:p>
            <w:pPr>
              <w:spacing w:after="80"/>
            </w:pPr>
            <w:r>
              <w:rPr>
                <w:rFonts w:ascii="Calibri" w:cs="Calibri" w:eastAsia="Calibri" w:hAnsi="Calibri"/>
                <w:color w:val="1F2937"/>
                <w:sz w:val="19"/>
                <w:szCs w:val="19"/>
              </w:rPr>
              <w:t xml:space="preserve">NeuralTrust Docs - TrustLens risk &amp; findings - https://docs.neuraltrust.ai/trustlens/risk-and-findings; NeuralTrust Docs - Platform alerts - https://docs.neuraltrust.ai/platform/alerts; NeuralTrust Docs - Behavioral security detectors - https://docs.neuraltrust.ai/trustguard/detectors/behavioral-security; NeuralTrust Docs - TrustLens alerts - https://docs.neuraltrust.ai/trustlens/alerts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continuously evaluates agent behavior, tool usage and security posture to detect patterns that may indicate excessive permissions or privilege misuse.</w:t>
            </w:r>
          </w:p>
          <w:p>
            <w:pPr>
              <w:spacing w:after="80"/>
            </w:pPr>
            <w:r>
              <w:rPr>
                <w:rFonts w:ascii="Calibri" w:cs="Calibri" w:eastAsia="Calibri" w:hAnsi="Calibri"/>
                <w:color w:val="1F2937"/>
                <w:sz w:val="19"/>
                <w:szCs w:val="19"/>
              </w:rPr>
              <w:t xml:space="preserve">Runtime policies inspect tool invocations, delegated permissions, MCP interactions, authentication context and behavioral anomalies, while posture management identifies excessive agent capabilities, insecure configurations and unnecessary tool exposure. These controls help organizations identify and mitigate privilege escalation risks before they can be exploited.</w:t>
            </w:r>
          </w:p>
          <w:p>
            <w:pPr>
              <w:spacing w:after="80"/>
            </w:pPr>
            <w:r>
              <w:rPr>
                <w:rFonts w:ascii="Calibri" w:cs="Calibri" w:eastAsia="Calibri" w:hAnsi="Calibri"/>
                <w:color w:val="1F2937"/>
                <w:sz w:val="19"/>
                <w:szCs w:val="19"/>
              </w:rPr>
              <w:t xml:space="preserve">Although NeuralTrust is not a traditional Identity Governance and Administration (IGA) platform, it provides comprehensive runtime detection of excessive privilege within AI systems.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46.  Risk Reporting Dashboards</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4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Reporting is functional but fragmented across three consoles, which is a real friction for a CISO audience. TrustLens provides the most leadership-ready view: a numeric posture risk score from zero to one hundred with bands of Low at zero to twenty-four through Critical at seventy-five and above, rolled up from weighted controls across agents, models, datasets, MCP servers, endpoint tools and shadow AI, presented through dashboards and an insights panel with findings tagged Critical through Low. TrustGate and TrustGuard telemetry drive separate operational dashboards over model usage, tokens, cost, latency and detector outcomes, and TrustTest produces its own scoring comparable across evaluator types and time periods, which the vendor positions as auditor-facing evidence. Findings can be forwarded to Splunk, Sentinel, Elastic, QRadar and Datadog, so an organisation can consolidate externally. What the documentation does not describe is a single executive view that unifies posture, runtime and testing into one board-level report, nor scheduled PDF or email reporting, nor trend analysis showing risk movement quarter over quarter, nor per-business-unit report scoping. Buyers who need a monthly agent risk pack for a risk committee should expect to assemble it from three sources or rebuild it in their own BI tool.</w:t>
            </w:r>
          </w:p>
          <w:p>
            <w:pPr>
              <w:spacing w:after="80"/>
            </w:pPr>
            <w:r>
              <w:rPr>
                <w:rFonts w:ascii="Calibri" w:cs="Calibri" w:eastAsia="Calibri" w:hAnsi="Calibri"/>
                <w:color w:val="1F2937"/>
                <w:sz w:val="19"/>
                <w:szCs w:val="19"/>
              </w:rPr>
              <w:t xml:space="preserve">NeuralTrust Docs - TrustLens risk &amp; findings - https://docs.neuraltrust.ai/trustlens/risk-and-findings; NeuralTrust Docs - TrustLens overview - https://docs.neuraltrust.ai/trustlens/overview; NeuralTrust Docs - Alert integrations - https://docs.neuraltrust.ai/platform/alert-integrations; NeuralTrust - AI Red Teaming product page - https://neuraltrust.ai/red-teaming</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provides executive and operational reporting through TrustLens, combining runtime security telemetry, posture assessments, policy compliance, threat detections and governance metrics into centralized dashboards.</w:t>
            </w:r>
          </w:p>
          <w:p>
            <w:pPr>
              <w:spacing w:after="80"/>
            </w:pPr>
            <w:r>
              <w:rPr>
                <w:rFonts w:ascii="Calibri" w:cs="Calibri" w:eastAsia="Calibri" w:hAnsi="Calibri"/>
                <w:color w:val="1F2937"/>
                <w:sz w:val="19"/>
                <w:szCs w:val="19"/>
              </w:rPr>
              <w:t xml:space="preserve">Organizations can monitor AI security posture across applications, agents, models, MCP servers and deployments using consolidated risk scoring, security trends, policy compliance, attack statistics and operational analytics. Dashboards support both security operations teams and executive stakeholders by translating technical findings into measurable organizational risk.</w:t>
            </w:r>
          </w:p>
          <w:p>
            <w:pPr>
              <w:spacing w:after="80"/>
            </w:pPr>
            <w:r>
              <w:rPr>
                <w:rFonts w:ascii="Calibri" w:cs="Calibri" w:eastAsia="Calibri" w:hAnsi="Calibri"/>
                <w:color w:val="1F2937"/>
                <w:sz w:val="19"/>
                <w:szCs w:val="19"/>
              </w:rPr>
              <w:t xml:space="preserve">The reporting experience delivers a unified view of enterprise AI security and governance, extending beyond isolated operational metrics.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47.  Session &amp; Token Lifecycle</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Credential hygiene is competent but manual. TrustGate auth objects support API keys, OAuth2, IDP JWTs and mTLS client certificates, are managed independently of consumers under the gateway auths endpoints so they can be replaced without disturbing routing, and support optional expiration windows and revocation. The raw API key secret is returned once at creation and only a SHA-256 hash is stored, so a lost key cannot be recovered and must be reissued. TrustGuard collector keys follow the same pattern, showing the secret once and thereafter only a non-secret hint, with optional expiry and revocation. Admin plane access uses JWTs signed with SERVER_SECRET_KEY, and the documentation is candid that anyone able to sign with that key can administer every gateway, explicitly recommending short-lived admin tokens and key rotation. OAuth2 flows in the MCP plane use PKCE and support refresh through standard mechanisms. What is absent is automation: there is no documented automatic rotation schedule, no rotation API that mints a replacement and retires the predecessor on a grace period, no default maximum credential lifetime, and no alerting on long-lived or never-rotated keys beyond generic audit log events for key creation, use and revocation. Rotation discipline is left entirely to the customer.</w:t>
            </w:r>
          </w:p>
          <w:p>
            <w:pPr>
              <w:spacing w:after="80"/>
            </w:pPr>
            <w:r>
              <w:rPr>
                <w:rFonts w:ascii="Calibri" w:cs="Calibri" w:eastAsia="Calibri" w:hAnsi="Calibri"/>
                <w:color w:val="1F2937"/>
                <w:sz w:val="19"/>
                <w:szCs w:val="19"/>
              </w:rPr>
              <w:t xml:space="preserve">NeuralTrust Docs - TrustGate Auth concepts - https://docs.neuraltrust.ai/trustgate/concepts/auth; NeuralTrust Docs - TrustGuard Collectors - https://docs.neuraltrust.ai/trustguard/concepts/collectors; NeuralTrust Docs - Server security - https://docs.neuraltrust.ai/trustgate/operate/server-security; NeuralTrust Docs - Audit logs - https://docs.neuraltrust.ai/platform/audit-logs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NeuralTrust supports enterprise authentication mechanisms including OAuth2, JWTs, API Keys, mTLS and identity provider integrations while allowing credentials to be centrally managed independently of application routing.</w:t>
            </w:r>
          </w:p>
          <w:p>
            <w:pPr>
              <w:spacing w:after="80"/>
            </w:pPr>
            <w:r>
              <w:rPr>
                <w:rFonts w:ascii="Calibri" w:cs="Calibri" w:eastAsia="Calibri" w:hAnsi="Calibri"/>
                <w:color w:val="1F2937"/>
                <w:sz w:val="19"/>
                <w:szCs w:val="19"/>
              </w:rPr>
              <w:t xml:space="preserve">Authentication objects can be updated, rotated, revoked and reassigned without modifying AI applications, enabling secure operational management of runtime identities. Token forwarding, token exchange and delegated authentication are also supported for enterprise integrations and MCP deployments.</w:t>
            </w:r>
          </w:p>
          <w:p>
            <w:pPr>
              <w:spacing w:after="80"/>
            </w:pPr>
            <w:r>
              <w:rPr>
                <w:rFonts w:ascii="Calibri" w:cs="Calibri" w:eastAsia="Calibri" w:hAnsi="Calibri"/>
                <w:color w:val="1F2937"/>
                <w:sz w:val="19"/>
                <w:szCs w:val="19"/>
              </w:rPr>
              <w:t xml:space="preserve">The platform therefore provides robust lifecycle management for authentication artifacts used by AI workloads, even though enterprise identity governance remains the responsibility of external IAM platforms.</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48.  Splunk</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3 — Good</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3  (+1)</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Splunk is a named, configurable destination in two separate NeuralTrust pipelines. Alert findings from TrustGuard, TrustGate and cross-source correlation are forwarded to Splunk over the HTTP Event Collector, rendered as a vendor-neutral OCSF Detection Finding of class UID 2004. The implementation is more considered than a raw syslog feed: connections are validated on save, credentials stored encrypted, a test-connection action is available, delivery health is tracked over a rolling 24 hours with a dead-letter queue for failures, and forwarding fires only for brand-new alerts so a sustained attack that deduplicates into an existing alert does not flood the index. Per-destination filters allow a minimum severity threshold, an explicit severity allow-list and restriction by source. A second, distinct SIEM configuration forwards platform audit events, again via a HEC token, covering authentication, user management, SSO and SCIM, API key and administrative categories. What is absent is any Splunkbase artifact. There is no certified NeuralTrust technology add-on, no CIM field mapping, no bundled dashboards, saved searches or correlation searches for Enterprise Security, and no Splunk SOAR app. Detection engineering, sourcetype definition and normalisation are entirely the customer's work.</w:t>
            </w:r>
          </w:p>
          <w:p>
            <w:pPr>
              <w:spacing w:after="80"/>
            </w:pPr>
            <w:r>
              <w:rPr>
                <w:rFonts w:ascii="Calibri" w:cs="Calibri" w:eastAsia="Calibri" w:hAnsi="Calibri"/>
                <w:color w:val="1F2937"/>
                <w:sz w:val="19"/>
                <w:szCs w:val="19"/>
              </w:rPr>
              <w:t xml:space="preserve">NeuralTrust docs - alert integrations describing OCSF Detection Finding delivery to Splunk HEC, filters, dedup and dead-letter behaviour - https://docs.neuraltrust.ai/platform/alert-integrations.md; NeuralTrust docs - SIEM integration for audit events with Splunk HEC token setup - https://docs.neuraltrust.ai/platform/siem-integration; NeuralTrust docs - platform alerts overview and destination list - https://docs.neuraltrust.ai/platform/alerts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 current assessment understates the maturity of NeuralTrust's Splunk integration. The platform provides native integration with Splunk through the HTTP Event Collector (HEC), forwarding normalized security telemetry, alerts and correlated findings from TrustGate, TrustGuard and TrustLens.</w:t>
            </w:r>
          </w:p>
          <w:p>
            <w:pPr>
              <w:spacing w:after="80"/>
            </w:pPr>
            <w:r>
              <w:rPr>
                <w:rFonts w:ascii="Calibri" w:cs="Calibri" w:eastAsia="Calibri" w:hAnsi="Calibri"/>
                <w:color w:val="1F2937"/>
                <w:sz w:val="19"/>
                <w:szCs w:val="19"/>
              </w:rPr>
              <w:t xml:space="preserve">Security events are emitted using standardized schemas (including OCSF mappings where applicable), preserving rich context such as trace identifiers, policy decisions, affected AI assets, attack classifications, enforcement actions and runtime metadata. This enables Splunk users to incorporate AI security telemetry directly into existing SOC workflows, correlation searches and incident response processes.</w:t>
            </w:r>
          </w:p>
          <w:p>
            <w:pPr>
              <w:spacing w:after="80"/>
            </w:pPr>
            <w:r>
              <w:rPr>
                <w:rFonts w:ascii="Calibri" w:cs="Calibri" w:eastAsia="Calibri" w:hAnsi="Calibri"/>
                <w:color w:val="1F2937"/>
                <w:sz w:val="19"/>
                <w:szCs w:val="19"/>
              </w:rPr>
              <w:t xml:space="preserve">Beyond simple log forwarding, the integration delivers structured, security-focused telemetry that supports enterprise monitoring and investigation, making "Good" a more representative assessment.</w:t>
            </w:r>
          </w:p>
        </w:tc>
      </w:tr>
    </w:tbl>
    <w:p>
      <w:pPr>
        <w:spacing w:after="120"/>
      </w:pPr>
    </w:p>
    <w:p>
      <w:pPr>
        <w:pBdr>
          <w:bottom w:val="single" w:color="CBD5E1" w:sz="6"/>
        </w:pBdr>
        <w:spacing w:after="120"/>
      </w:pPr>
    </w:p>
    <w:p>
      <w:pPr>
        <w:spacing w:after="60" w:before="600"/>
      </w:pPr>
      <w:r>
        <w:rPr>
          <w:rFonts w:ascii="Calibri" w:cs="Calibri" w:eastAsia="Calibri" w:hAnsi="Calibri"/>
          <w:b/>
          <w:bCs/>
          <w:color w:val="1E3A5F"/>
          <w:sz w:val="28"/>
          <w:szCs w:val="28"/>
        </w:rPr>
        <w:t xml:space="preserve">49.  Tool-Call Manipulation</w:t>
      </w:r>
    </w:p>
    <w:p>
      <w:pPr>
        <w:spacing w:after="200"/>
      </w:pPr>
      <w:r>
        <w:rPr>
          <w:rFonts w:ascii="Calibri" w:cs="Calibri" w:eastAsia="Calibri" w:hAnsi="Calibri"/>
          <w:i/>
          <w:iCs/>
          <w:color w:val="94A3B8"/>
          <w:sz w:val="18"/>
          <w:szCs w:val="18"/>
        </w:rPr>
        <w:t xml:space="preserve">Submitted by rodrigo.fernandez@neuraltrust.ai  ·  2026-07-30</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Proposed Score</w:t>
            </w:r>
          </w:p>
        </w:tc>
        <w:tc>
          <w:tcPr>
            <w:shd w:color="B45309"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Score Change</w:t>
            </w:r>
          </w:p>
        </w:tc>
      </w:tr>
      <w:tr>
        <w:tc>
          <w:tcPr>
            <w:shd w:color="FFFFFF" w:val="solid"/>
            <w:tcMar>
              <w:top w:type="dxa" w:w="80"/>
              <w:left w:type="dxa" w:w="140"/>
              <w:bottom w:type="dxa" w:w="80"/>
              <w:right w:type="dxa" w:w="140"/>
            </w:tcMar>
            <w:vAlign w:val="center"/>
          </w:tcPr>
          <w:p>
            <w:pPr>
              <w:jc w:val="center"/>
            </w:pPr>
            <w:r>
              <w:rPr>
                <w:rFonts w:ascii="Calibri" w:cs="Calibri" w:eastAsia="Calibri" w:hAnsi="Calibri"/>
                <w:b/>
                <w:bCs/>
                <w:color w:val="1D4ED8"/>
                <w:sz w:val="19"/>
                <w:szCs w:val="19"/>
              </w:rPr>
              <w:t xml:space="preserve">2 — Moderate</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4 — Excellent</w:t>
            </w:r>
          </w:p>
        </w:tc>
        <w:tc>
          <w:tcPr>
            <w:shd w:color="FFF7ED" w:val="solid"/>
            <w:tcMar>
              <w:top w:type="dxa" w:w="80"/>
              <w:left w:type="dxa" w:w="140"/>
              <w:bottom w:type="dxa" w:w="80"/>
              <w:right w:type="dxa" w:w="140"/>
            </w:tcMar>
            <w:vAlign w:val="center"/>
          </w:tcPr>
          <w:p>
            <w:pPr>
              <w:jc w:val="center"/>
            </w:pPr>
            <w:r>
              <w:rPr>
                <w:rFonts w:ascii="Calibri" w:cs="Calibri" w:eastAsia="Calibri" w:hAnsi="Calibri"/>
                <w:b/>
                <w:bCs/>
                <w:color w:val="C2410C"/>
                <w:sz w:val="19"/>
                <w:szCs w:val="19"/>
              </w:rPr>
              <w:t xml:space="preserve">2 → 4  (+2)</w:t>
            </w:r>
          </w:p>
        </w:tc>
      </w:tr>
    </w:tbl>
    <w:p>
      <w:pPr>
        <w:spacing w:after="16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Current ITMAP Write-Up</w:t>
            </w:r>
          </w:p>
        </w:tc>
        <w:tc>
          <w:tcPr>
            <w:shd w:color="1E3A5F" w:val="solid"/>
            <w:tcMar>
              <w:top w:type="dxa" w:w="80"/>
              <w:left w:type="dxa" w:w="140"/>
              <w:bottom w:type="dxa" w:w="80"/>
              <w:right w:type="dxa" w:w="140"/>
            </w:tcMar>
            <w:vAlign w:val="center"/>
          </w:tcPr>
          <w:p>
            <w:r>
              <w:rPr>
                <w:rFonts w:ascii="Calibri" w:cs="Calibri" w:eastAsia="Calibri" w:hAnsi="Calibri"/>
                <w:b/>
                <w:bCs/>
                <w:color w:val="FFFFFF"/>
                <w:sz w:val="19"/>
                <w:szCs w:val="19"/>
              </w:rPr>
              <w:t xml:space="preserve">Vendor Response / Comment</w:t>
            </w:r>
          </w:p>
        </w:tc>
      </w:tr>
      <w:tr>
        <w:tc>
          <w:tcPr>
            <w:shd w:color="EFF6FF"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There are two overlapping mechanisms here and their maturity differs sharply. In TrustGate, tool governance is generally available and reasonably deep: a tool allowlist matches glob patterns with deny overriding allow before the model ever sees the tool set, tool definition transformation rewrites schemas and descriptions, a per-tool rate limiter caps invocations per fixed window with the option to reject, inject an error result or strip the tool from the request, and tool call validation checks model-generated calls with JSON schema, regex, semantic and denylist validators, rejecting or redacting violating responses. In TrustGuard, three detectors specifically target this problem, tool_guard and tool_permission on the mcp input direction and tool_selection on the mcp output direction. The significant caveat is that the documentation states these three are currently not shown in the catalog picker and buyers must contact NeuralTrust to have them enabled, which is functionally a gated or early-access capability rather than a self-service GA one. Detection is also protocol-bound to mcp, so tool calls made through proprietary function-calling paths that are not routed through the MCP plane fall back to the gateway validators alone. Buyers should demand a demonstration of the hidden detectors before assuming full coverage.</w:t>
            </w:r>
          </w:p>
          <w:p>
            <w:pPr>
              <w:spacing w:after="80"/>
            </w:pPr>
            <w:r>
              <w:rPr>
                <w:rFonts w:ascii="Calibri" w:cs="Calibri" w:eastAsia="Calibri" w:hAnsi="Calibri"/>
                <w:color w:val="1F2937"/>
                <w:sz w:val="19"/>
                <w:szCs w:val="19"/>
              </w:rPr>
              <w:t xml:space="preserve">NeuralTrust Docs - Tool governance - https://docs.neuraltrust.ai/trustgate/policies/tool-governance; NeuralTrust Docs - Detector catalog - https://docs.neuraltrust.ai/trustguard/detectors/overview; NeuralTrust Docs - TrustGuard detector concepts - https://docs.neuraltrust.ai/trustguard/concepts/detectors</w:t>
            </w:r>
          </w:p>
        </w:tc>
        <w:tc>
          <w:tcPr>
            <w:shd w:color="FFFBEB" w:val="solid"/>
            <w:tcMar>
              <w:top w:type="dxa" w:w="80"/>
              <w:left w:type="dxa" w:w="140"/>
              <w:bottom w:type="dxa" w:w="80"/>
              <w:right w:type="dxa" w:w="140"/>
            </w:tcMar>
          </w:tcPr>
          <w:p>
            <w:pPr>
              <w:spacing w:after="80"/>
            </w:pPr>
            <w:r>
              <w:rPr>
                <w:rFonts w:ascii="Calibri" w:cs="Calibri" w:eastAsia="Calibri" w:hAnsi="Calibri"/>
                <w:color w:val="1F2937"/>
                <w:sz w:val="19"/>
                <w:szCs w:val="19"/>
              </w:rPr>
              <w:t xml:space="preserve">Tool governance in TrustGate is mature and enforced pre-execution: an allowlist matches glob patterns with deny overriding allow before the model ever sees the tool set, tool definitions can be rewritten to adjust schemas and descriptions, and per-tool rate limiting is in place. This is proactive control at the gateway layer, not just detection after the fact. Worth noting in the submission that the two mechanisms have different maturity levels, so this should be scored on the stronger, generally-available TrustGate capability rather than averaged down by the earlier-stage piece.</w:t>
            </w:r>
          </w:p>
        </w:tc>
      </w:tr>
    </w:tbl>
    <w:p>
      <w:pPr>
        <w:spacing w:after="120"/>
      </w:pPr>
    </w:p>
    <w:p>
      <w:pPr>
        <w:spacing w:after="60"/>
      </w:pPr>
      <w:r>
        <w:rPr>
          <w:rFonts w:ascii="Calibri" w:cs="Calibri" w:eastAsia="Calibri" w:hAnsi="Calibri"/>
          <w:b/>
          <w:bCs/>
          <w:color w:val="1E3A5F"/>
          <w:sz w:val="19"/>
          <w:szCs w:val="19"/>
        </w:rPr>
        <w:t xml:space="preserve">Evidence links:</w:t>
      </w:r>
    </w:p>
    <w:p>
      <w:pPr>
        <w:pStyle w:val="ListParagraph"/>
        <w:numPr>
          <w:ilvl w:val="0"/>
          <w:numId w:val="1"/>
        </w:numPr>
        <w:spacing w:after="40"/>
      </w:pPr>
      <w:r>
        <w:rPr>
          <w:rFonts w:ascii="Calibri" w:cs="Calibri" w:eastAsia="Calibri" w:hAnsi="Calibri"/>
          <w:color w:val="4338CA"/>
          <w:sz w:val="18"/>
          <w:szCs w:val="18"/>
        </w:rPr>
        <w:t xml:space="preserve">https://neuraltrust.ai/ai-gateway</w:t>
      </w:r>
    </w:p>
    <w:p>
      <w:pPr>
        <w:spacing w:after="80"/>
      </w:pPr>
    </w:p>
    <w:p>
      <w:pPr>
        <w:spacing w:before="400"/>
      </w:pPr>
    </w:p>
    <w:p>
      <w:r>
        <w:rPr>
          <w:rFonts w:ascii="Calibri" w:cs="Calibri" w:eastAsia="Calibri" w:hAnsi="Calibri"/>
          <w:i/>
          <w:iCs/>
          <w:color w:val="94A3B8"/>
          <w:sz w:val="18"/>
          <w:szCs w:val="18"/>
        </w:rPr>
        <w:t xml:space="preserve">All 49 submissions are currently in Pending Review status. No admin review has taken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2026-07-30T17:44:52.046Z</dcterms:created>
  <dcterms:modified xsi:type="dcterms:W3CDTF">2026-07-30T17:44:52.046Z</dcterms:modified>
</cp:coreProperties>
</file>

<file path=docProps/custom.xml><?xml version="1.0" encoding="utf-8"?>
<Properties xmlns="http://schemas.openxmlformats.org/officeDocument/2006/custom-properties" xmlns:vt="http://schemas.openxmlformats.org/officeDocument/2006/docPropsVTypes"/>
</file>