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1E3A5F"/>
          <w:sz w:val="56"/>
          <w:szCs w:val="56"/>
        </w:rPr>
        <w:t xml:space="preserve">Vendor Fact-Check Responses</w:t>
      </w:r>
    </w:p>
    <w:p>
      <w:pPr>
        <w:spacing w:after="80"/>
      </w:pPr>
      <w:r>
        <w:rPr>
          <w:color w:val="64748B"/>
          <w:sz w:val="26"/>
          <w:szCs w:val="26"/>
        </w:rPr>
        <w:t xml:space="preserve">ITMAP for Agentic AI Security  ·  NeuralTrust</w:t>
      </w:r>
    </w:p>
    <w:p>
      <w:pPr>
        <w:spacing w:after="80"/>
      </w:pPr>
      <w:r>
        <w:rPr>
          <w:i/>
          <w:iCs/>
          <w:color w:val="94A3B8"/>
          <w:sz w:val="22"/>
          <w:szCs w:val="22"/>
        </w:rPr>
        <w:t xml:space="preserve">Exported: 30 July 2026  ·  Status: Pending Review  ·  Submissions: 3</w:t>
      </w:r>
    </w:p>
    <w:p>
      <w:pPr>
        <w:spacing w:after="400"/>
      </w:pPr>
    </w:p>
    <w:p>
      <w:pPr>
        <w:spacing w:after="100" w:before="0"/>
      </w:pPr>
      <w:r>
        <w:rPr>
          <w:b/>
          <w:bCs/>
          <w:color w:val="1E3A5F"/>
          <w:sz w:val="28"/>
          <w:szCs w:val="28"/>
        </w:rPr>
        <w:t xml:space="preserve">1.  </w:t>
      </w:r>
      <w:r>
        <w:rPr>
          <w:b/>
          <w:bCs/>
          <w:color w:val="1E3A5F"/>
          <w:sz w:val="28"/>
          <w:szCs w:val="28"/>
        </w:rPr>
        <w:t xml:space="preserve">AI Observability Tools</w:t>
      </w:r>
    </w:p>
    <w:p>
      <w:pPr>
        <w:spacing w:after="240"/>
      </w:pPr>
      <w:r>
        <w:rPr>
          <w:i/>
          <w:iCs/>
          <w:color w:val="94A3B8"/>
          <w:sz w:val="20"/>
          <w:szCs w:val="20"/>
        </w:rPr>
        <w:t xml:space="preserve">Submitted by rodrigo.fernandez@neuraltrust.ai  ·  30 Jul 2026 14:58</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100"/>
              <w:left w:type="dxa" w:w="120"/>
              <w:bottom w:type="dxa" w:w="100"/>
              <w:right w:type="dxa" w:w="120"/>
            </w:tcMar>
            <w:vAlign w:val="center"/>
          </w:tcPr>
          <w:p>
            <w:r>
              <w:rPr>
                <w:b/>
                <w:bCs/>
                <w:color w:val="FFFFFF"/>
                <w:sz w:val="20"/>
                <w:szCs w:val="20"/>
              </w:rPr>
              <w:t xml:space="preserve">Current Score</w:t>
            </w:r>
          </w:p>
        </w:tc>
        <w:tc>
          <w:tcPr>
            <w:shd w:color="1E3A5F" w:val="solid"/>
            <w:tcMar>
              <w:top w:type="dxa" w:w="100"/>
              <w:left w:type="dxa" w:w="120"/>
              <w:bottom w:type="dxa" w:w="100"/>
              <w:right w:type="dxa" w:w="120"/>
            </w:tcMar>
            <w:vAlign w:val="center"/>
          </w:tcPr>
          <w:p>
            <w:r>
              <w:rPr>
                <w:b/>
                <w:bCs/>
                <w:color w:val="FFFFFF"/>
                <w:sz w:val="20"/>
                <w:szCs w:val="20"/>
              </w:rPr>
              <w:t xml:space="preserve">Proposed Score</w:t>
            </w:r>
          </w:p>
        </w:tc>
        <w:tc>
          <w:tcPr>
            <w:shd w:color="1E3A5F" w:val="solid"/>
            <w:tcMar>
              <w:top w:type="dxa" w:w="100"/>
              <w:left w:type="dxa" w:w="120"/>
              <w:bottom w:type="dxa" w:w="100"/>
              <w:right w:type="dxa" w:w="120"/>
            </w:tcMar>
            <w:vAlign w:val="center"/>
          </w:tcPr>
          <w:p>
            <w:r>
              <w:rPr>
                <w:b/>
                <w:bCs/>
                <w:color w:val="FFFFFF"/>
                <w:sz w:val="20"/>
                <w:szCs w:val="20"/>
              </w:rPr>
              <w:t xml:space="preserve">Score Change</w:t>
            </w:r>
          </w:p>
        </w:tc>
      </w:tr>
      <w:tr>
        <w:tc>
          <w:tcPr>
            <w:shd w:color="FFFFFF" w:val="solid"/>
            <w:tcMar>
              <w:top w:type="dxa" w:w="80"/>
              <w:left w:type="dxa" w:w="120"/>
              <w:bottom w:type="dxa" w:w="80"/>
              <w:right w:type="dxa" w:w="120"/>
            </w:tcMar>
            <w:vAlign w:val="center"/>
          </w:tcPr>
          <w:p>
            <w:pPr>
              <w:jc w:val="center"/>
            </w:pPr>
            <w:r>
              <w:rPr>
                <w:b/>
                <w:bCs/>
                <w:color w:val="1E3A5F"/>
                <w:sz w:val="20"/>
                <w:szCs w:val="20"/>
              </w:rPr>
              <w:t xml:space="preserve">2 – Moderate</w:t>
            </w:r>
          </w:p>
        </w:tc>
        <w:tc>
          <w:tcPr>
            <w:shd w:color="FFF0E6" w:val="solid"/>
            <w:tcMar>
              <w:top w:type="dxa" w:w="80"/>
              <w:left w:type="dxa" w:w="120"/>
              <w:bottom w:type="dxa" w:w="80"/>
              <w:right w:type="dxa" w:w="120"/>
            </w:tcMar>
            <w:vAlign w:val="center"/>
          </w:tcPr>
          <w:p>
            <w:pPr>
              <w:jc w:val="center"/>
            </w:pPr>
            <w:r>
              <w:rPr>
                <w:b/>
                <w:bCs/>
                <w:color w:val="C2410C"/>
                <w:sz w:val="20"/>
                <w:szCs w:val="20"/>
              </w:rPr>
              <w:t xml:space="preserve">—</w:t>
            </w:r>
          </w:p>
        </w:tc>
        <w:tc>
          <w:tcPr>
            <w:shd w:color="FFFFFF" w:val="solid"/>
            <w:tcMar>
              <w:top w:type="dxa" w:w="80"/>
              <w:left w:type="dxa" w:w="120"/>
              <w:bottom w:type="dxa" w:w="80"/>
              <w:right w:type="dxa" w:w="120"/>
            </w:tcMar>
            <w:vAlign w:val="center"/>
          </w:tcPr>
          <w:p>
            <w:pPr>
              <w:jc w:val="center"/>
            </w:pPr>
            <w:r>
              <w:rPr>
                <w:b w:val="false"/>
                <w:bCs w:val="false"/>
                <w:color w:val="94A3B8"/>
                <w:sz w:val="20"/>
                <w:szCs w:val="20"/>
              </w:rPr>
              <w:t xml:space="preserve">No change requested</w:t>
            </w:r>
          </w:p>
        </w:tc>
      </w:tr>
    </w:tbl>
    <w:p>
      <w:pPr>
        <w:spacing w:after="20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100"/>
              <w:left w:type="dxa" w:w="120"/>
              <w:bottom w:type="dxa" w:w="100"/>
              <w:right w:type="dxa" w:w="120"/>
            </w:tcMar>
            <w:vAlign w:val="center"/>
          </w:tcPr>
          <w:p>
            <w:r>
              <w:rPr>
                <w:b/>
                <w:bCs/>
                <w:color w:val="FFFFFF"/>
                <w:sz w:val="20"/>
                <w:szCs w:val="20"/>
              </w:rPr>
              <w:t xml:space="preserve">Current ITMAP Write-Up</w:t>
            </w:r>
          </w:p>
        </w:tc>
        <w:tc>
          <w:tcPr>
            <w:shd w:color="1E3A5F" w:val="solid"/>
            <w:tcMar>
              <w:top w:type="dxa" w:w="100"/>
              <w:left w:type="dxa" w:w="120"/>
              <w:bottom w:type="dxa" w:w="100"/>
              <w:right w:type="dxa" w:w="120"/>
            </w:tcMar>
            <w:vAlign w:val="center"/>
          </w:tcPr>
          <w:p>
            <w:r>
              <w:rPr>
                <w:b/>
                <w:bCs/>
                <w:color w:val="FFFFFF"/>
                <w:sz w:val="20"/>
                <w:szCs w:val="20"/>
              </w:rPr>
              <w:t xml:space="preserve">Vendor Response / Dispute</w:t>
            </w:r>
          </w:p>
        </w:tc>
      </w:tr>
      <w:tr>
        <w:tc>
          <w:tcPr>
            <w:shd w:color="EEF2FF" w:val="solid"/>
            <w:tcMar>
              <w:top w:type="dxa" w:w="80"/>
              <w:left w:type="dxa" w:w="120"/>
              <w:bottom w:type="dxa" w:w="80"/>
              <w:right w:type="dxa" w:w="120"/>
            </w:tcMar>
          </w:tcPr>
          <w:p>
            <w:pPr>
              <w:spacing w:after="80"/>
            </w:pPr>
            <w:r>
              <w:rPr>
                <w:color w:val="374151"/>
                <w:sz w:val="20"/>
                <w:szCs w:val="20"/>
              </w:rPr>
              <w:t xml:space="preserve">Datadog is the one named observability destination with a real, configured path: it appears in the alert integrations list, receiving OCSF Detection Findings through the Datadog logs intake API with an API key, subject to the same severity filters, source restrictions, deduplication, delivery health tracking and dead-letter queue as the SIEM destinations. Beyond that, TrustGate exposes Prometheus metrics covering request counts, latency, upstream performance and connection state, streams a rich per-request event to a configurable Kafka topic, and the product overview describes OpenTelemetry OTLP export.</w:t>
            </w:r>
          </w:p>
          <w:p>
            <w:pPr>
              <w:spacing w:after="80"/>
            </w:pPr>
            <w:r>
              <w:rPr>
                <w:color w:val="374151"/>
                <w:sz w:val="20"/>
                <w:szCs w:val="20"/>
              </w:rPr>
              <w:t xml:space="preserve">The AI-native observability tier is missing entirely: LangSmith, Arize, Langfuse, Braintrust and Weights and Biases have no integration.</w:t>
            </w:r>
          </w:p>
          <w:p>
            <w:pPr>
              <w:spacing w:after="80"/>
            </w:pPr>
            <w:r>
              <w:rPr>
                <w:color w:val="374151"/>
                <w:sz w:val="20"/>
                <w:szCs w:val="20"/>
              </w:rPr>
              <w:t xml:space="preserve">Sources: https://docs.neuraltrust.ai/platform/alert-integrations.md · https://docs.neuraltrust.ai/trustgate/observability/telemetry · https://docs.neuraltrust.ai/trustgate/overview</w:t>
            </w:r>
          </w:p>
        </w:tc>
        <w:tc>
          <w:tcPr>
            <w:shd w:color="FFF7E6" w:val="solid"/>
            <w:tcMar>
              <w:top w:type="dxa" w:w="80"/>
              <w:left w:type="dxa" w:w="120"/>
              <w:bottom w:type="dxa" w:w="80"/>
              <w:right w:type="dxa" w:w="120"/>
            </w:tcMar>
          </w:tcPr>
          <w:p>
            <w:pPr>
              <w:spacing w:after="80"/>
            </w:pPr>
            <w:r>
              <w:rPr>
                <w:color w:val="374151"/>
                <w:sz w:val="20"/>
                <w:szCs w:val="20"/>
              </w:rPr>
              <w:t xml:space="preserve">NeuralTrust provides mature integration with enterprise observability platforms by exporting structured AI security telemetry, operational metrics and normalized security findings into existing monitoring environments.</w:t>
            </w:r>
          </w:p>
          <w:p>
            <w:pPr>
              <w:spacing w:after="80"/>
            </w:pPr>
            <w:r>
              <w:rPr>
                <w:color w:val="374151"/>
                <w:sz w:val="20"/>
                <w:szCs w:val="20"/>
              </w:rPr>
              <w:t xml:space="preserve">The platform integrates with observability ecosystems through standardized telemetry, enabling organizations to correlate AI runtime activity, policy enforcement, security detections and operational health with broader application monitoring workflows.</w:t>
            </w:r>
          </w:p>
          <w:p>
            <w:pPr>
              <w:spacing w:after="80"/>
            </w:pPr>
            <w:r>
              <w:rPr>
                <w:color w:val="374151"/>
                <w:sz w:val="20"/>
                <w:szCs w:val="20"/>
              </w:rPr>
              <w:t xml:space="preserve">This provides significantly more than basic log export and represents enterprise-grade observability integration for AI systems.</w:t>
            </w:r>
          </w:p>
        </w:tc>
      </w:tr>
    </w:tbl>
    <w:p>
      <w:pPr>
        <w:spacing w:after="120"/>
      </w:pPr>
    </w:p>
    <w:p>
      <w:pPr>
        <w:pBdr>
          <w:bottom w:val="single" w:color="E2E8F0" w:sz="6"/>
        </w:pBdr>
        <w:spacing w:after="200" w:before="200"/>
      </w:pPr>
    </w:p>
    <w:p>
      <w:pPr>
        <w:spacing w:after="100" w:before="500"/>
      </w:pPr>
      <w:r>
        <w:rPr>
          <w:b/>
          <w:bCs/>
          <w:color w:val="1E3A5F"/>
          <w:sz w:val="28"/>
          <w:szCs w:val="28"/>
        </w:rPr>
        <w:t xml:space="preserve">2.  </w:t>
      </w:r>
      <w:r>
        <w:rPr>
          <w:b/>
          <w:bCs/>
          <w:color w:val="1E3A5F"/>
          <w:sz w:val="28"/>
          <w:szCs w:val="28"/>
        </w:rPr>
        <w:t xml:space="preserve">AI Supply Chain Assessment</w:t>
      </w:r>
    </w:p>
    <w:p>
      <w:pPr>
        <w:spacing w:after="240"/>
      </w:pPr>
      <w:r>
        <w:rPr>
          <w:i/>
          <w:iCs/>
          <w:color w:val="94A3B8"/>
          <w:sz w:val="20"/>
          <w:szCs w:val="20"/>
        </w:rPr>
        <w:t xml:space="preserve">Submitted by rodrigo.fernandez@neuraltrust.ai  ·  30 Jul 2026 14:57</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100"/>
              <w:left w:type="dxa" w:w="120"/>
              <w:bottom w:type="dxa" w:w="100"/>
              <w:right w:type="dxa" w:w="120"/>
            </w:tcMar>
            <w:vAlign w:val="center"/>
          </w:tcPr>
          <w:p>
            <w:r>
              <w:rPr>
                <w:b/>
                <w:bCs/>
                <w:color w:val="FFFFFF"/>
                <w:sz w:val="20"/>
                <w:szCs w:val="20"/>
              </w:rPr>
              <w:t xml:space="preserve">Current Score</w:t>
            </w:r>
          </w:p>
        </w:tc>
        <w:tc>
          <w:tcPr>
            <w:shd w:color="1E3A5F" w:val="solid"/>
            <w:tcMar>
              <w:top w:type="dxa" w:w="100"/>
              <w:left w:type="dxa" w:w="120"/>
              <w:bottom w:type="dxa" w:w="100"/>
              <w:right w:type="dxa" w:w="120"/>
            </w:tcMar>
            <w:vAlign w:val="center"/>
          </w:tcPr>
          <w:p>
            <w:r>
              <w:rPr>
                <w:b/>
                <w:bCs/>
                <w:color w:val="FFFFFF"/>
                <w:sz w:val="20"/>
                <w:szCs w:val="20"/>
              </w:rPr>
              <w:t xml:space="preserve">Proposed Score</w:t>
            </w:r>
          </w:p>
        </w:tc>
        <w:tc>
          <w:tcPr>
            <w:shd w:color="1E3A5F" w:val="solid"/>
            <w:tcMar>
              <w:top w:type="dxa" w:w="100"/>
              <w:left w:type="dxa" w:w="120"/>
              <w:bottom w:type="dxa" w:w="100"/>
              <w:right w:type="dxa" w:w="120"/>
            </w:tcMar>
            <w:vAlign w:val="center"/>
          </w:tcPr>
          <w:p>
            <w:r>
              <w:rPr>
                <w:b/>
                <w:bCs/>
                <w:color w:val="FFFFFF"/>
                <w:sz w:val="20"/>
                <w:szCs w:val="20"/>
              </w:rPr>
              <w:t xml:space="preserve">Score Change</w:t>
            </w:r>
          </w:p>
        </w:tc>
      </w:tr>
      <w:tr>
        <w:tc>
          <w:tcPr>
            <w:shd w:color="FFFFFF" w:val="solid"/>
            <w:tcMar>
              <w:top w:type="dxa" w:w="80"/>
              <w:left w:type="dxa" w:w="120"/>
              <w:bottom w:type="dxa" w:w="80"/>
              <w:right w:type="dxa" w:w="120"/>
            </w:tcMar>
            <w:vAlign w:val="center"/>
          </w:tcPr>
          <w:p>
            <w:pPr>
              <w:jc w:val="center"/>
            </w:pPr>
            <w:r>
              <w:rPr>
                <w:b/>
                <w:bCs/>
                <w:color w:val="1E3A5F"/>
                <w:sz w:val="20"/>
                <w:szCs w:val="20"/>
              </w:rPr>
              <w:t xml:space="preserve">—</w:t>
            </w:r>
          </w:p>
        </w:tc>
        <w:tc>
          <w:tcPr>
            <w:shd w:color="FFF0E6" w:val="solid"/>
            <w:tcMar>
              <w:top w:type="dxa" w:w="80"/>
              <w:left w:type="dxa" w:w="120"/>
              <w:bottom w:type="dxa" w:w="80"/>
              <w:right w:type="dxa" w:w="120"/>
            </w:tcMar>
            <w:vAlign w:val="center"/>
          </w:tcPr>
          <w:p>
            <w:pPr>
              <w:jc w:val="center"/>
            </w:pPr>
            <w:r>
              <w:rPr>
                <w:b/>
                <w:bCs/>
                <w:color w:val="C2410C"/>
                <w:sz w:val="20"/>
                <w:szCs w:val="20"/>
              </w:rPr>
              <w:t xml:space="preserve">—</w:t>
            </w:r>
          </w:p>
        </w:tc>
        <w:tc>
          <w:tcPr>
            <w:shd w:color="FFFFFF" w:val="solid"/>
            <w:tcMar>
              <w:top w:type="dxa" w:w="80"/>
              <w:left w:type="dxa" w:w="120"/>
              <w:bottom w:type="dxa" w:w="80"/>
              <w:right w:type="dxa" w:w="120"/>
            </w:tcMar>
            <w:vAlign w:val="center"/>
          </w:tcPr>
          <w:p>
            <w:pPr>
              <w:jc w:val="center"/>
            </w:pPr>
            <w:r>
              <w:rPr>
                <w:b w:val="false"/>
                <w:bCs w:val="false"/>
                <w:color w:val="94A3B8"/>
                <w:sz w:val="20"/>
                <w:szCs w:val="20"/>
              </w:rPr>
              <w:t xml:space="preserve">No change requested</w:t>
            </w:r>
          </w:p>
        </w:tc>
      </w:tr>
    </w:tbl>
    <w:p>
      <w:pPr>
        <w:spacing w:after="20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100"/>
              <w:left w:type="dxa" w:w="120"/>
              <w:bottom w:type="dxa" w:w="100"/>
              <w:right w:type="dxa" w:w="120"/>
            </w:tcMar>
            <w:vAlign w:val="center"/>
          </w:tcPr>
          <w:p>
            <w:r>
              <w:rPr>
                <w:b/>
                <w:bCs/>
                <w:color w:val="FFFFFF"/>
                <w:sz w:val="20"/>
                <w:szCs w:val="20"/>
              </w:rPr>
              <w:t xml:space="preserve">Current ITMAP Write-Up</w:t>
            </w:r>
          </w:p>
        </w:tc>
        <w:tc>
          <w:tcPr>
            <w:shd w:color="1E3A5F" w:val="solid"/>
            <w:tcMar>
              <w:top w:type="dxa" w:w="100"/>
              <w:left w:type="dxa" w:w="120"/>
              <w:bottom w:type="dxa" w:w="100"/>
              <w:right w:type="dxa" w:w="120"/>
            </w:tcMar>
            <w:vAlign w:val="center"/>
          </w:tcPr>
          <w:p>
            <w:r>
              <w:rPr>
                <w:b/>
                <w:bCs/>
                <w:color w:val="FFFFFF"/>
                <w:sz w:val="20"/>
                <w:szCs w:val="20"/>
              </w:rPr>
              <w:t xml:space="preserve">Vendor Response / Dispute</w:t>
            </w:r>
          </w:p>
        </w:tc>
      </w:tr>
      <w:tr>
        <w:tc>
          <w:tcPr>
            <w:shd w:color="EEF2FF" w:val="solid"/>
            <w:tcMar>
              <w:top w:type="dxa" w:w="80"/>
              <w:left w:type="dxa" w:w="120"/>
              <w:bottom w:type="dxa" w:w="80"/>
              <w:right w:type="dxa" w:w="120"/>
            </w:tcMar>
          </w:tcPr>
          <w:p>
            <w:pPr>
              <w:spacing w:after="80"/>
            </w:pPr>
            <w:r>
              <w:rPr>
                <w:color w:val="374151"/>
                <w:sz w:val="20"/>
                <w:szCs w:val="20"/>
              </w:rPr>
              <w:t xml:space="preserve">—</w:t>
            </w:r>
          </w:p>
        </w:tc>
        <w:tc>
          <w:tcPr>
            <w:shd w:color="FFF7E6" w:val="solid"/>
            <w:tcMar>
              <w:top w:type="dxa" w:w="80"/>
              <w:left w:type="dxa" w:w="120"/>
              <w:bottom w:type="dxa" w:w="80"/>
              <w:right w:type="dxa" w:w="120"/>
            </w:tcMar>
          </w:tcPr>
          <w:p>
            <w:pPr>
              <w:spacing w:after="80"/>
            </w:pPr>
            <w:r>
              <w:rPr>
                <w:color w:val="374151"/>
                <w:sz w:val="20"/>
                <w:szCs w:val="20"/>
              </w:rPr>
              <w:t xml:space="preserve">NeuralTrust provides comprehensive AI supply chain visibility by continuously evaluating the security posture of AI components including models, MCP servers, AI endpoints, datasets, external providers and connected tools.</w:t>
            </w:r>
          </w:p>
          <w:p>
            <w:pPr>
              <w:spacing w:after="80"/>
            </w:pPr>
            <w:r>
              <w:rPr>
                <w:color w:val="374151"/>
                <w:sz w:val="20"/>
                <w:szCs w:val="20"/>
              </w:rPr>
              <w:t xml:space="preserve">TrustLens includes dedicated supply chain controls that identify insecure dependencies, misconfigured MCP servers, excessive permissions, shadow AI usage and third-party integration risks. Combined with runtime policy enforcement and posture management, organizations gain continuous visibility into the operational AI supply chain and its associated security risks.</w:t>
            </w:r>
          </w:p>
        </w:tc>
      </w:tr>
    </w:tbl>
    <w:p>
      <w:pPr>
        <w:spacing w:after="120"/>
      </w:pPr>
    </w:p>
    <w:p>
      <w:pPr>
        <w:spacing w:after="60"/>
      </w:pPr>
      <w:r>
        <w:rPr>
          <w:b/>
          <w:bCs/>
          <w:color w:val="1E3A5F"/>
          <w:sz w:val="20"/>
          <w:szCs w:val="20"/>
        </w:rPr>
        <w:t xml:space="preserve">Evidence links provided:</w:t>
      </w:r>
    </w:p>
    <w:p>
      <w:pPr>
        <w:pStyle w:val="ListParagraph"/>
        <w:numPr>
          <w:ilvl w:val="0"/>
          <w:numId w:val="1"/>
        </w:numPr>
      </w:pPr>
      <w:r>
        <w:rPr>
          <w:color w:val="4F46E5"/>
          <w:sz w:val="19"/>
          <w:szCs w:val="19"/>
        </w:rPr>
        <w:t xml:space="preserve">https://docs.neuraltrust.ai/platform/alert-integrations.md</w:t>
      </w:r>
    </w:p>
    <w:p>
      <w:pPr>
        <w:pStyle w:val="ListParagraph"/>
        <w:numPr>
          <w:ilvl w:val="0"/>
          <w:numId w:val="1"/>
        </w:numPr>
      </w:pPr>
      <w:r>
        <w:rPr>
          <w:color w:val="4F46E5"/>
          <w:sz w:val="19"/>
          <w:szCs w:val="19"/>
        </w:rPr>
        <w:t xml:space="preserve">https://docs.neuraltrust.ai/platform/siem-integration</w:t>
      </w:r>
    </w:p>
    <w:p>
      <w:pPr>
        <w:pStyle w:val="ListParagraph"/>
        <w:numPr>
          <w:ilvl w:val="0"/>
          <w:numId w:val="1"/>
        </w:numPr>
      </w:pPr>
      <w:r>
        <w:rPr>
          <w:color w:val="4F46E5"/>
          <w:sz w:val="19"/>
          <w:szCs w:val="19"/>
        </w:rPr>
        <w:t xml:space="preserve">https://docs.neuraltrust.ai/platform/alerts</w:t>
      </w:r>
    </w:p>
    <w:p>
      <w:pPr>
        <w:spacing w:after="100"/>
      </w:pPr>
    </w:p>
    <w:p>
      <w:pPr>
        <w:pBdr>
          <w:bottom w:val="single" w:color="E2E8F0" w:sz="6"/>
        </w:pBdr>
        <w:spacing w:after="200" w:before="200"/>
      </w:pPr>
    </w:p>
    <w:p>
      <w:pPr>
        <w:spacing w:after="100" w:before="500"/>
      </w:pPr>
      <w:r>
        <w:rPr>
          <w:b/>
          <w:bCs/>
          <w:color w:val="1E3A5F"/>
          <w:sz w:val="28"/>
          <w:szCs w:val="28"/>
        </w:rPr>
        <w:t xml:space="preserve">3.  </w:t>
      </w:r>
      <w:r>
        <w:rPr>
          <w:b/>
          <w:bCs/>
          <w:color w:val="1E3A5F"/>
          <w:sz w:val="28"/>
          <w:szCs w:val="28"/>
        </w:rPr>
        <w:t xml:space="preserve">Tool-Call Manipulation</w:t>
      </w:r>
    </w:p>
    <w:p>
      <w:pPr>
        <w:spacing w:after="240"/>
      </w:pPr>
      <w:r>
        <w:rPr>
          <w:i/>
          <w:iCs/>
          <w:color w:val="94A3B8"/>
          <w:sz w:val="20"/>
          <w:szCs w:val="20"/>
        </w:rPr>
        <w:t xml:space="preserve">Submitted by rodrigo.fernandez@neuraltrust.ai  ·  30 Jul 2026 10:55</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shd w:color="1E3A5F" w:val="solid"/>
            <w:tcMar>
              <w:top w:type="dxa" w:w="100"/>
              <w:left w:type="dxa" w:w="120"/>
              <w:bottom w:type="dxa" w:w="100"/>
              <w:right w:type="dxa" w:w="120"/>
            </w:tcMar>
            <w:vAlign w:val="center"/>
          </w:tcPr>
          <w:p>
            <w:r>
              <w:rPr>
                <w:b/>
                <w:bCs/>
                <w:color w:val="FFFFFF"/>
                <w:sz w:val="20"/>
                <w:szCs w:val="20"/>
              </w:rPr>
              <w:t xml:space="preserve">Current Score</w:t>
            </w:r>
          </w:p>
        </w:tc>
        <w:tc>
          <w:tcPr>
            <w:shd w:color="C2410C" w:val="solid"/>
            <w:tcMar>
              <w:top w:type="dxa" w:w="100"/>
              <w:left w:type="dxa" w:w="120"/>
              <w:bottom w:type="dxa" w:w="100"/>
              <w:right w:type="dxa" w:w="120"/>
            </w:tcMar>
            <w:vAlign w:val="center"/>
          </w:tcPr>
          <w:p>
            <w:r>
              <w:rPr>
                <w:b/>
                <w:bCs/>
                <w:color w:val="FFFFFF"/>
                <w:sz w:val="20"/>
                <w:szCs w:val="20"/>
              </w:rPr>
              <w:t xml:space="preserve">Proposed Score</w:t>
            </w:r>
          </w:p>
        </w:tc>
        <w:tc>
          <w:tcPr>
            <w:shd w:color="1E3A5F" w:val="solid"/>
            <w:tcMar>
              <w:top w:type="dxa" w:w="100"/>
              <w:left w:type="dxa" w:w="120"/>
              <w:bottom w:type="dxa" w:w="100"/>
              <w:right w:type="dxa" w:w="120"/>
            </w:tcMar>
            <w:vAlign w:val="center"/>
          </w:tcPr>
          <w:p>
            <w:r>
              <w:rPr>
                <w:b/>
                <w:bCs/>
                <w:color w:val="FFFFFF"/>
                <w:sz w:val="20"/>
                <w:szCs w:val="20"/>
              </w:rPr>
              <w:t xml:space="preserve">Score Change</w:t>
            </w:r>
          </w:p>
        </w:tc>
      </w:tr>
      <w:tr>
        <w:tc>
          <w:tcPr>
            <w:shd w:color="FFFFFF" w:val="solid"/>
            <w:tcMar>
              <w:top w:type="dxa" w:w="80"/>
              <w:left w:type="dxa" w:w="120"/>
              <w:bottom w:type="dxa" w:w="80"/>
              <w:right w:type="dxa" w:w="120"/>
            </w:tcMar>
            <w:vAlign w:val="center"/>
          </w:tcPr>
          <w:p>
            <w:pPr>
              <w:jc w:val="center"/>
            </w:pPr>
            <w:r>
              <w:rPr>
                <w:b/>
                <w:bCs/>
                <w:color w:val="1E3A5F"/>
                <w:sz w:val="20"/>
                <w:szCs w:val="20"/>
              </w:rPr>
              <w:t xml:space="preserve">2 – Moderate</w:t>
            </w:r>
          </w:p>
        </w:tc>
        <w:tc>
          <w:tcPr>
            <w:shd w:color="FFF0E6" w:val="solid"/>
            <w:tcMar>
              <w:top w:type="dxa" w:w="80"/>
              <w:left w:type="dxa" w:w="120"/>
              <w:bottom w:type="dxa" w:w="80"/>
              <w:right w:type="dxa" w:w="120"/>
            </w:tcMar>
            <w:vAlign w:val="center"/>
          </w:tcPr>
          <w:p>
            <w:pPr>
              <w:jc w:val="center"/>
            </w:pPr>
            <w:r>
              <w:rPr>
                <w:b/>
                <w:bCs/>
                <w:color w:val="C2410C"/>
                <w:sz w:val="20"/>
                <w:szCs w:val="20"/>
              </w:rPr>
              <w:t xml:space="preserve">4 – Excellent</w:t>
            </w:r>
          </w:p>
        </w:tc>
        <w:tc>
          <w:tcPr>
            <w:shd w:color="FFF0E6" w:val="solid"/>
            <w:tcMar>
              <w:top w:type="dxa" w:w="80"/>
              <w:left w:type="dxa" w:w="120"/>
              <w:bottom w:type="dxa" w:w="80"/>
              <w:right w:type="dxa" w:w="120"/>
            </w:tcMar>
            <w:vAlign w:val="center"/>
          </w:tcPr>
          <w:p>
            <w:pPr>
              <w:jc w:val="center"/>
            </w:pPr>
            <w:r>
              <w:rPr>
                <w:b/>
                <w:bCs/>
                <w:color w:val="C2410C"/>
                <w:sz w:val="20"/>
                <w:szCs w:val="20"/>
              </w:rPr>
              <w:t xml:space="preserve">2 → 4  (+2)</w:t>
            </w:r>
          </w:p>
        </w:tc>
      </w:tr>
    </w:tbl>
    <w:p>
      <w:pPr>
        <w:spacing w:after="20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shd w:color="1E3A5F" w:val="solid"/>
            <w:tcMar>
              <w:top w:type="dxa" w:w="100"/>
              <w:left w:type="dxa" w:w="120"/>
              <w:bottom w:type="dxa" w:w="100"/>
              <w:right w:type="dxa" w:w="120"/>
            </w:tcMar>
            <w:vAlign w:val="center"/>
          </w:tcPr>
          <w:p>
            <w:r>
              <w:rPr>
                <w:b/>
                <w:bCs/>
                <w:color w:val="FFFFFF"/>
                <w:sz w:val="20"/>
                <w:szCs w:val="20"/>
              </w:rPr>
              <w:t xml:space="preserve">Current ITMAP Write-Up</w:t>
            </w:r>
          </w:p>
        </w:tc>
        <w:tc>
          <w:tcPr>
            <w:shd w:color="1E3A5F" w:val="solid"/>
            <w:tcMar>
              <w:top w:type="dxa" w:w="100"/>
              <w:left w:type="dxa" w:w="120"/>
              <w:bottom w:type="dxa" w:w="100"/>
              <w:right w:type="dxa" w:w="120"/>
            </w:tcMar>
            <w:vAlign w:val="center"/>
          </w:tcPr>
          <w:p>
            <w:r>
              <w:rPr>
                <w:b/>
                <w:bCs/>
                <w:color w:val="FFFFFF"/>
                <w:sz w:val="20"/>
                <w:szCs w:val="20"/>
              </w:rPr>
              <w:t xml:space="preserve">Vendor Response / Dispute</w:t>
            </w:r>
          </w:p>
        </w:tc>
      </w:tr>
      <w:tr>
        <w:tc>
          <w:tcPr>
            <w:shd w:color="EEF2FF" w:val="solid"/>
            <w:tcMar>
              <w:top w:type="dxa" w:w="80"/>
              <w:left w:type="dxa" w:w="120"/>
              <w:bottom w:type="dxa" w:w="80"/>
              <w:right w:type="dxa" w:w="120"/>
            </w:tcMar>
          </w:tcPr>
          <w:p>
            <w:pPr>
              <w:spacing w:after="80"/>
            </w:pPr>
            <w:r>
              <w:rPr>
                <w:color w:val="374151"/>
                <w:sz w:val="20"/>
                <w:szCs w:val="20"/>
              </w:rPr>
              <w:t xml:space="preserve">There are two overlapping mechanisms here and their maturity differs sharply. In TrustGate, tool governance is generally available and reasonably deep: a tool allowlist matches glob patterns with deny overriding allow, tool definition transformation rewrites schemas and descriptions, a per-tool rate limiter caps invocations, and tool call validation checks model-generated calls with JSON schema, regex, semantic and denylist validators.</w:t>
            </w:r>
          </w:p>
          <w:p>
            <w:pPr>
              <w:spacing w:after="80"/>
            </w:pPr>
            <w:r>
              <w:rPr>
                <w:color w:val="374151"/>
                <w:sz w:val="20"/>
                <w:szCs w:val="20"/>
              </w:rPr>
              <w:t xml:space="preserve">In TrustGuard, three detectors specifically target this problem (tool_guard, tool_permission, tool_selection). The significant caveat is that these three are not shown in the catalog picker and buyers must contact NeuralTrust to enable them — functionally a gated/early-access capability. Detection is also protocol-bound to MCP.</w:t>
            </w:r>
          </w:p>
          <w:p>
            <w:pPr>
              <w:spacing w:after="80"/>
            </w:pPr>
            <w:r>
              <w:rPr>
                <w:color w:val="374151"/>
                <w:sz w:val="20"/>
                <w:szCs w:val="20"/>
              </w:rPr>
              <w:t xml:space="preserve">Sources: https://docs.neuraltrust.ai/trustgate/policies/tool-governance · https://docs.neuraltrust.ai/trustguard/detectors/overview · https://docs.neuraltrust.ai/trustguard/concepts/detectors</w:t>
            </w:r>
          </w:p>
        </w:tc>
        <w:tc>
          <w:tcPr>
            <w:shd w:color="FFF7E6" w:val="solid"/>
            <w:tcMar>
              <w:top w:type="dxa" w:w="80"/>
              <w:left w:type="dxa" w:w="120"/>
              <w:bottom w:type="dxa" w:w="80"/>
              <w:right w:type="dxa" w:w="120"/>
            </w:tcMar>
          </w:tcPr>
          <w:p>
            <w:pPr>
              <w:spacing w:after="80"/>
            </w:pPr>
            <w:r>
              <w:rPr>
                <w:color w:val="374151"/>
                <w:sz w:val="20"/>
                <w:szCs w:val="20"/>
              </w:rPr>
              <w:t xml:space="preserve">Tool governance in TrustGate is mature and enforced pre-execution: an allowlist matches glob patterns with deny overriding allow before the model ever sees the tool set, tool definitions can be rewritten to adjust schemas and descriptions, and per-tool rate limiting is in place. This is proactive control at the gateway layer, not just detection after the fact.</w:t>
            </w:r>
          </w:p>
          <w:p>
            <w:pPr>
              <w:spacing w:after="80"/>
            </w:pPr>
            <w:r>
              <w:rPr>
                <w:color w:val="374151"/>
                <w:sz w:val="20"/>
                <w:szCs w:val="20"/>
              </w:rPr>
              <w:t xml:space="preserve">Worth noting that the two mechanisms have different maturity levels — this should be scored on the stronger, generally-available TrustGate capability rather than averaged down by the earlier-stage piece.</w:t>
            </w:r>
          </w:p>
        </w:tc>
      </w:tr>
    </w:tbl>
    <w:p>
      <w:pPr>
        <w:spacing w:after="120"/>
      </w:pPr>
    </w:p>
    <w:p>
      <w:pPr>
        <w:spacing w:after="60"/>
      </w:pPr>
      <w:r>
        <w:rPr>
          <w:b/>
          <w:bCs/>
          <w:color w:val="1E3A5F"/>
          <w:sz w:val="20"/>
          <w:szCs w:val="20"/>
        </w:rPr>
        <w:t xml:space="preserve">Evidence links provided:</w:t>
      </w:r>
    </w:p>
    <w:p>
      <w:pPr>
        <w:pStyle w:val="ListParagraph"/>
        <w:numPr>
          <w:ilvl w:val="0"/>
          <w:numId w:val="1"/>
        </w:numPr>
      </w:pPr>
      <w:r>
        <w:rPr>
          <w:color w:val="4F46E5"/>
          <w:sz w:val="19"/>
          <w:szCs w:val="19"/>
        </w:rPr>
        <w:t xml:space="preserve">https://neuraltrust.ai/ai-gateway</w:t>
      </w:r>
    </w:p>
    <w:p>
      <w:pPr>
        <w:spacing w:after="100"/>
      </w:pPr>
    </w:p>
    <w:p>
      <w:pPr>
        <w:pBdr>
          <w:bottom w:val="single" w:color="E2E8F0" w:sz="6"/>
        </w:pBdr>
        <w:spacing w:after="200" w:before="200"/>
      </w:pPr>
    </w:p>
    <w:p>
      <w:pPr>
        <w:spacing w:after="200"/>
      </w:pPr>
    </w:p>
    <w:p>
      <w:r>
        <w:rPr>
          <w:i/>
          <w:iCs/>
          <w:color w:val="94A3B8"/>
          <w:sz w:val="18"/>
          <w:szCs w:val="18"/>
        </w:rPr>
        <w:t xml:space="preserve">All submissions are currently in Pending Review status. No admin review has taken place.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2026-07-30T17:32:29.557Z</dcterms:created>
  <dcterms:modified xsi:type="dcterms:W3CDTF">2026-07-30T17:32:29.557Z</dcterms:modified>
</cp:coreProperties>
</file>

<file path=docProps/custom.xml><?xml version="1.0" encoding="utf-8"?>
<Properties xmlns="http://schemas.openxmlformats.org/officeDocument/2006/custom-properties" xmlns:vt="http://schemas.openxmlformats.org/officeDocument/2006/docPropsVTypes"/>
</file>