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00B4D8"/>
          <w:spacing w:val="30"/>
          <w:sz w:val="22"/>
          <w:szCs w:val="22"/>
        </w:rPr>
        <w:t xml:space="preserve">INFORME TÉCNICO ACADÉMICO</w:t>
      </w:r>
    </w:p>
    <w:p>
      <w:pPr>
        <w:spacing w:before="200"/>
        <w:jc w:val="center"/>
      </w:pPr>
      <w:r>
        <w:rPr>
          <w:rFonts w:ascii="Cambria" w:cs="Cambria" w:eastAsia="Cambria" w:hAnsi="Cambria"/>
          <w:b/>
          <w:bCs/>
          <w:color w:val="1E2761"/>
          <w:sz w:val="56"/>
          <w:szCs w:val="56"/>
        </w:rPr>
        <w:t xml:space="preserve">CIBERDERECHO:</w:t>
      </w:r>
    </w:p>
    <w:p>
      <w:pPr>
        <w:jc w:val="center"/>
      </w:pPr>
      <w:r>
        <w:rPr>
          <w:rFonts w:ascii="Cambria" w:cs="Cambria" w:eastAsia="Cambria" w:hAnsi="Cambria"/>
          <w:b/>
          <w:bCs/>
          <w:color w:val="1E2761"/>
          <w:sz w:val="40"/>
          <w:szCs w:val="40"/>
        </w:rPr>
        <w:t xml:space="preserve">ÉTICA Y PRIVACIDAD EN LA ERA DIGITAL</w:t>
      </w:r>
    </w:p>
    <w:p>
      <w:pPr>
        <w:spacing w:after="260" w:before="260"/>
        <w:jc w:val="center"/>
      </w:pPr>
      <w:r>
        <w:rPr>
          <w:rFonts w:ascii="Calibri" w:cs="Calibri" w:eastAsia="Calibri" w:hAnsi="Calibri"/>
          <w:i/>
          <w:iCs/>
          <w:color w:val="5B6472"/>
          <w:sz w:val="24"/>
          <w:szCs w:val="24"/>
        </w:rPr>
        <w:t xml:space="preserve">Unidad VIII — Marco Normativo, Principios y Desafíos Morales</w:t>
      </w:r>
    </w:p>
    <w:p>
      <w:pPr>
        <w:spacing w:after="700"/>
      </w:pPr>
    </w:p>
    <w:tbl>
      <w:tblPr>
        <w:tblW w:type="pct" w:w="100%"/>
        <w:tblBorders>
          <w:top w:val="none"/>
          <w:left w:val="none"/>
          <w:bottom w:val="none"/>
          <w:right w:val="none"/>
          <w:insideH w:val="none"/>
          <w:insideV w:val="none"/>
        </w:tblBorders>
      </w:tblPr>
      <w:tblGrid>
        <w:gridCol w:w="100"/>
      </w:tblGrid>
      <w:tr>
        <w:tc>
          <w:tcPr>
            <w:shd w:fill="1E2761" w:val="clear"/>
            <w:tcMar>
              <w:top w:type="dxa" w:w="260"/>
              <w:left w:type="dxa" w:w="360"/>
              <w:bottom w:type="dxa" w:w="260"/>
              <w:right w:type="dxa" w:w="360"/>
            </w:tcMar>
            <w:vAlign w:val="center"/>
          </w:tcPr>
          <w:p>
            <w:pPr>
              <w:spacing w:after="60"/>
            </w:pPr>
            <w:r>
              <w:rPr>
                <w:rFonts w:ascii="Calibri" w:cs="Calibri" w:eastAsia="Calibri" w:hAnsi="Calibri"/>
                <w:b/>
                <w:bCs/>
                <w:caps/>
                <w:color w:val="00B4D8"/>
                <w:spacing w:val="12"/>
                <w:sz w:val="17"/>
                <w:szCs w:val="17"/>
              </w:rPr>
              <w:t xml:space="preserve">Axioma rector</w:t>
            </w:r>
          </w:p>
          <w:p>
            <w:r>
              <w:rPr>
                <w:rFonts w:ascii="Cambria" w:cs="Cambria" w:eastAsia="Cambria" w:hAnsi="Cambria"/>
                <w:i/>
                <w:iCs/>
                <w:color w:val="FFFFFF"/>
                <w:sz w:val="24"/>
                <w:szCs w:val="24"/>
              </w:rPr>
              <w:t xml:space="preserve">En el ciberespacio, la arquitectura del código es la ley, pero la ética es el juez supremo de su aplicación social.</w:t>
            </w:r>
          </w:p>
        </w:tc>
      </w:tr>
    </w:tbl>
    <w:p>
      <w:pPr>
        <w:spacing w:after="700"/>
      </w:pPr>
    </w:p>
    <w:p>
      <w:pPr>
        <w:jc w:val="center"/>
      </w:pPr>
      <w:r>
        <w:rPr>
          <w:rFonts w:ascii="Calibri" w:cs="Calibri" w:eastAsia="Calibri" w:hAnsi="Calibri"/>
          <w:b/>
          <w:bCs/>
          <w:caps/>
          <w:color w:val="1E2761"/>
          <w:spacing w:val="10"/>
          <w:sz w:val="20"/>
          <w:szCs w:val="20"/>
        </w:rPr>
        <w:t xml:space="preserve">Autores</w:t>
      </w:r>
    </w:p>
    <w:p>
      <w:pPr>
        <w:spacing w:before="120"/>
        <w:jc w:val="center"/>
      </w:pPr>
      <w:r>
        <w:rPr>
          <w:rFonts w:ascii="Calibri" w:cs="Calibri" w:eastAsia="Calibri" w:hAnsi="Calibri"/>
          <w:color w:val="2B2B33"/>
          <w:sz w:val="22"/>
          <w:szCs w:val="22"/>
        </w:rPr>
        <w:t xml:space="preserve">Itmar Castillo   ·   8-1027-180</w:t>
      </w:r>
    </w:p>
    <w:p>
      <w:pPr>
        <w:jc w:val="center"/>
      </w:pPr>
      <w:r>
        <w:rPr>
          <w:rFonts w:ascii="Calibri" w:cs="Calibri" w:eastAsia="Calibri" w:hAnsi="Calibri"/>
          <w:color w:val="2B2B33"/>
          <w:sz w:val="22"/>
          <w:szCs w:val="22"/>
        </w:rPr>
        <w:t xml:space="preserve">Jose Moreno   ·   8-1019-2359</w:t>
      </w:r>
    </w:p>
    <w:p>
      <w:pPr>
        <w:jc w:val="center"/>
      </w:pPr>
      <w:r>
        <w:rPr>
          <w:rFonts w:ascii="Calibri" w:cs="Calibri" w:eastAsia="Calibri" w:hAnsi="Calibri"/>
          <w:color w:val="2B2B33"/>
          <w:sz w:val="22"/>
          <w:szCs w:val="22"/>
        </w:rPr>
        <w:t xml:space="preserve">Monica Gonzalez   ·   8-1027-1991</w:t>
      </w:r>
    </w:p>
    <w:p>
      <w:pPr>
        <w:spacing w:after="500"/>
      </w:pPr>
    </w:p>
    <w:p>
      <w:pPr>
        <w:jc w:val="center"/>
      </w:pPr>
      <w:r>
        <w:rPr>
          <w:rFonts w:ascii="Calibri" w:cs="Calibri" w:eastAsia="Calibri" w:hAnsi="Calibri"/>
          <w:color w:val="5B6472"/>
          <w:sz w:val="20"/>
          <w:szCs w:val="20"/>
        </w:rPr>
        <w:t xml:space="preserve">Panamá, 2026</w:t>
      </w:r>
    </w:p>
    <w:p>
      <w:pPr>
        <w:pStyle w:val="Heading1"/>
        <w:pageBreakBefore/>
        <w:spacing w:after="300"/>
      </w:pPr>
      <w:r>
        <w:rPr>
          <w:rFonts w:ascii="Cambria" w:cs="Cambria" w:eastAsia="Cambria" w:hAnsi="Cambria"/>
          <w:b/>
          <w:bCs/>
          <w:color w:val="1E2761"/>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spacing w:after="240" w:before="480"/>
      </w:pPr>
      <w:r>
        <w:rPr>
          <w:rFonts w:ascii="Cambria" w:cs="Cambria" w:eastAsia="Cambria" w:hAnsi="Cambria"/>
          <w:b/>
          <w:bCs/>
          <w:color w:val="1E2761"/>
          <w:sz w:val="32"/>
          <w:szCs w:val="32"/>
        </w:rPr>
        <w:t xml:space="preserve">INTRODUCCIÓN</w:t>
      </w:r>
    </w:p>
    <w:p>
      <w:pPr>
        <w:spacing w:after="160" w:line="276"/>
        <w:jc w:val="both"/>
      </w:pPr>
      <w:r>
        <w:rPr>
          <w:rFonts w:ascii="Calibri" w:cs="Calibri" w:eastAsia="Calibri" w:hAnsi="Calibri"/>
          <w:color w:val="2B2B33"/>
          <w:sz w:val="22"/>
          <w:szCs w:val="22"/>
        </w:rPr>
        <w:t xml:space="preserve">El presente informe desarrolla, con nivel universitario, los fundamentos conceptuales, normativos y éticos del Ciberderecho contemporáneo, tomando como eje la Unidad VIII del curso: "Marco Normativo, Principios y Desafíos Morales". El documento amplía y sistematiza el contenido originalmente presentado en formato de diapositivas, incorporando el aparato conceptual jurídico, referencias a marcos regulatorios reales —tanto panameños como internacionales— y un análisis crítico de los principios que rigen la protección de la identidad digital en el siglo XXI.</w:t>
      </w:r>
    </w:p>
    <w:p>
      <w:pPr>
        <w:spacing w:after="160" w:line="276"/>
        <w:jc w:val="both"/>
      </w:pPr>
      <w:r>
        <w:rPr>
          <w:rFonts w:ascii="Calibri" w:cs="Calibri" w:eastAsia="Calibri" w:hAnsi="Calibri"/>
          <w:color w:val="2B2B33"/>
          <w:sz w:val="22"/>
          <w:szCs w:val="22"/>
        </w:rPr>
        <w:t xml:space="preserve">La hipótesis central que articula el trabajo sostiene que la tecnología, por sí sola, no garantiza justicia ni dignidad: el código informático establece lo que es técnicamente posible, pero es la ética la que determina lo que es socialmente deseable, y el Derecho el instrumento que transforma esa deseabilidad en una obligación exigible. Bajo esta premisa, se analizan nueve ejes temáticos: los fundamentos del ciberderecho y la ética digital; la privacidad como derecho fundamental; las normas y valores emergentes en la red; la transparencia y responsabilidad algorítmica; la seguridad jurídica y la equidad digital; las estrategias pedagógicas para el análisis de casos; las herramientas y fuentes de investigación; los mecanismos de evaluación de competencias; y, finalmente, una reflexión prospectiva hacia un marco global de gobernanza ética y jurídica del ciberespacio.</w:t>
      </w:r>
    </w:p>
    <w:p>
      <w:pPr>
        <w:spacing w:after="160" w:line="276"/>
        <w:jc w:val="both"/>
      </w:pPr>
      <w:r>
        <w:rPr>
          <w:rFonts w:ascii="Calibri" w:cs="Calibri" w:eastAsia="Calibri" w:hAnsi="Calibri"/>
          <w:color w:val="2B2B33"/>
          <w:sz w:val="22"/>
          <w:szCs w:val="22"/>
        </w:rPr>
        <w:t xml:space="preserve">Metodológicamente, el informe combina la exposición doctrinal con el análisis comparado de instrumentos normativos vigentes —como la Ley 81 de 2019 sobre Protección de Datos Personales de la República de Panamá y el Reglamento General de Protección de Datos de la Unión Europea (RGPD, Reglamento UE 2016/679)— con el propósito de contextualizar los principios abstractos de la ética digital dentro de marcos legales concretos y verificables.</w:t>
      </w:r>
    </w:p>
    <w:p>
      <w:pPr>
        <w:pStyle w:val="Heading1"/>
        <w:pageBreakBefore/>
        <w:spacing w:after="240" w:before="480"/>
      </w:pPr>
      <w:r>
        <w:rPr>
          <w:rFonts w:ascii="Cambria" w:cs="Cambria" w:eastAsia="Cambria" w:hAnsi="Cambria"/>
          <w:b/>
          <w:bCs/>
          <w:color w:val="1E2761"/>
          <w:sz w:val="32"/>
          <w:szCs w:val="32"/>
        </w:rPr>
        <w:t xml:space="preserve">1. FUNDAMENTOS DEL CIBERDERECHO Y LA ÉTICA DIGITAL</w:t>
      </w:r>
    </w:p>
    <w:p>
      <w:pPr>
        <w:spacing w:after="160" w:line="276"/>
        <w:jc w:val="both"/>
      </w:pPr>
      <w:r>
        <w:rPr>
          <w:rFonts w:ascii="Calibri" w:cs="Calibri" w:eastAsia="Calibri" w:hAnsi="Calibri"/>
          <w:color w:val="2B2B33"/>
          <w:sz w:val="22"/>
          <w:szCs w:val="22"/>
        </w:rPr>
        <w:t xml:space="preserve">El Ciberderecho —también denominado Derecho Informático o Derecho de las Tecnologías de la Información— constituye una rama jurídica emergente que estudia la regulación de las relaciones humanas mediadas por sistemas informáticos, redes de telecomunicaciones y entornos digitales. A diferencia del Derecho tradicional, que se desarrolló sobre presupuestos de territorialidad, corporeidad y temporalidad lineal, el Ciberderecho debe operar sobre una realidad desterritorializada, intangible y de temporalidad instantánea, lo que exige categorías jurídicas propias.</w:t>
      </w:r>
    </w:p>
    <w:p>
      <w:pPr>
        <w:pStyle w:val="Heading2"/>
        <w:spacing w:after="160" w:before="320"/>
      </w:pPr>
      <w:r>
        <w:rPr>
          <w:rFonts w:ascii="Cambria" w:cs="Cambria" w:eastAsia="Cambria" w:hAnsi="Cambria"/>
          <w:b/>
          <w:bCs/>
          <w:color w:val="1E2761"/>
          <w:sz w:val="25"/>
          <w:szCs w:val="25"/>
        </w:rPr>
        <w:t xml:space="preserve">1.1 La ética digital como disciplina fundante</w:t>
      </w:r>
    </w:p>
    <w:p>
      <w:pPr>
        <w:spacing w:after="160" w:line="276"/>
        <w:jc w:val="both"/>
      </w:pPr>
      <w:r>
        <w:rPr>
          <w:rFonts w:ascii="Calibri" w:cs="Calibri" w:eastAsia="Calibri" w:hAnsi="Calibri"/>
          <w:color w:val="2B2B33"/>
          <w:sz w:val="22"/>
          <w:szCs w:val="22"/>
        </w:rPr>
        <w:t xml:space="preserve">La ética digital es la rama de la filosofía práctica que analiza los dilemas morales que surgen de la interacción humana con sistemas autónomos y redes globales de información. No se trata de una ética aplicada menor, sino de un campo con problemas propios: la opacidad algorítmica, la vigilancia masiva, la manipulación conductual mediante interfaces persuasivas (dark patterns), la desinformación automatizada y la delegación de decisiones moralmente relevantes en sistemas de inteligencia artificial.</w:t>
      </w:r>
    </w:p>
    <w:p>
      <w:pPr>
        <w:spacing w:after="160" w:line="276"/>
        <w:jc w:val="both"/>
      </w:pPr>
      <w:r>
        <w:rPr>
          <w:rFonts w:ascii="Calibri" w:cs="Calibri" w:eastAsia="Calibri" w:hAnsi="Calibri"/>
          <w:color w:val="2B2B33"/>
          <w:sz w:val="22"/>
          <w:szCs w:val="22"/>
        </w:rPr>
        <w:t xml:space="preserve">Esta disciplina establece el marco de protección para la identidad digital, entendiendo los datos personales no como una mercancía transable libremente, sino como una extensión de la personalidad jurídica del individuo. Esta concepción —de raíz iusnaturalista y personalista— es la que subyace a los sistemas de protección de datos de tercera generación, entre ellos el panameño y el europeo, que reconocen la autodeterminación informativa como una manifestación directa de la dignidad humana.</w:t>
      </w:r>
    </w:p>
    <w:p>
      <w:pPr>
        <w:pStyle w:val="Heading2"/>
        <w:spacing w:after="160" w:before="320"/>
      </w:pPr>
      <w:r>
        <w:rPr>
          <w:rFonts w:ascii="Cambria" w:cs="Cambria" w:eastAsia="Cambria" w:hAnsi="Cambria"/>
          <w:b/>
          <w:bCs/>
          <w:color w:val="1E2761"/>
          <w:sz w:val="25"/>
          <w:szCs w:val="25"/>
        </w:rPr>
        <w:t xml:space="preserve">1.2 Del principio ético a la norma exigible</w:t>
      </w:r>
    </w:p>
    <w:p>
      <w:pPr>
        <w:spacing w:after="160" w:line="276"/>
        <w:jc w:val="both"/>
      </w:pPr>
      <w:r>
        <w:rPr>
          <w:rFonts w:ascii="Calibri" w:cs="Calibri" w:eastAsia="Calibri" w:hAnsi="Calibri"/>
          <w:color w:val="2B2B33"/>
          <w:sz w:val="22"/>
          <w:szCs w:val="22"/>
        </w:rPr>
        <w:t xml:space="preserve">El Ciberderecho busca codificar estos principios éticos en leyes exigibles que garanticen la justicia en el entorno virtual. Este proceso de "positivización" de la ética digital se ha materializado en Panamá, entre otros instrumentos, mediante la Ley 81 de 29 de marzo de 2019, que establece los principios de licitud, calidad, finalidad, proporcionalidad y responsabilidad en el tratamiento de datos personales, y crea la Autoridad Nacional de Transparencia y Acceso a la Información (ANTAI) como ente rector en la materia.</w:t>
      </w:r>
    </w:p>
    <w:p>
      <w:pPr>
        <w:spacing w:after="160" w:line="276"/>
        <w:jc w:val="both"/>
      </w:pPr>
      <w:r>
        <w:rPr>
          <w:rFonts w:ascii="Calibri" w:cs="Calibri" w:eastAsia="Calibri" w:hAnsi="Calibri"/>
          <w:color w:val="2B2B33"/>
          <w:sz w:val="22"/>
          <w:szCs w:val="22"/>
        </w:rPr>
        <w:t xml:space="preserve">En el plano comparado, el RGPD europeo (Reglamento UE 2016/679) ha operado como estándar de referencia global —el llamado "efecto Bruselas"— al establecer principios como la minimización de datos, la limitación de la finalidad y el derecho al olvido, replicados con matices en numerosas legislaciones latinoamericanas.</w:t>
      </w:r>
    </w:p>
    <w:tbl>
      <w:tblPr>
        <w:tblW w:type="pct" w:w="100%"/>
        <w:tblBorders>
          <w:top w:val="none"/>
          <w:left w:val="none"/>
          <w:bottom w:val="none"/>
          <w:right w:val="none"/>
          <w:insideH w:val="none"/>
          <w:insideV w:val="none"/>
        </w:tblBorders>
      </w:tblPr>
      <w:tblGrid>
        <w:gridCol w:w="100"/>
      </w:tblGrid>
      <w:tr>
        <w:tc>
          <w:tcPr>
            <w:shd w:fill="1E2761" w:val="clear"/>
            <w:tcMar>
              <w:top w:type="dxa" w:w="260"/>
              <w:left w:type="dxa" w:w="360"/>
              <w:bottom w:type="dxa" w:w="260"/>
              <w:right w:type="dxa" w:w="360"/>
            </w:tcMar>
            <w:vAlign w:val="center"/>
          </w:tcPr>
          <w:p>
            <w:pPr>
              <w:spacing w:after="60"/>
            </w:pPr>
            <w:r>
              <w:rPr>
                <w:rFonts w:ascii="Calibri" w:cs="Calibri" w:eastAsia="Calibri" w:hAnsi="Calibri"/>
                <w:b/>
                <w:bCs/>
                <w:caps/>
                <w:color w:val="00B4D8"/>
                <w:spacing w:val="12"/>
                <w:sz w:val="17"/>
                <w:szCs w:val="17"/>
              </w:rPr>
              <w:t xml:space="preserve">Axioma rector del capítulo</w:t>
            </w:r>
          </w:p>
          <w:p>
            <w:r>
              <w:rPr>
                <w:rFonts w:ascii="Cambria" w:cs="Cambria" w:eastAsia="Cambria" w:hAnsi="Cambria"/>
                <w:i/>
                <w:iCs/>
                <w:color w:val="FFFFFF"/>
                <w:sz w:val="24"/>
                <w:szCs w:val="24"/>
              </w:rPr>
              <w:t xml:space="preserve">En el ciberespacio, la arquitectura del código es la ley, pero la ética es el juez supremo de su aplicación social.</w:t>
            </w:r>
          </w:p>
        </w:tc>
      </w:tr>
    </w:tbl>
    <w:p>
      <w:pPr>
        <w:spacing w:after="120"/>
      </w:pPr>
    </w:p>
    <w:p>
      <w:pPr>
        <w:spacing w:after="160" w:line="276"/>
        <w:jc w:val="both"/>
      </w:pPr>
      <w:r>
        <w:rPr>
          <w:rFonts w:ascii="Calibri" w:cs="Calibri" w:eastAsia="Calibri" w:hAnsi="Calibri"/>
          <w:color w:val="2B2B33"/>
          <w:sz w:val="22"/>
          <w:szCs w:val="22"/>
        </w:rPr>
        <w:t xml:space="preserve">Esta afirmación recoge la tesis desarrollada por Lawrence Lessig en su obra sobre regulación del ciberespacio: el código informático (software, protocolos, arquitecturas de red) funciona como una forma de regulación tan efectiva —o más— que la ley formal, porque determina de manera directa qué es posible hacer. Sin embargo, la legitimidad de esa arquitectura solo puede evaluarse desde un marco ético-jurídico externo al propio código.</w:t>
      </w:r>
    </w:p>
    <w:p>
      <w:pPr>
        <w:pStyle w:val="Heading1"/>
        <w:pageBreakBefore/>
        <w:spacing w:after="240" w:before="480"/>
      </w:pPr>
      <w:r>
        <w:rPr>
          <w:rFonts w:ascii="Cambria" w:cs="Cambria" w:eastAsia="Cambria" w:hAnsi="Cambria"/>
          <w:b/>
          <w:bCs/>
          <w:color w:val="1E2761"/>
          <w:sz w:val="32"/>
          <w:szCs w:val="32"/>
        </w:rPr>
        <w:t xml:space="preserve">2. LA PRIVACIDAD COMO DERECHO FUNDAMENTAL EN EL CIBERESPACIO</w:t>
      </w:r>
    </w:p>
    <w:p>
      <w:pPr>
        <w:spacing w:after="160" w:line="276"/>
        <w:jc w:val="both"/>
      </w:pPr>
      <w:r>
        <w:rPr>
          <w:rFonts w:ascii="Calibri" w:cs="Calibri" w:eastAsia="Calibri" w:hAnsi="Calibri"/>
          <w:color w:val="2B2B33"/>
          <w:sz w:val="22"/>
          <w:szCs w:val="22"/>
        </w:rPr>
        <w:t xml:space="preserve">La privacidad digital se ha consolidado como un derecho fundamental autónomo, distinto —aunque relacionado— del derecho al honor y a la propia imagen. En el ordenamiento panameño, su fundamento constitucional se encuentra en el artículo 29 de la Constitución Política, que protege la inviolabilidad de las comunicaciones privadas, y se desarrolla legalmente en la Ley 81 de 2019. El estado del sistema, siguiendo la terminología de las diapositivas originales, puede describirse como "encriptado" y de "acceso restringido": una metáfora técnica que traduce con precisión el estándar jurídico de confidencialidad por defecto.</w:t>
      </w:r>
    </w:p>
    <w:tbl>
      <w:tblPr>
        <w:tblW w:type="pct" w:w="100%"/>
        <w:tblBorders>
          <w:top w:val="single" w:color="D8DEEA" w:sz="4"/>
          <w:left w:val="none"/>
          <w:bottom w:val="single" w:color="D8DEEA" w:sz="4"/>
          <w:right w:val="none"/>
          <w:insideH w:val="single" w:color="D8DEEA" w:sz="4"/>
          <w:insideV w:val="none"/>
        </w:tblBorders>
      </w:tblPr>
      <w:tblGrid>
        <w:gridCol w:w="3200"/>
        <w:gridCol w:w="6800"/>
      </w:tblGrid>
      <w:tr>
        <w:trPr>
          <w:tblHeader/>
        </w:trPr>
        <w:tc>
          <w:tcPr>
            <w:tcW w:type="pct" w:w="32%"/>
            <w:shd w:fill="1E2761" w:val="clear"/>
            <w:tcMar>
              <w:top w:type="dxa" w:w="120"/>
              <w:left w:type="dxa" w:w="160"/>
              <w:bottom w:type="dxa" w:w="120"/>
              <w:right w:type="dxa" w:w="160"/>
            </w:tcMar>
          </w:tcPr>
          <w:p>
            <w:r>
              <w:rPr>
                <w:rFonts w:ascii="Calibri" w:cs="Calibri" w:eastAsia="Calibri" w:hAnsi="Calibri"/>
                <w:b/>
                <w:bCs/>
                <w:color w:val="FFFFFF"/>
                <w:sz w:val="20"/>
                <w:szCs w:val="20"/>
              </w:rPr>
              <w:t xml:space="preserve">Principio</w:t>
            </w:r>
          </w:p>
        </w:tc>
        <w:tc>
          <w:tcPr>
            <w:tcW w:type="pct" w:w="68%"/>
            <w:shd w:fill="1E2761" w:val="clear"/>
            <w:tcMar>
              <w:top w:type="dxa" w:w="120"/>
              <w:left w:type="dxa" w:w="160"/>
              <w:bottom w:type="dxa" w:w="120"/>
              <w:right w:type="dxa" w:w="160"/>
            </w:tcMar>
          </w:tcPr>
          <w:p>
            <w:r>
              <w:rPr>
                <w:rFonts w:ascii="Calibri" w:cs="Calibri" w:eastAsia="Calibri" w:hAnsi="Calibri"/>
                <w:b/>
                <w:bCs/>
                <w:color w:val="FFFFFF"/>
                <w:sz w:val="20"/>
                <w:szCs w:val="20"/>
              </w:rPr>
              <w:t xml:space="preserve">Definición y alcance jurídico</w:t>
            </w:r>
          </w:p>
        </w:tc>
      </w:tr>
      <w:tr>
        <w:tc>
          <w:tcPr>
            <w:tcW w:type="pct" w:w="32%"/>
            <w:shd w:fill="F4F7FC" w:val="clear"/>
            <w:tcMar>
              <w:top w:type="dxa" w:w="140"/>
              <w:left w:type="dxa" w:w="160"/>
              <w:bottom w:type="dxa" w:w="140"/>
              <w:right w:type="dxa" w:w="160"/>
            </w:tcMar>
            <w:vAlign w:val="center"/>
          </w:tcPr>
          <w:p>
            <w:r>
              <w:rPr>
                <w:rFonts w:ascii="Calibri" w:cs="Calibri" w:eastAsia="Calibri" w:hAnsi="Calibri"/>
                <w:b/>
                <w:bCs/>
                <w:color w:val="1E2761"/>
                <w:sz w:val="20"/>
                <w:szCs w:val="20"/>
              </w:rPr>
              <w:t xml:space="preserve">Confidencialidad digital</w:t>
            </w:r>
          </w:p>
        </w:tc>
        <w:tc>
          <w:tcPr>
            <w:tcW w:type="pct" w:w="68%"/>
            <w:shd w:fill="F4F7FC" w:val="clear"/>
            <w:tcMar>
              <w:top w:type="dxa" w:w="140"/>
              <w:left w:type="dxa" w:w="160"/>
              <w:bottom w:type="dxa" w:w="140"/>
              <w:right w:type="dxa" w:w="160"/>
            </w:tcMar>
          </w:tcPr>
          <w:p>
            <w:pPr>
              <w:jc w:val="both"/>
            </w:pPr>
            <w:r>
              <w:rPr>
                <w:rFonts w:ascii="Calibri" w:cs="Calibri" w:eastAsia="Calibri" w:hAnsi="Calibri"/>
                <w:color w:val="2B2B33"/>
                <w:sz w:val="20"/>
                <w:szCs w:val="20"/>
              </w:rPr>
              <w:t xml:space="preserve">Principio jurídico que prohíbe el acceso, la divulgación o el uso no autorizado de datos sensibles. La encriptación —cifrado simétrico y asimétrico, protocolos TLS/SSL, hashing— se convierte en la primera línea técnica de defensa del derecho a la intimidad, complementando la protección normativa con una protección de facto a nivel de infraestructura.</w:t>
            </w:r>
          </w:p>
        </w:tc>
      </w:tr>
      <w:tr>
        <w:tc>
          <w:tcPr>
            <w:tcW w:type="pct" w:w="32%"/>
            <w:shd w:fill="FFFFFF" w:val="clear"/>
            <w:tcMar>
              <w:top w:type="dxa" w:w="140"/>
              <w:left w:type="dxa" w:w="160"/>
              <w:bottom w:type="dxa" w:w="140"/>
              <w:right w:type="dxa" w:w="160"/>
            </w:tcMar>
            <w:vAlign w:val="center"/>
          </w:tcPr>
          <w:p>
            <w:r>
              <w:rPr>
                <w:rFonts w:ascii="Calibri" w:cs="Calibri" w:eastAsia="Calibri" w:hAnsi="Calibri"/>
                <w:b/>
                <w:bCs/>
                <w:color w:val="1E2761"/>
                <w:sz w:val="20"/>
                <w:szCs w:val="20"/>
              </w:rPr>
              <w:t xml:space="preserve">Consentimiento informado</w:t>
            </w:r>
          </w:p>
        </w:tc>
        <w:tc>
          <w:tcPr>
            <w:tcW w:type="pct" w:w="68%"/>
            <w:shd w:fill="FFFFFF" w:val="clear"/>
            <w:tcMar>
              <w:top w:type="dxa" w:w="140"/>
              <w:left w:type="dxa" w:w="160"/>
              <w:bottom w:type="dxa" w:w="140"/>
              <w:right w:type="dxa" w:w="160"/>
            </w:tcMar>
          </w:tcPr>
          <w:p>
            <w:pPr>
              <w:jc w:val="both"/>
            </w:pPr>
            <w:r>
              <w:rPr>
                <w:rFonts w:ascii="Calibri" w:cs="Calibri" w:eastAsia="Calibri" w:hAnsi="Calibri"/>
                <w:color w:val="2B2B33"/>
                <w:sz w:val="20"/>
                <w:szCs w:val="20"/>
              </w:rPr>
              <w:t xml:space="preserve">Requisito sine qua non para el tratamiento lícito de datos personales. El titular debe poseer control efectivo sobre quién procesa su información, con qué finalidad y durante cuánto tiempo, lo que exige mecanismos claros de opt-in, revocación y portabilidad, en línea con los estándares del RGPD y de la Ley 81 panameña.</w:t>
            </w:r>
          </w:p>
        </w:tc>
      </w:tr>
      <w:tr>
        <w:tc>
          <w:tcPr>
            <w:tcW w:type="pct" w:w="32%"/>
            <w:shd w:fill="F4F7FC" w:val="clear"/>
            <w:tcMar>
              <w:top w:type="dxa" w:w="140"/>
              <w:left w:type="dxa" w:w="160"/>
              <w:bottom w:type="dxa" w:w="140"/>
              <w:right w:type="dxa" w:w="160"/>
            </w:tcMar>
            <w:vAlign w:val="center"/>
          </w:tcPr>
          <w:p>
            <w:r>
              <w:rPr>
                <w:rFonts w:ascii="Calibri" w:cs="Calibri" w:eastAsia="Calibri" w:hAnsi="Calibri"/>
                <w:b/>
                <w:bCs/>
                <w:color w:val="1E2761"/>
                <w:sz w:val="20"/>
                <w:szCs w:val="20"/>
              </w:rPr>
              <w:t xml:space="preserve">Integridad y exactitud</w:t>
            </w:r>
          </w:p>
        </w:tc>
        <w:tc>
          <w:tcPr>
            <w:tcW w:type="pct" w:w="68%"/>
            <w:shd w:fill="F4F7FC" w:val="clear"/>
            <w:tcMar>
              <w:top w:type="dxa" w:w="140"/>
              <w:left w:type="dxa" w:w="160"/>
              <w:bottom w:type="dxa" w:w="140"/>
              <w:right w:type="dxa" w:w="160"/>
            </w:tcMar>
          </w:tcPr>
          <w:p>
            <w:pPr>
              <w:jc w:val="both"/>
            </w:pPr>
            <w:r>
              <w:rPr>
                <w:rFonts w:ascii="Calibri" w:cs="Calibri" w:eastAsia="Calibri" w:hAnsi="Calibri"/>
                <w:color w:val="2B2B33"/>
                <w:sz w:val="20"/>
                <w:szCs w:val="20"/>
              </w:rPr>
              <w:t xml:space="preserve">Derecho del ciudadano a que su información digital sea veraz y no sufra alteraciones malintencionadas —manipulación, suplantación o corrupción de registros— que puedan derivar en perjuicios legales, financieros o reputacionales. Este principio fundamenta el derecho de rectificación reconocido en la mayoría de los regímenes de habeas data.</w:t>
            </w:r>
          </w:p>
        </w:tc>
      </w:tr>
    </w:tbl>
    <w:p>
      <w:pPr>
        <w:spacing w:after="160"/>
      </w:pPr>
    </w:p>
    <w:p>
      <w:pPr>
        <w:pStyle w:val="Heading2"/>
        <w:spacing w:after="160" w:before="320"/>
      </w:pPr>
      <w:r>
        <w:rPr>
          <w:rFonts w:ascii="Cambria" w:cs="Cambria" w:eastAsia="Cambria" w:hAnsi="Cambria"/>
          <w:b/>
          <w:bCs/>
          <w:color w:val="1E2761"/>
          <w:sz w:val="25"/>
          <w:szCs w:val="25"/>
        </w:rPr>
        <w:t xml:space="preserve">2.1 La encriptación como garantía técnico-jurídica</w:t>
      </w:r>
    </w:p>
    <w:p>
      <w:pPr>
        <w:spacing w:after="160" w:line="276"/>
        <w:jc w:val="both"/>
      </w:pPr>
      <w:r>
        <w:rPr>
          <w:rFonts w:ascii="Calibri" w:cs="Calibri" w:eastAsia="Calibri" w:hAnsi="Calibri"/>
          <w:color w:val="2B2B33"/>
          <w:sz w:val="22"/>
          <w:szCs w:val="22"/>
        </w:rPr>
        <w:t xml:space="preserve">La confidencialidad digital no puede sostenerse únicamente sobre declaraciones normativas; requiere un correlato técnico. Los mecanismos de cifrado de extremo a extremo, la gestión segura de claves y la aplicación del principio de "privacidad desde el diseño" (privacy by design) constituyen la infraestructura material que hace efectivo el derecho declarado en la norma. La ausencia de estas medidas convierte el derecho a la privacidad en una promesa sin garantía de cumplimiento.</w:t>
      </w:r>
    </w:p>
    <w:p>
      <w:pPr>
        <w:pStyle w:val="Heading2"/>
        <w:spacing w:after="160" w:before="320"/>
      </w:pPr>
      <w:r>
        <w:rPr>
          <w:rFonts w:ascii="Cambria" w:cs="Cambria" w:eastAsia="Cambria" w:hAnsi="Cambria"/>
          <w:b/>
          <w:bCs/>
          <w:color w:val="1E2761"/>
          <w:sz w:val="25"/>
          <w:szCs w:val="25"/>
        </w:rPr>
        <w:t xml:space="preserve">2.2 El consentimiento como acto jurídico de autodeterminación</w:t>
      </w:r>
    </w:p>
    <w:p>
      <w:pPr>
        <w:spacing w:after="160" w:line="276"/>
        <w:jc w:val="both"/>
      </w:pPr>
      <w:r>
        <w:rPr>
          <w:rFonts w:ascii="Calibri" w:cs="Calibri" w:eastAsia="Calibri" w:hAnsi="Calibri"/>
          <w:color w:val="2B2B33"/>
          <w:sz w:val="22"/>
          <w:szCs w:val="22"/>
        </w:rPr>
        <w:t xml:space="preserve">El consentimiento informado exige que sea libre, específico, inequívoco y revocable. La proliferación de términos y condiciones extensos y de difícil comprensión ha generado el fenómeno conocido como "fatiga del consentimiento", que erosiona la efectividad práctica de este principio. Por ello, los marcos normativos más avanzados exigen que la información se presente en lenguaje claro y accesible, y que el silencio o la inacción del usuario nunca se interprete como aceptación.</w:t>
      </w:r>
    </w:p>
    <w:p>
      <w:pPr>
        <w:pStyle w:val="Heading1"/>
        <w:pageBreakBefore/>
        <w:spacing w:after="240" w:before="480"/>
      </w:pPr>
      <w:r>
        <w:rPr>
          <w:rFonts w:ascii="Cambria" w:cs="Cambria" w:eastAsia="Cambria" w:hAnsi="Cambria"/>
          <w:b/>
          <w:bCs/>
          <w:color w:val="1E2761"/>
          <w:sz w:val="32"/>
          <w:szCs w:val="32"/>
        </w:rPr>
        <w:t xml:space="preserve">3. NORMAS Y VALORES EN LA RED: LA NUEVA ÉTICA DIGITAL</w:t>
      </w:r>
    </w:p>
    <w:p>
      <w:pPr>
        <w:spacing w:after="160" w:line="276"/>
        <w:jc w:val="both"/>
      </w:pPr>
      <w:r>
        <w:rPr>
          <w:rFonts w:ascii="Calibri" w:cs="Calibri" w:eastAsia="Calibri" w:hAnsi="Calibri"/>
          <w:color w:val="2B2B33"/>
          <w:sz w:val="22"/>
          <w:szCs w:val="22"/>
        </w:rPr>
        <w:t xml:space="preserve">Más allá de la regulación formal, la convivencia en el ciberespacio depende de un sistema de normas y valores informales que orientan el comportamiento de los usuarios. Este sistema promueve un uso responsable, seguro y respetuoso de Internet y de las herramientas tecnológicas, fomentando la empatía digital y el respeto mutuo como condiciones necesarias para una convivencia armoniosa en las redes sociales.</w:t>
      </w:r>
    </w:p>
    <w:p>
      <w:pPr>
        <w:pStyle w:val="Heading2"/>
        <w:spacing w:after="160" w:before="320"/>
      </w:pPr>
      <w:r>
        <w:rPr>
          <w:rFonts w:ascii="Cambria" w:cs="Cambria" w:eastAsia="Cambria" w:hAnsi="Cambria"/>
          <w:b/>
          <w:bCs/>
          <w:color w:val="1E2761"/>
          <w:sz w:val="25"/>
          <w:szCs w:val="25"/>
        </w:rPr>
        <w:t xml:space="preserve">3.1 Riesgos críticos que la nueva ética digital busca mitigar</w:t>
      </w:r>
    </w:p>
    <w:p>
      <w:pPr>
        <w:pStyle w:val="ListParagraph"/>
        <w:numPr>
          <w:ilvl w:val="0"/>
          <w:numId w:val="2"/>
        </w:numPr>
        <w:spacing w:after="100" w:line="268"/>
        <w:jc w:val="both"/>
      </w:pPr>
      <w:r>
        <w:rPr>
          <w:rFonts w:ascii="Calibri" w:cs="Calibri" w:eastAsia="Calibri" w:hAnsi="Calibri"/>
          <w:color w:val="2B2B33"/>
          <w:sz w:val="22"/>
          <w:szCs w:val="22"/>
        </w:rPr>
        <w:t xml:space="preserve">Ciberacoso (cyberbullying): conductas hostiles reiteradas ejercidas a través de medios digitales, que en Panamá pueden encuadrarse dentro de figuras penales relacionadas con el acoso y, en el caso de menores, activar mecanismos de protección reforzada.</w:t>
      </w:r>
    </w:p>
    <w:p>
      <w:pPr>
        <w:pStyle w:val="ListParagraph"/>
        <w:numPr>
          <w:ilvl w:val="0"/>
          <w:numId w:val="2"/>
        </w:numPr>
        <w:spacing w:after="100" w:line="268"/>
        <w:jc w:val="both"/>
      </w:pPr>
      <w:r>
        <w:rPr>
          <w:rFonts w:ascii="Calibri" w:cs="Calibri" w:eastAsia="Calibri" w:hAnsi="Calibri"/>
          <w:color w:val="2B2B33"/>
          <w:sz w:val="22"/>
          <w:szCs w:val="22"/>
        </w:rPr>
        <w:t xml:space="preserve">Desinformación: producción y difusión deliberada de contenido falso o engañoso, potenciada por la viralización algorítmica y, más recientemente, por contenido sintético generado mediante inteligencia artificial.</w:t>
      </w:r>
    </w:p>
    <w:p>
      <w:pPr>
        <w:pStyle w:val="ListParagraph"/>
        <w:numPr>
          <w:ilvl w:val="0"/>
          <w:numId w:val="2"/>
        </w:numPr>
        <w:spacing w:after="100" w:line="268"/>
        <w:jc w:val="both"/>
      </w:pPr>
      <w:r>
        <w:rPr>
          <w:rFonts w:ascii="Calibri" w:cs="Calibri" w:eastAsia="Calibri" w:hAnsi="Calibri"/>
          <w:color w:val="2B2B33"/>
          <w:sz w:val="22"/>
          <w:szCs w:val="22"/>
        </w:rPr>
        <w:t xml:space="preserve">Suplantación de identidad (identity theft / phishing): apropiación fraudulenta de la identidad digital de un tercero con fines de engaño, fraude económico o daño reputacional.</w:t>
      </w:r>
    </w:p>
    <w:p>
      <w:pPr>
        <w:spacing w:after="80"/>
      </w:pPr>
    </w:p>
    <w:p>
      <w:pPr>
        <w:spacing w:after="160" w:line="276"/>
        <w:jc w:val="both"/>
      </w:pPr>
      <w:r>
        <w:rPr>
          <w:rFonts w:ascii="Calibri" w:cs="Calibri" w:eastAsia="Calibri" w:hAnsi="Calibri"/>
          <w:color w:val="2B2B33"/>
          <w:sz w:val="22"/>
          <w:szCs w:val="22"/>
        </w:rPr>
        <w:t xml:space="preserve">La ética digital no es solo técnica; es el compromiso humano de actuar con integridad en cada interacción mediada por la tecnología. Esta afirmación —identificada en el material original como el punto 8.3 de la unidad— desplaza el eje del análisis desde la infraestructura hacia el sujeto: ninguna arquitectura de seguridad, por robusta que sea, sustituye la responsabilidad individual del usuario en su interacción cotidiana con la red.</w:t>
      </w:r>
    </w:p>
    <w:tbl>
      <w:tblPr>
        <w:tblW w:type="pct" w:w="100%"/>
        <w:tblBorders>
          <w:top w:val="none"/>
          <w:left w:val="none"/>
          <w:bottom w:val="none"/>
          <w:right w:val="none"/>
          <w:insideH w:val="none"/>
          <w:insideV w:val="none"/>
        </w:tblBorders>
      </w:tblPr>
      <w:tblGrid>
        <w:gridCol w:w="100"/>
      </w:tblGrid>
      <w:tr>
        <w:tc>
          <w:tcPr>
            <w:shd w:fill="1E2761" w:val="clear"/>
            <w:tcMar>
              <w:top w:type="dxa" w:w="260"/>
              <w:left w:type="dxa" w:w="360"/>
              <w:bottom w:type="dxa" w:w="260"/>
              <w:right w:type="dxa" w:w="360"/>
            </w:tcMar>
            <w:vAlign w:val="center"/>
          </w:tcPr>
          <w:p>
            <w:pPr>
              <w:spacing w:after="60"/>
            </w:pPr>
            <w:r>
              <w:rPr>
                <w:rFonts w:ascii="Calibri" w:cs="Calibri" w:eastAsia="Calibri" w:hAnsi="Calibri"/>
                <w:b/>
                <w:bCs/>
                <w:caps/>
                <w:color w:val="00B4D8"/>
                <w:spacing w:val="12"/>
                <w:sz w:val="17"/>
                <w:szCs w:val="17"/>
              </w:rPr>
              <w:t xml:space="preserve">Principio orientador</w:t>
            </w:r>
          </w:p>
          <w:p>
            <w:r>
              <w:rPr>
                <w:rFonts w:ascii="Cambria" w:cs="Cambria" w:eastAsia="Cambria" w:hAnsi="Cambria"/>
                <w:i/>
                <w:iCs/>
                <w:color w:val="FFFFFF"/>
                <w:sz w:val="24"/>
                <w:szCs w:val="24"/>
              </w:rPr>
              <w:t xml:space="preserve">La ética digital no es solo técnica; es el compromiso humano de actuar con integridad en cada interacción mediada por la tecnología.</w:t>
            </w:r>
          </w:p>
        </w:tc>
      </w:tr>
    </w:tbl>
    <w:p>
      <w:pPr>
        <w:pStyle w:val="Heading1"/>
        <w:pageBreakBefore/>
        <w:spacing w:after="240" w:before="480"/>
      </w:pPr>
      <w:r>
        <w:rPr>
          <w:rFonts w:ascii="Cambria" w:cs="Cambria" w:eastAsia="Cambria" w:hAnsi="Cambria"/>
          <w:b/>
          <w:bCs/>
          <w:color w:val="1E2761"/>
          <w:sz w:val="32"/>
          <w:szCs w:val="32"/>
        </w:rPr>
        <w:t xml:space="preserve">4. TRANSPARENCIA Y RESPONSABILIDAD EN EL TRATAMIENTO DE DATOS</w:t>
      </w:r>
    </w:p>
    <w:p>
      <w:pPr>
        <w:spacing w:after="160" w:line="276"/>
        <w:jc w:val="both"/>
      </w:pPr>
      <w:r>
        <w:rPr>
          <w:rFonts w:ascii="Calibri" w:cs="Calibri" w:eastAsia="Calibri" w:hAnsi="Calibri"/>
          <w:color w:val="2B2B33"/>
          <w:sz w:val="22"/>
          <w:szCs w:val="22"/>
        </w:rPr>
        <w:t xml:space="preserve">La gobernanza ética de los sistemas digitales exige que las organizaciones —públicas y privadas— asuman deberes de transparencia y de responsabilidad proactiva frente al tratamiento de datos personales y frente a las decisiones automatizadas que afectan a las personas.</w:t>
      </w:r>
    </w:p>
    <w:tbl>
      <w:tblPr>
        <w:tblW w:type="pct" w:w="100%"/>
        <w:tblBorders>
          <w:top w:val="single" w:color="D8DEEA" w:sz="4"/>
          <w:left w:val="none"/>
          <w:bottom w:val="single" w:color="D8DEEA" w:sz="4"/>
          <w:right w:val="none"/>
          <w:insideH w:val="single" w:color="D8DEEA" w:sz="4"/>
          <w:insideV w:val="none"/>
        </w:tblBorders>
      </w:tblPr>
      <w:tblGrid>
        <w:gridCol w:w="3200"/>
        <w:gridCol w:w="6800"/>
      </w:tblGrid>
      <w:tr>
        <w:trPr>
          <w:tblHeader/>
        </w:trPr>
        <w:tc>
          <w:tcPr>
            <w:tcW w:type="pct" w:w="32%"/>
            <w:shd w:fill="1E2761" w:val="clear"/>
            <w:tcMar>
              <w:top w:type="dxa" w:w="120"/>
              <w:left w:type="dxa" w:w="160"/>
              <w:bottom w:type="dxa" w:w="120"/>
              <w:right w:type="dxa" w:w="160"/>
            </w:tcMar>
          </w:tcPr>
          <w:p>
            <w:r>
              <w:rPr>
                <w:rFonts w:ascii="Calibri" w:cs="Calibri" w:eastAsia="Calibri" w:hAnsi="Calibri"/>
                <w:b/>
                <w:bCs/>
                <w:color w:val="FFFFFF"/>
                <w:sz w:val="20"/>
                <w:szCs w:val="20"/>
              </w:rPr>
              <w:t xml:space="preserve">Principio</w:t>
            </w:r>
          </w:p>
        </w:tc>
        <w:tc>
          <w:tcPr>
            <w:tcW w:type="pct" w:w="68%"/>
            <w:shd w:fill="1E2761" w:val="clear"/>
            <w:tcMar>
              <w:top w:type="dxa" w:w="120"/>
              <w:left w:type="dxa" w:w="160"/>
              <w:bottom w:type="dxa" w:w="120"/>
              <w:right w:type="dxa" w:w="160"/>
            </w:tcMar>
          </w:tcPr>
          <w:p>
            <w:r>
              <w:rPr>
                <w:rFonts w:ascii="Calibri" w:cs="Calibri" w:eastAsia="Calibri" w:hAnsi="Calibri"/>
                <w:b/>
                <w:bCs/>
                <w:color w:val="FFFFFF"/>
                <w:sz w:val="20"/>
                <w:szCs w:val="20"/>
              </w:rPr>
              <w:t xml:space="preserve">Definición y alcance jurídico</w:t>
            </w:r>
          </w:p>
        </w:tc>
      </w:tr>
      <w:tr>
        <w:tc>
          <w:tcPr>
            <w:tcW w:type="pct" w:w="32%"/>
            <w:shd w:fill="F4F7FC" w:val="clear"/>
            <w:tcMar>
              <w:top w:type="dxa" w:w="140"/>
              <w:left w:type="dxa" w:w="160"/>
              <w:bottom w:type="dxa" w:w="140"/>
              <w:right w:type="dxa" w:w="160"/>
            </w:tcMar>
            <w:vAlign w:val="center"/>
          </w:tcPr>
          <w:p>
            <w:r>
              <w:rPr>
                <w:rFonts w:ascii="Calibri" w:cs="Calibri" w:eastAsia="Calibri" w:hAnsi="Calibri"/>
                <w:b/>
                <w:bCs/>
                <w:color w:val="1E2761"/>
                <w:sz w:val="20"/>
                <w:szCs w:val="20"/>
              </w:rPr>
              <w:t xml:space="preserve">Transparencia algorítmica</w:t>
            </w:r>
          </w:p>
        </w:tc>
        <w:tc>
          <w:tcPr>
            <w:tcW w:type="pct" w:w="68%"/>
            <w:shd w:fill="F4F7FC" w:val="clear"/>
            <w:tcMar>
              <w:top w:type="dxa" w:w="140"/>
              <w:left w:type="dxa" w:w="160"/>
              <w:bottom w:type="dxa" w:w="140"/>
              <w:right w:type="dxa" w:w="160"/>
            </w:tcMar>
          </w:tcPr>
          <w:p>
            <w:pPr>
              <w:jc w:val="both"/>
            </w:pPr>
            <w:r>
              <w:rPr>
                <w:rFonts w:ascii="Calibri" w:cs="Calibri" w:eastAsia="Calibri" w:hAnsi="Calibri"/>
                <w:color w:val="2B2B33"/>
                <w:sz w:val="20"/>
                <w:szCs w:val="20"/>
              </w:rPr>
              <w:t xml:space="preserve">Obligación de las organizaciones de revelar, de forma clara y comprensible, cómo se procesan los datos personales, eliminando las llamadas "cajas negras" en la toma de decisiones automatizada. Se vincula con el derecho a obtener una explicación sobre decisiones basadas exclusivamente en tratamiento automatizado, reconocido en instrumentos como el RGPD.</w:t>
            </w:r>
          </w:p>
        </w:tc>
      </w:tr>
      <w:tr>
        <w:tc>
          <w:tcPr>
            <w:tcW w:type="pct" w:w="32%"/>
            <w:shd w:fill="FFFFFF" w:val="clear"/>
            <w:tcMar>
              <w:top w:type="dxa" w:w="140"/>
              <w:left w:type="dxa" w:w="160"/>
              <w:bottom w:type="dxa" w:w="140"/>
              <w:right w:type="dxa" w:w="160"/>
            </w:tcMar>
            <w:vAlign w:val="center"/>
          </w:tcPr>
          <w:p>
            <w:r>
              <w:rPr>
                <w:rFonts w:ascii="Calibri" w:cs="Calibri" w:eastAsia="Calibri" w:hAnsi="Calibri"/>
                <w:b/>
                <w:bCs/>
                <w:color w:val="1E2761"/>
                <w:sz w:val="20"/>
                <w:szCs w:val="20"/>
              </w:rPr>
              <w:t xml:space="preserve">Responsabilidad proactiva (accountability)</w:t>
            </w:r>
          </w:p>
        </w:tc>
        <w:tc>
          <w:tcPr>
            <w:tcW w:type="pct" w:w="68%"/>
            <w:shd w:fill="FFFFFF" w:val="clear"/>
            <w:tcMar>
              <w:top w:type="dxa" w:w="140"/>
              <w:left w:type="dxa" w:w="160"/>
              <w:bottom w:type="dxa" w:w="140"/>
              <w:right w:type="dxa" w:w="160"/>
            </w:tcMar>
          </w:tcPr>
          <w:p>
            <w:pPr>
              <w:jc w:val="both"/>
            </w:pPr>
            <w:r>
              <w:rPr>
                <w:rFonts w:ascii="Calibri" w:cs="Calibri" w:eastAsia="Calibri" w:hAnsi="Calibri"/>
                <w:color w:val="2B2B33"/>
                <w:sz w:val="20"/>
                <w:szCs w:val="20"/>
              </w:rPr>
              <w:t xml:space="preserve">Asunción de las consecuencias legales y éticas derivadas del uso de la tecnología. Implica la implementación de medidas de seguridad desde el diseño y por defecto (Privacy by Design y Privacy by Default), así como la realización de evaluaciones de impacto en protección de datos previas a tratamientos de alto riesgo.</w:t>
            </w:r>
          </w:p>
        </w:tc>
      </w:tr>
      <w:tr>
        <w:tc>
          <w:tcPr>
            <w:tcW w:type="pct" w:w="32%"/>
            <w:shd w:fill="F4F7FC" w:val="clear"/>
            <w:tcMar>
              <w:top w:type="dxa" w:w="140"/>
              <w:left w:type="dxa" w:w="160"/>
              <w:bottom w:type="dxa" w:w="140"/>
              <w:right w:type="dxa" w:w="160"/>
            </w:tcMar>
            <w:vAlign w:val="center"/>
          </w:tcPr>
          <w:p>
            <w:r>
              <w:rPr>
                <w:rFonts w:ascii="Calibri" w:cs="Calibri" w:eastAsia="Calibri" w:hAnsi="Calibri"/>
                <w:b/>
                <w:bCs/>
                <w:color w:val="1E2761"/>
                <w:sz w:val="20"/>
                <w:szCs w:val="20"/>
              </w:rPr>
              <w:t xml:space="preserve">Honestidad digital</w:t>
            </w:r>
          </w:p>
        </w:tc>
        <w:tc>
          <w:tcPr>
            <w:tcW w:type="pct" w:w="68%"/>
            <w:shd w:fill="F4F7FC" w:val="clear"/>
            <w:tcMar>
              <w:top w:type="dxa" w:w="140"/>
              <w:left w:type="dxa" w:w="160"/>
              <w:bottom w:type="dxa" w:w="140"/>
              <w:right w:type="dxa" w:w="160"/>
            </w:tcMar>
          </w:tcPr>
          <w:p>
            <w:pPr>
              <w:jc w:val="both"/>
            </w:pPr>
            <w:r>
              <w:rPr>
                <w:rFonts w:ascii="Calibri" w:cs="Calibri" w:eastAsia="Calibri" w:hAnsi="Calibri"/>
                <w:color w:val="2B2B33"/>
                <w:sz w:val="20"/>
                <w:szCs w:val="20"/>
              </w:rPr>
              <w:t xml:space="preserve">Compromiso ineludible con la veracidad de la información y la lealtad hacia el usuario, garantizando que las herramientas digitales —interfaces, algoritmos de recomendación, sistemas publicitarios— no se utilicen para el engaño, la manipulación conductual o la explotación de sesgos cognitivos.</w:t>
            </w:r>
          </w:p>
        </w:tc>
      </w:tr>
    </w:tbl>
    <w:p>
      <w:pPr>
        <w:spacing w:after="160"/>
      </w:pPr>
    </w:p>
    <w:p>
      <w:pPr>
        <w:spacing w:after="160" w:line="276"/>
        <w:jc w:val="both"/>
      </w:pPr>
      <w:r>
        <w:rPr>
          <w:rFonts w:ascii="Calibri" w:cs="Calibri" w:eastAsia="Calibri" w:hAnsi="Calibri"/>
          <w:color w:val="2B2B33"/>
          <w:sz w:val="22"/>
          <w:szCs w:val="22"/>
        </w:rPr>
        <w:t xml:space="preserve">La confianza digital no se hereda, se construye a través de la rendición de cuentas y la claridad operativa. Este principio sintetiza el tránsito de un modelo de cumplimiento meramente formal —centrado en la existencia de una política de privacidad— hacia un modelo de responsabilidad demostrable, en el que la organización debe poder acreditar, ante la autoridad de control y ante el propio titular de los datos, que sus prácticas efectivamente protegen los derechos declarados.</w:t>
      </w:r>
    </w:p>
    <w:p>
      <w:pPr>
        <w:pStyle w:val="Heading1"/>
        <w:pageBreakBefore/>
        <w:spacing w:after="240" w:before="480"/>
      </w:pPr>
      <w:r>
        <w:rPr>
          <w:rFonts w:ascii="Cambria" w:cs="Cambria" w:eastAsia="Cambria" w:hAnsi="Cambria"/>
          <w:b/>
          <w:bCs/>
          <w:color w:val="1E2761"/>
          <w:sz w:val="32"/>
          <w:szCs w:val="32"/>
        </w:rPr>
        <w:t xml:space="preserve">5. SEGURIDAD JURÍDICA Y EQUIDAD DIGITAL</w:t>
      </w:r>
    </w:p>
    <w:p>
      <w:pPr>
        <w:spacing w:after="160" w:line="276"/>
        <w:jc w:val="both"/>
      </w:pPr>
      <w:r>
        <w:rPr>
          <w:rFonts w:ascii="Calibri" w:cs="Calibri" w:eastAsia="Calibri" w:hAnsi="Calibri"/>
          <w:color w:val="2B2B33"/>
          <w:sz w:val="22"/>
          <w:szCs w:val="22"/>
        </w:rPr>
        <w:t xml:space="preserve">La seguridad jurídica en el entorno digital exige la convergencia de tres dimensiones que, aunque distintas, se encuentran profundamente interrelacionadas: la seguridad técnica de la información, la equidad algorítmica y la protección de la propiedad intelectual.</w:t>
      </w:r>
    </w:p>
    <w:p>
      <w:pPr>
        <w:pStyle w:val="Heading2"/>
        <w:spacing w:after="160" w:before="320"/>
      </w:pPr>
      <w:r>
        <w:rPr>
          <w:rFonts w:ascii="Cambria" w:cs="Cambria" w:eastAsia="Cambria" w:hAnsi="Cambria"/>
          <w:b/>
          <w:bCs/>
          <w:color w:val="1E2761"/>
          <w:sz w:val="25"/>
          <w:szCs w:val="25"/>
        </w:rPr>
        <w:t xml:space="preserve">5.1 Seguridad de datos</w:t>
      </w:r>
    </w:p>
    <w:p>
      <w:pPr>
        <w:spacing w:after="160" w:line="276"/>
        <w:jc w:val="both"/>
      </w:pPr>
      <w:r>
        <w:rPr>
          <w:rFonts w:ascii="Calibri" w:cs="Calibri" w:eastAsia="Calibri" w:hAnsi="Calibri"/>
          <w:color w:val="2B2B33"/>
          <w:sz w:val="22"/>
          <w:szCs w:val="22"/>
        </w:rPr>
        <w:t xml:space="preserve">Implica la implementación de protocolos de cifrado y de defensa proactiva —sistemas de detección y respuesta ante incidentes, auditorías de vulnerabilidades, arquitecturas de confianza cero (zero trust)— orientados a mitigar ciberamenazas y a garantizar la resiliencia de la información jurídicamente relevante frente a accesos no autorizados, filtraciones o ataques de denegación de servicio.</w:t>
      </w:r>
    </w:p>
    <w:p>
      <w:pPr>
        <w:pStyle w:val="Heading2"/>
        <w:spacing w:after="160" w:before="320"/>
      </w:pPr>
      <w:r>
        <w:rPr>
          <w:rFonts w:ascii="Cambria" w:cs="Cambria" w:eastAsia="Cambria" w:hAnsi="Cambria"/>
          <w:b/>
          <w:bCs/>
          <w:color w:val="1E2761"/>
          <w:sz w:val="25"/>
          <w:szCs w:val="25"/>
        </w:rPr>
        <w:t xml:space="preserve">5.2 Justicia y equidad algorítmica</w:t>
      </w:r>
    </w:p>
    <w:p>
      <w:pPr>
        <w:spacing w:after="160" w:line="276"/>
        <w:jc w:val="both"/>
      </w:pPr>
      <w:r>
        <w:rPr>
          <w:rFonts w:ascii="Calibri" w:cs="Calibri" w:eastAsia="Calibri" w:hAnsi="Calibri"/>
          <w:color w:val="2B2B33"/>
          <w:sz w:val="22"/>
          <w:szCs w:val="22"/>
        </w:rPr>
        <w:t xml:space="preserve">La auditoría de algoritmos se ha convertido en un requisito ético y, en jurisdicciones avanzadas, en un requisito legal, orientado a eliminar sesgos discriminatorios en sistemas de inteligencia artificial. La equidad algorítmica exige que estos sistemas operen bajo principios de igualdad y justicia social, evitando que patrones históricos de discriminación —por razón de género, etnia, condición socioeconómica u origen— se reproduzcan o se amplifiquen mediante el aprendizaje automático.</w:t>
      </w:r>
    </w:p>
    <w:p>
      <w:pPr>
        <w:pStyle w:val="Heading2"/>
        <w:spacing w:after="160" w:before="320"/>
      </w:pPr>
      <w:r>
        <w:rPr>
          <w:rFonts w:ascii="Cambria" w:cs="Cambria" w:eastAsia="Cambria" w:hAnsi="Cambria"/>
          <w:b/>
          <w:bCs/>
          <w:color w:val="1E2761"/>
          <w:sz w:val="25"/>
          <w:szCs w:val="25"/>
        </w:rPr>
        <w:t xml:space="preserve">5.3 Propiedad intelectual en el entorno digital</w:t>
      </w:r>
    </w:p>
    <w:p>
      <w:pPr>
        <w:spacing w:after="160" w:line="276"/>
        <w:jc w:val="both"/>
      </w:pPr>
      <w:r>
        <w:rPr>
          <w:rFonts w:ascii="Calibri" w:cs="Calibri" w:eastAsia="Calibri" w:hAnsi="Calibri"/>
          <w:color w:val="2B2B33"/>
          <w:sz w:val="22"/>
          <w:szCs w:val="22"/>
        </w:rPr>
        <w:t xml:space="preserve">La protección legal de la autoría digital y de los activos intangibles debe equilibrarse con un entorno de libre circulación de información y de acceso al conocimiento. Este equilibrio se expresa jurídicamente en figuras como las licencias de uso abierto, las excepciones de uso justo (fair use) y los límites temporales de los derechos patrimoniales de autor, que buscan conciliar el incentivo a la creación con el interés público en el acceso a la cultura y a la información.</w:t>
      </w:r>
    </w:p>
    <w:p>
      <w:pPr>
        <w:pStyle w:val="Heading1"/>
        <w:pageBreakBefore/>
        <w:spacing w:after="240" w:before="480"/>
      </w:pPr>
      <w:r>
        <w:rPr>
          <w:rFonts w:ascii="Cambria" w:cs="Cambria" w:eastAsia="Cambria" w:hAnsi="Cambria"/>
          <w:b/>
          <w:bCs/>
          <w:color w:val="1E2761"/>
          <w:sz w:val="32"/>
          <w:szCs w:val="32"/>
        </w:rPr>
        <w:t xml:space="preserve">6. ESTRATEGIAS DE APRENDIZAJE: ANÁLISIS DE CASOS DE CIBERDERECHO</w:t>
      </w:r>
    </w:p>
    <w:p>
      <w:pPr>
        <w:spacing w:after="160" w:line="276"/>
        <w:jc w:val="both"/>
      </w:pPr>
      <w:r>
        <w:rPr>
          <w:rFonts w:ascii="Calibri" w:cs="Calibri" w:eastAsia="Calibri" w:hAnsi="Calibri"/>
          <w:color w:val="2B2B33"/>
          <w:sz w:val="22"/>
          <w:szCs w:val="22"/>
        </w:rPr>
        <w:t xml:space="preserve">La formación en Ciberderecho requiere una metodología pedagógica que trascienda la memorización normativa y desarrolle competencias de análisis crítico y de aplicación práctica del razonamiento jurídico-ético a situaciones reales.</w:t>
      </w:r>
    </w:p>
    <w:p>
      <w:pPr>
        <w:pStyle w:val="Heading3"/>
        <w:spacing w:after="120" w:before="220"/>
      </w:pPr>
      <w:r>
        <w:rPr>
          <w:rFonts w:ascii="Calibri" w:cs="Calibri" w:eastAsia="Calibri" w:hAnsi="Calibri"/>
          <w:b/>
          <w:bCs/>
          <w:caps/>
          <w:color w:val="00B4D8"/>
          <w:sz w:val="22"/>
          <w:szCs w:val="22"/>
        </w:rPr>
        <w:t xml:space="preserve">Aprendizaje Basado en Problemas (ABP)</w:t>
      </w:r>
    </w:p>
    <w:p>
      <w:pPr>
        <w:spacing w:after="160" w:line="276"/>
        <w:jc w:val="both"/>
      </w:pPr>
      <w:r>
        <w:rPr>
          <w:rFonts w:ascii="Calibri" w:cs="Calibri" w:eastAsia="Calibri" w:hAnsi="Calibri"/>
          <w:color w:val="2B2B33"/>
          <w:sz w:val="22"/>
          <w:szCs w:val="22"/>
        </w:rPr>
        <w:t xml:space="preserve">Metodología centrada en el estudiante, en la cual el conocimiento se adquiere a través de la resolución de situaciones reales de conflicto ético-legal. El estudiante no recibe la norma como un dato ya resuelto, sino que la reconstruye a partir del análisis del problema, lo que favorece una comprensión más profunda y duradera del marco regulatorio.</w:t>
      </w:r>
    </w:p>
    <w:p>
      <w:pPr>
        <w:pStyle w:val="Heading3"/>
        <w:spacing w:after="120" w:before="220"/>
      </w:pPr>
      <w:r>
        <w:rPr>
          <w:rFonts w:ascii="Calibri" w:cs="Calibri" w:eastAsia="Calibri" w:hAnsi="Calibri"/>
          <w:b/>
          <w:bCs/>
          <w:caps/>
          <w:color w:val="00B4D8"/>
          <w:sz w:val="22"/>
          <w:szCs w:val="22"/>
        </w:rPr>
        <w:t xml:space="preserve">Investigación de casos críticos</w:t>
      </w:r>
    </w:p>
    <w:p>
      <w:pPr>
        <w:spacing w:after="160" w:line="276"/>
        <w:jc w:val="both"/>
      </w:pPr>
      <w:r>
        <w:rPr>
          <w:rFonts w:ascii="Calibri" w:cs="Calibri" w:eastAsia="Calibri" w:hAnsi="Calibri"/>
          <w:color w:val="2B2B33"/>
          <w:sz w:val="22"/>
          <w:szCs w:val="22"/>
        </w:rPr>
        <w:t xml:space="preserve">Consiste en el análisis forense de dilemas morales en el entorno digital, evaluando el impacto de las decisiones tecnológicas —de empresas, gobiernos o individuos— en la convivencia social. Este ejercicio exige identificar los hechos relevantes, las normas aplicables, los principios éticos en tensión y las alternativas de solución disponibles.</w:t>
      </w:r>
    </w:p>
    <w:p>
      <w:pPr>
        <w:pStyle w:val="Heading3"/>
        <w:spacing w:after="120" w:before="220"/>
      </w:pPr>
      <w:r>
        <w:rPr>
          <w:rFonts w:ascii="Calibri" w:cs="Calibri" w:eastAsia="Calibri" w:hAnsi="Calibri"/>
          <w:b/>
          <w:bCs/>
          <w:caps/>
          <w:color w:val="00B4D8"/>
          <w:sz w:val="22"/>
          <w:szCs w:val="22"/>
        </w:rPr>
        <w:t xml:space="preserve">Formulación de propuestas normativas</w:t>
      </w:r>
    </w:p>
    <w:p>
      <w:pPr>
        <w:spacing w:after="160" w:line="276"/>
        <w:jc w:val="both"/>
      </w:pPr>
      <w:r>
        <w:rPr>
          <w:rFonts w:ascii="Calibri" w:cs="Calibri" w:eastAsia="Calibri" w:hAnsi="Calibri"/>
          <w:color w:val="2B2B33"/>
          <w:sz w:val="22"/>
          <w:szCs w:val="22"/>
        </w:rPr>
        <w:t xml:space="preserve">Desarrollo de marcos éticos y regulatorios propios, orientados a contrarrestar problemas de discriminación, acoso y vulneración de derechos en la red. Esta etapa traslada al estudiante del rol de analista al de proponente, exigiéndole formular soluciones normativas viables, proporcionales y jurídicamente fundamentadas.</w:t>
      </w:r>
    </w:p>
    <w:tbl>
      <w:tblPr>
        <w:tblW w:type="pct" w:w="100%"/>
        <w:tblBorders>
          <w:top w:val="none"/>
          <w:left w:val="none"/>
          <w:bottom w:val="none"/>
          <w:right w:val="none"/>
          <w:insideH w:val="none"/>
          <w:insideV w:val="none"/>
        </w:tblBorders>
      </w:tblPr>
      <w:tblGrid>
        <w:gridCol w:w="100"/>
      </w:tblGrid>
      <w:tr>
        <w:tc>
          <w:tcPr>
            <w:shd w:fill="1E2761" w:val="clear"/>
            <w:tcMar>
              <w:top w:type="dxa" w:w="260"/>
              <w:left w:type="dxa" w:w="360"/>
              <w:bottom w:type="dxa" w:w="260"/>
              <w:right w:type="dxa" w:w="360"/>
            </w:tcMar>
            <w:vAlign w:val="center"/>
          </w:tcPr>
          <w:p>
            <w:pPr>
              <w:spacing w:after="60"/>
            </w:pPr>
            <w:r>
              <w:rPr>
                <w:rFonts w:ascii="Calibri" w:cs="Calibri" w:eastAsia="Calibri" w:hAnsi="Calibri"/>
                <w:b/>
                <w:bCs/>
                <w:caps/>
                <w:color w:val="00B4D8"/>
                <w:spacing w:val="12"/>
                <w:sz w:val="17"/>
                <w:szCs w:val="17"/>
              </w:rPr>
              <w:t xml:space="preserve">Objetivo pedagógico</w:t>
            </w:r>
          </w:p>
          <w:p>
            <w:r>
              <w:rPr>
                <w:rFonts w:ascii="Cambria" w:cs="Cambria" w:eastAsia="Cambria" w:hAnsi="Cambria"/>
                <w:i/>
                <w:iCs/>
                <w:color w:val="FFFFFF"/>
                <w:sz w:val="24"/>
                <w:szCs w:val="24"/>
              </w:rPr>
              <w:t xml:space="preserve">Transformar la teoría ética en una praxis jurídica capaz de regular la complejidad del comportamiento humano en el ciberespacio.</w:t>
            </w:r>
          </w:p>
        </w:tc>
      </w:tr>
    </w:tbl>
    <w:p>
      <w:pPr>
        <w:pStyle w:val="Heading1"/>
        <w:pageBreakBefore/>
        <w:spacing w:after="240" w:before="480"/>
      </w:pPr>
      <w:r>
        <w:rPr>
          <w:rFonts w:ascii="Cambria" w:cs="Cambria" w:eastAsia="Cambria" w:hAnsi="Cambria"/>
          <w:b/>
          <w:bCs/>
          <w:color w:val="1E2761"/>
          <w:sz w:val="32"/>
          <w:szCs w:val="32"/>
        </w:rPr>
        <w:t xml:space="preserve">7. HERRAMIENTAS Y FUENTES PARA EL ESTUDIO DE LA CIBERÉTICA</w:t>
      </w:r>
    </w:p>
    <w:p>
      <w:pPr>
        <w:spacing w:after="160" w:line="276"/>
        <w:jc w:val="both"/>
      </w:pPr>
      <w:r>
        <w:rPr>
          <w:rFonts w:ascii="Calibri" w:cs="Calibri" w:eastAsia="Calibri" w:hAnsi="Calibri"/>
          <w:color w:val="2B2B33"/>
          <w:sz w:val="22"/>
          <w:szCs w:val="22"/>
        </w:rPr>
        <w:t xml:space="preserve">El estudio riguroso del Ciberderecho y de la ética digital requiere de un ecosistema de fuentes primarias y secundarias, así como de herramientas tecnológicas que permitan el análisis empírico de los fenómenos objeto de estudio.</w:t>
      </w:r>
    </w:p>
    <w:p>
      <w:pPr>
        <w:pStyle w:val="Heading2"/>
        <w:spacing w:after="160" w:before="320"/>
      </w:pPr>
      <w:r>
        <w:rPr>
          <w:rFonts w:ascii="Cambria" w:cs="Cambria" w:eastAsia="Cambria" w:hAnsi="Cambria"/>
          <w:b/>
          <w:bCs/>
          <w:color w:val="1E2761"/>
          <w:sz w:val="25"/>
          <w:szCs w:val="25"/>
        </w:rPr>
        <w:t xml:space="preserve">7.1 Corpus de lecturas críticas</w:t>
      </w:r>
    </w:p>
    <w:p>
      <w:pPr>
        <w:spacing w:after="160" w:line="276"/>
        <w:jc w:val="both"/>
      </w:pPr>
      <w:r>
        <w:rPr>
          <w:rFonts w:ascii="Calibri" w:cs="Calibri" w:eastAsia="Calibri" w:hAnsi="Calibri"/>
          <w:color w:val="2B2B33"/>
          <w:sz w:val="22"/>
          <w:szCs w:val="22"/>
        </w:rPr>
        <w:t xml:space="preserve">Comprende la selección de tratados sobre Ciberderecho y artículos de investigación que analizan la evolución de la privacidad en la jurisprudencia digital contemporánea. La doctrina especializada permite contrastar los principios generales con la interpretación que de ellos han hecho tribunales, autoridades de protección de datos y organismos internacionales.</w:t>
      </w:r>
    </w:p>
    <w:p>
      <w:pPr>
        <w:pStyle w:val="Heading2"/>
        <w:spacing w:after="160" w:before="320"/>
      </w:pPr>
      <w:r>
        <w:rPr>
          <w:rFonts w:ascii="Cambria" w:cs="Cambria" w:eastAsia="Cambria" w:hAnsi="Cambria"/>
          <w:b/>
          <w:bCs/>
          <w:color w:val="1E2761"/>
          <w:sz w:val="25"/>
          <w:szCs w:val="25"/>
        </w:rPr>
        <w:t xml:space="preserve">7.2 Archivo audiovisual</w:t>
      </w:r>
    </w:p>
    <w:p>
      <w:pPr>
        <w:spacing w:after="160" w:line="276"/>
        <w:jc w:val="both"/>
      </w:pPr>
      <w:r>
        <w:rPr>
          <w:rFonts w:ascii="Calibri" w:cs="Calibri" w:eastAsia="Calibri" w:hAnsi="Calibri"/>
          <w:color w:val="2B2B33"/>
          <w:sz w:val="22"/>
          <w:szCs w:val="22"/>
        </w:rPr>
        <w:t xml:space="preserve">Documentales y conferencias de especialistas en ciberseguridad que exponen casos reales de vulneración de derechos en el entorno de la red global constituyen un complemento didáctico valioso, al aproximar al estudiante a la dimensión humana y social de los incidentes analizados desde una perspectiva estrictamente técnica o normativa.</w:t>
      </w:r>
    </w:p>
    <w:p>
      <w:pPr>
        <w:pStyle w:val="Heading2"/>
        <w:spacing w:after="160" w:before="320"/>
      </w:pPr>
      <w:r>
        <w:rPr>
          <w:rFonts w:ascii="Cambria" w:cs="Cambria" w:eastAsia="Cambria" w:hAnsi="Cambria"/>
          <w:b/>
          <w:bCs/>
          <w:color w:val="1E2761"/>
          <w:sz w:val="25"/>
          <w:szCs w:val="25"/>
        </w:rPr>
        <w:t xml:space="preserve">7.3 Terminal de investigación</w:t>
      </w:r>
    </w:p>
    <w:p>
      <w:pPr>
        <w:spacing w:after="160" w:line="276"/>
        <w:jc w:val="both"/>
      </w:pPr>
      <w:r>
        <w:rPr>
          <w:rFonts w:ascii="Calibri" w:cs="Calibri" w:eastAsia="Calibri" w:hAnsi="Calibri"/>
          <w:color w:val="2B2B33"/>
          <w:sz w:val="22"/>
          <w:szCs w:val="22"/>
        </w:rPr>
        <w:t xml:space="preserve">El uso de la computadora personal como estación de trabajo para el análisis de datos, la investigación de casos y la formulación de propuestas normativas es hoy indispensable. Esta "terminal de investigación" incluye desde bases de datos jurídicas y buscadores académicos hasta herramientas de análisis forense digital utilizadas para reconstruir incidentes de seguridad con relevancia jurídica.</w:t>
      </w:r>
    </w:p>
    <w:p>
      <w:pPr>
        <w:pStyle w:val="Heading1"/>
        <w:pageBreakBefore/>
        <w:spacing w:after="240" w:before="480"/>
      </w:pPr>
      <w:r>
        <w:rPr>
          <w:rFonts w:ascii="Cambria" w:cs="Cambria" w:eastAsia="Cambria" w:hAnsi="Cambria"/>
          <w:b/>
          <w:bCs/>
          <w:color w:val="1E2761"/>
          <w:sz w:val="32"/>
          <w:szCs w:val="32"/>
        </w:rPr>
        <w:t xml:space="preserve">8. EVALUACIÓN DE COMPETENCIAS EN ÉTICA DIGITAL</w:t>
      </w:r>
    </w:p>
    <w:p>
      <w:pPr>
        <w:spacing w:after="160" w:line="276"/>
        <w:jc w:val="both"/>
      </w:pPr>
      <w:r>
        <w:rPr>
          <w:rFonts w:ascii="Calibri" w:cs="Calibri" w:eastAsia="Calibri" w:hAnsi="Calibri"/>
          <w:color w:val="2B2B33"/>
          <w:sz w:val="22"/>
          <w:szCs w:val="22"/>
        </w:rPr>
        <w:t xml:space="preserve">La evaluación de los aprendizajes en esta unidad se orienta a verificar competencias aplicadas, más allá del conocimiento declarativo de la norma, mediante tres instrumentos complementarios.</w:t>
      </w:r>
    </w:p>
    <w:tbl>
      <w:tblPr>
        <w:tblW w:type="pct" w:w="100%"/>
        <w:tblBorders>
          <w:top w:val="single" w:color="D8DEEA" w:sz="4"/>
          <w:left w:val="none"/>
          <w:bottom w:val="single" w:color="D8DEEA" w:sz="4"/>
          <w:right w:val="none"/>
          <w:insideH w:val="single" w:color="D8DEEA" w:sz="4"/>
          <w:insideV w:val="none"/>
        </w:tblBorders>
      </w:tblPr>
      <w:tblGrid>
        <w:gridCol w:w="3200"/>
        <w:gridCol w:w="6800"/>
      </w:tblGrid>
      <w:tr>
        <w:trPr>
          <w:tblHeader/>
        </w:trPr>
        <w:tc>
          <w:tcPr>
            <w:tcW w:type="pct" w:w="32%"/>
            <w:shd w:fill="1E2761" w:val="clear"/>
            <w:tcMar>
              <w:top w:type="dxa" w:w="120"/>
              <w:left w:type="dxa" w:w="160"/>
              <w:bottom w:type="dxa" w:w="120"/>
              <w:right w:type="dxa" w:w="160"/>
            </w:tcMar>
          </w:tcPr>
          <w:p>
            <w:r>
              <w:rPr>
                <w:rFonts w:ascii="Calibri" w:cs="Calibri" w:eastAsia="Calibri" w:hAnsi="Calibri"/>
                <w:b/>
                <w:bCs/>
                <w:color w:val="FFFFFF"/>
                <w:sz w:val="20"/>
                <w:szCs w:val="20"/>
              </w:rPr>
              <w:t xml:space="preserve">Principio</w:t>
            </w:r>
          </w:p>
        </w:tc>
        <w:tc>
          <w:tcPr>
            <w:tcW w:type="pct" w:w="68%"/>
            <w:shd w:fill="1E2761" w:val="clear"/>
            <w:tcMar>
              <w:top w:type="dxa" w:w="120"/>
              <w:left w:type="dxa" w:w="160"/>
              <w:bottom w:type="dxa" w:w="120"/>
              <w:right w:type="dxa" w:w="160"/>
            </w:tcMar>
          </w:tcPr>
          <w:p>
            <w:r>
              <w:rPr>
                <w:rFonts w:ascii="Calibri" w:cs="Calibri" w:eastAsia="Calibri" w:hAnsi="Calibri"/>
                <w:b/>
                <w:bCs/>
                <w:color w:val="FFFFFF"/>
                <w:sz w:val="20"/>
                <w:szCs w:val="20"/>
              </w:rPr>
              <w:t xml:space="preserve">Definición y alcance jurídico</w:t>
            </w:r>
          </w:p>
        </w:tc>
      </w:tr>
      <w:tr>
        <w:tc>
          <w:tcPr>
            <w:tcW w:type="pct" w:w="32%"/>
            <w:shd w:fill="F4F7FC" w:val="clear"/>
            <w:tcMar>
              <w:top w:type="dxa" w:w="140"/>
              <w:left w:type="dxa" w:w="160"/>
              <w:bottom w:type="dxa" w:w="140"/>
              <w:right w:type="dxa" w:w="160"/>
            </w:tcMar>
            <w:vAlign w:val="center"/>
          </w:tcPr>
          <w:p>
            <w:r>
              <w:rPr>
                <w:rFonts w:ascii="Calibri" w:cs="Calibri" w:eastAsia="Calibri" w:hAnsi="Calibri"/>
                <w:b/>
                <w:bCs/>
                <w:color w:val="1E2761"/>
                <w:sz w:val="20"/>
                <w:szCs w:val="20"/>
              </w:rPr>
              <w:t xml:space="preserve">Exposición de casos forenses</w:t>
            </w:r>
          </w:p>
        </w:tc>
        <w:tc>
          <w:tcPr>
            <w:tcW w:type="pct" w:w="68%"/>
            <w:shd w:fill="F4F7FC" w:val="clear"/>
            <w:tcMar>
              <w:top w:type="dxa" w:w="140"/>
              <w:left w:type="dxa" w:w="160"/>
              <w:bottom w:type="dxa" w:w="140"/>
              <w:right w:type="dxa" w:w="160"/>
            </w:tcMar>
          </w:tcPr>
          <w:p>
            <w:pPr>
              <w:jc w:val="both"/>
            </w:pPr>
            <w:r>
              <w:rPr>
                <w:rFonts w:ascii="Calibri" w:cs="Calibri" w:eastAsia="Calibri" w:hAnsi="Calibri"/>
                <w:color w:val="2B2B33"/>
                <w:sz w:val="20"/>
                <w:szCs w:val="20"/>
              </w:rPr>
              <w:t xml:space="preserve">Defensa de soluciones jurídicas y éticas ante dilemas reales de vulneración de privacidad y ciberseguridad en entornos corporativos, evaluando la capacidad argumentativa y la solidez técnico-jurídica de las propuestas presentadas.</w:t>
            </w:r>
          </w:p>
        </w:tc>
      </w:tr>
      <w:tr>
        <w:tc>
          <w:tcPr>
            <w:tcW w:type="pct" w:w="32%"/>
            <w:shd w:fill="FFFFFF" w:val="clear"/>
            <w:tcMar>
              <w:top w:type="dxa" w:w="140"/>
              <w:left w:type="dxa" w:w="160"/>
              <w:bottom w:type="dxa" w:w="140"/>
              <w:right w:type="dxa" w:w="160"/>
            </w:tcMar>
            <w:vAlign w:val="center"/>
          </w:tcPr>
          <w:p>
            <w:r>
              <w:rPr>
                <w:rFonts w:ascii="Calibri" w:cs="Calibri" w:eastAsia="Calibri" w:hAnsi="Calibri"/>
                <w:b/>
                <w:bCs/>
                <w:color w:val="1E2761"/>
                <w:sz w:val="20"/>
                <w:szCs w:val="20"/>
              </w:rPr>
              <w:t xml:space="preserve">Examen de certificación teórica</w:t>
            </w:r>
          </w:p>
        </w:tc>
        <w:tc>
          <w:tcPr>
            <w:tcW w:type="pct" w:w="68%"/>
            <w:shd w:fill="FFFFFF" w:val="clear"/>
            <w:tcMar>
              <w:top w:type="dxa" w:w="140"/>
              <w:left w:type="dxa" w:w="160"/>
              <w:bottom w:type="dxa" w:w="140"/>
              <w:right w:type="dxa" w:w="160"/>
            </w:tcMar>
          </w:tcPr>
          <w:p>
            <w:pPr>
              <w:jc w:val="both"/>
            </w:pPr>
            <w:r>
              <w:rPr>
                <w:rFonts w:ascii="Calibri" w:cs="Calibri" w:eastAsia="Calibri" w:hAnsi="Calibri"/>
                <w:color w:val="2B2B33"/>
                <w:sz w:val="20"/>
                <w:szCs w:val="20"/>
              </w:rPr>
              <w:t xml:space="preserve">Validación de conocimientos sobre marcos regulatorios globales, principios de ciberética y protocolos de protección de datos personales, asegurando una base conceptual sólida y actualizada.</w:t>
            </w:r>
          </w:p>
        </w:tc>
      </w:tr>
      <w:tr>
        <w:tc>
          <w:tcPr>
            <w:tcW w:type="pct" w:w="32%"/>
            <w:shd w:fill="F4F7FC" w:val="clear"/>
            <w:tcMar>
              <w:top w:type="dxa" w:w="140"/>
              <w:left w:type="dxa" w:w="160"/>
              <w:bottom w:type="dxa" w:w="140"/>
              <w:right w:type="dxa" w:w="160"/>
            </w:tcMar>
            <w:vAlign w:val="center"/>
          </w:tcPr>
          <w:p>
            <w:r>
              <w:rPr>
                <w:rFonts w:ascii="Calibri" w:cs="Calibri" w:eastAsia="Calibri" w:hAnsi="Calibri"/>
                <w:b/>
                <w:bCs/>
                <w:color w:val="1E2761"/>
                <w:sz w:val="20"/>
                <w:szCs w:val="20"/>
              </w:rPr>
              <w:t xml:space="preserve">Propuesta de impacto social</w:t>
            </w:r>
          </w:p>
        </w:tc>
        <w:tc>
          <w:tcPr>
            <w:tcW w:type="pct" w:w="68%"/>
            <w:shd w:fill="F4F7FC" w:val="clear"/>
            <w:tcMar>
              <w:top w:type="dxa" w:w="140"/>
              <w:left w:type="dxa" w:w="160"/>
              <w:bottom w:type="dxa" w:w="140"/>
              <w:right w:type="dxa" w:w="160"/>
            </w:tcMar>
          </w:tcPr>
          <w:p>
            <w:pPr>
              <w:jc w:val="both"/>
            </w:pPr>
            <w:r>
              <w:rPr>
                <w:rFonts w:ascii="Calibri" w:cs="Calibri" w:eastAsia="Calibri" w:hAnsi="Calibri"/>
                <w:color w:val="2B2B33"/>
                <w:sz w:val="20"/>
                <w:szCs w:val="20"/>
              </w:rPr>
              <w:t xml:space="preserve">Desarrollo de un marco normativo preventivo orientado a mejorar la convivencia y la seguridad jurídica en comunidades digitales específicas, con énfasis en la aplicabilidad práctica de la propuesta.</w:t>
            </w:r>
          </w:p>
        </w:tc>
      </w:tr>
    </w:tbl>
    <w:p>
      <w:pPr>
        <w:spacing w:after="160"/>
      </w:pPr>
    </w:p>
    <w:p>
      <w:pPr>
        <w:spacing w:after="160" w:line="276"/>
        <w:jc w:val="both"/>
      </w:pPr>
      <w:r>
        <w:rPr>
          <w:rFonts w:ascii="Calibri" w:cs="Calibri" w:eastAsia="Calibri" w:hAnsi="Calibri"/>
          <w:color w:val="2B2B33"/>
          <w:sz w:val="22"/>
          <w:szCs w:val="22"/>
        </w:rPr>
        <w:t xml:space="preserve">La competencia no se mide por la memorización de leyes, sino por la capacidad de aplicar la ética en la arquitectura del código social. Esta métrica final resume el enfoque pedagógico de toda la unidad: el dominio del Ciberderecho se demuestra en la capacidad de traducir principios abstractos en decisiones concretas, razonadas y socialmente responsables.</w:t>
      </w:r>
    </w:p>
    <w:p>
      <w:pPr>
        <w:pStyle w:val="Heading1"/>
        <w:pageBreakBefore/>
        <w:spacing w:after="240" w:before="480"/>
      </w:pPr>
      <w:r>
        <w:rPr>
          <w:rFonts w:ascii="Cambria" w:cs="Cambria" w:eastAsia="Cambria" w:hAnsi="Cambria"/>
          <w:b/>
          <w:bCs/>
          <w:color w:val="1E2761"/>
          <w:sz w:val="32"/>
          <w:szCs w:val="32"/>
        </w:rPr>
        <w:t xml:space="preserve">9. CONCLUSIONES: HACIA UN MARCO GLOBAL DE ÉTICA Y CIBERDERECHO</w:t>
      </w:r>
    </w:p>
    <w:p>
      <w:pPr>
        <w:spacing w:after="160" w:line="276"/>
        <w:jc w:val="both"/>
      </w:pPr>
      <w:r>
        <w:rPr>
          <w:rFonts w:ascii="Calibri" w:cs="Calibri" w:eastAsia="Calibri" w:hAnsi="Calibri"/>
          <w:color w:val="2B2B33"/>
          <w:sz w:val="22"/>
          <w:szCs w:val="22"/>
        </w:rPr>
        <w:t xml:space="preserve">La ética digital no es una opción técnica, sino una necesidad social imperativa en nuestra era hiperconectada. A lo largo de este informe se ha evidenciado que la regulación del ciberespacio no puede reducirse a la sola dimensión técnica de la seguridad informática, ni a la sola dimensión normativa del cumplimiento legal: requiere una integración constante entre principios éticos, arquitectura tecnológica y marcos jurídicos exigibles.</w:t>
      </w:r>
    </w:p>
    <w:p>
      <w:pPr>
        <w:spacing w:after="160" w:line="276"/>
        <w:jc w:val="both"/>
      </w:pPr>
      <w:r>
        <w:rPr>
          <w:rFonts w:ascii="Calibri" w:cs="Calibri" w:eastAsia="Calibri" w:hAnsi="Calibri"/>
          <w:color w:val="2B2B33"/>
          <w:sz w:val="22"/>
          <w:szCs w:val="22"/>
        </w:rPr>
        <w:t xml:space="preserve">La privacidad es el escudo fundamental que protege nuestra libertad y autonomía en el vasto mundo virtual. Su protección efectiva depende de la convergencia entre normas como la Ley 81 de 2019 en Panamá o el RGPD en la Unión Europea, y prácticas técnicas concretas —cifrado, minimización de datos, auditorías de seguridad— que doten de eficacia real a los derechos declarados.</w:t>
      </w:r>
    </w:p>
    <w:p>
      <w:pPr>
        <w:spacing w:after="160" w:line="276"/>
        <w:jc w:val="both"/>
      </w:pPr>
      <w:r>
        <w:rPr>
          <w:rFonts w:ascii="Calibri" w:cs="Calibri" w:eastAsia="Calibri" w:hAnsi="Calibri"/>
          <w:color w:val="2B2B33"/>
          <w:sz w:val="22"/>
          <w:szCs w:val="22"/>
        </w:rPr>
        <w:t xml:space="preserve">Cada acción digital cuenta: tenemos la responsabilidad de construir un entorno más justo, seguro y humano para todos. Esta responsabilidad es compartida entre los Estados, que deben legislar con visión de futuro y capacidad de adaptación tecnológica; las organizaciones, que deben operar bajo principios de transparencia y rendición de cuentas; y los individuos, cuya conducta cotidiana en la red determina, en última instancia, la calidad ética de la convivencia digital.</w:t>
      </w:r>
    </w:p>
    <w:tbl>
      <w:tblPr>
        <w:tblW w:type="pct" w:w="100%"/>
        <w:tblBorders>
          <w:top w:val="none"/>
          <w:left w:val="none"/>
          <w:bottom w:val="none"/>
          <w:right w:val="none"/>
          <w:insideH w:val="none"/>
          <w:insideV w:val="none"/>
        </w:tblBorders>
      </w:tblPr>
      <w:tblGrid>
        <w:gridCol w:w="100"/>
      </w:tblGrid>
      <w:tr>
        <w:tc>
          <w:tcPr>
            <w:shd w:fill="1E2761" w:val="clear"/>
            <w:tcMar>
              <w:top w:type="dxa" w:w="260"/>
              <w:left w:type="dxa" w:w="360"/>
              <w:bottom w:type="dxa" w:w="260"/>
              <w:right w:type="dxa" w:w="360"/>
            </w:tcMar>
            <w:vAlign w:val="center"/>
          </w:tcPr>
          <w:p>
            <w:pPr>
              <w:spacing w:after="60"/>
            </w:pPr>
            <w:r>
              <w:rPr>
                <w:rFonts w:ascii="Calibri" w:cs="Calibri" w:eastAsia="Calibri" w:hAnsi="Calibri"/>
                <w:b/>
                <w:bCs/>
                <w:caps/>
                <w:color w:val="00B4D8"/>
                <w:spacing w:val="12"/>
                <w:sz w:val="17"/>
                <w:szCs w:val="17"/>
              </w:rPr>
              <w:t xml:space="preserve">Reflexión final</w:t>
            </w:r>
          </w:p>
          <w:p>
            <w:r>
              <w:rPr>
                <w:rFonts w:ascii="Cambria" w:cs="Cambria" w:eastAsia="Cambria" w:hAnsi="Cambria"/>
                <w:i/>
                <w:iCs/>
                <w:color w:val="FFFFFF"/>
                <w:sz w:val="24"/>
                <w:szCs w:val="24"/>
              </w:rPr>
              <w:t xml:space="preserve">"La tecnología nos conecta, pero es la ética la que nos mantiene humanos en el entorno digital."</w:t>
            </w:r>
          </w:p>
        </w:tc>
      </w:tr>
    </w:tbl>
    <w:p>
      <w:pPr>
        <w:pStyle w:val="Heading1"/>
        <w:pageBreakBefore/>
        <w:spacing w:after="240" w:before="480"/>
      </w:pPr>
      <w:r>
        <w:rPr>
          <w:rFonts w:ascii="Cambria" w:cs="Cambria" w:eastAsia="Cambria" w:hAnsi="Cambria"/>
          <w:b/>
          <w:bCs/>
          <w:color w:val="1E2761"/>
          <w:sz w:val="32"/>
          <w:szCs w:val="32"/>
        </w:rPr>
        <w:t xml:space="preserve">REFERENCIAS</w:t>
      </w:r>
    </w:p>
    <w:p>
      <w:pPr>
        <w:spacing w:after="160" w:line="276"/>
        <w:jc w:val="both"/>
      </w:pPr>
      <w:r>
        <w:rPr>
          <w:rFonts w:ascii="Calibri" w:cs="Calibri" w:eastAsia="Calibri" w:hAnsi="Calibri"/>
          <w:color w:val="2B2B33"/>
          <w:sz w:val="22"/>
          <w:szCs w:val="22"/>
        </w:rPr>
        <w:t xml:space="preserve">Constitución Política de la República de Panamá (texto único, 2004, con reformas), artículo 29.</w:t>
      </w:r>
    </w:p>
    <w:p>
      <w:pPr>
        <w:spacing w:after="160" w:line="276"/>
        <w:jc w:val="both"/>
      </w:pPr>
      <w:r>
        <w:rPr>
          <w:rFonts w:ascii="Calibri" w:cs="Calibri" w:eastAsia="Calibri" w:hAnsi="Calibri"/>
          <w:color w:val="2B2B33"/>
          <w:sz w:val="22"/>
          <w:szCs w:val="22"/>
        </w:rPr>
        <w:t xml:space="preserve">Ley 81 de 29 de marzo de 2019, sobre Protección de Datos Personales de la República de Panamá, y su reglamentación mediante el Decreto Ejecutivo 285 de 2021.</w:t>
      </w:r>
    </w:p>
    <w:p>
      <w:pPr>
        <w:spacing w:after="160" w:line="276"/>
        <w:jc w:val="both"/>
      </w:pPr>
      <w:r>
        <w:rPr>
          <w:rFonts w:ascii="Calibri" w:cs="Calibri" w:eastAsia="Calibri" w:hAnsi="Calibri"/>
          <w:color w:val="2B2B33"/>
          <w:sz w:val="22"/>
          <w:szCs w:val="22"/>
        </w:rPr>
        <w:t xml:space="preserve">Ley 6 de 22 de enero de 2002, que dicta normas para la transparencia en la gestión pública y establece la acción de Habeas Data en Panamá.</w:t>
      </w:r>
    </w:p>
    <w:p>
      <w:pPr>
        <w:spacing w:after="160" w:line="276"/>
        <w:jc w:val="both"/>
      </w:pPr>
      <w:r>
        <w:rPr>
          <w:rFonts w:ascii="Calibri" w:cs="Calibri" w:eastAsia="Calibri" w:hAnsi="Calibri"/>
          <w:color w:val="2B2B33"/>
          <w:sz w:val="22"/>
          <w:szCs w:val="22"/>
        </w:rPr>
        <w:t xml:space="preserve">Parlamento Europeo y Consejo de la Unión Europea. Reglamento (UE) 2016/679, General de Protección de Datos (RGPD).</w:t>
      </w:r>
    </w:p>
    <w:p>
      <w:pPr>
        <w:spacing w:after="160" w:line="276"/>
        <w:jc w:val="both"/>
      </w:pPr>
      <w:r>
        <w:rPr>
          <w:rFonts w:ascii="Calibri" w:cs="Calibri" w:eastAsia="Calibri" w:hAnsi="Calibri"/>
          <w:color w:val="2B2B33"/>
          <w:sz w:val="22"/>
          <w:szCs w:val="22"/>
        </w:rPr>
        <w:t xml:space="preserve">Consejo de Europa. Convenio sobre la Ciberdelincuencia (Convenio de Budapest), 2001.</w:t>
      </w:r>
    </w:p>
    <w:p>
      <w:pPr>
        <w:spacing w:after="160" w:line="276"/>
        <w:jc w:val="both"/>
      </w:pPr>
      <w:r>
        <w:rPr>
          <w:rFonts w:ascii="Calibri" w:cs="Calibri" w:eastAsia="Calibri" w:hAnsi="Calibri"/>
          <w:color w:val="2B2B33"/>
          <w:sz w:val="22"/>
          <w:szCs w:val="22"/>
        </w:rPr>
        <w:t xml:space="preserve">Lessig, L. El Código y otras leyes del ciberespacio (Code and Other Laws of Cyberspace).</w:t>
      </w:r>
    </w:p>
    <w:p>
      <w:pPr>
        <w:spacing w:after="160" w:line="276"/>
        <w:jc w:val="both"/>
      </w:pPr>
      <w:r>
        <w:rPr>
          <w:rFonts w:ascii="Calibri" w:cs="Calibri" w:eastAsia="Calibri" w:hAnsi="Calibri"/>
          <w:color w:val="2B2B33"/>
          <w:sz w:val="22"/>
          <w:szCs w:val="22"/>
        </w:rPr>
        <w:t xml:space="preserve">Material de clase: presentación "Ciberderecho: Ética y Privacidad en la Era Digital", Unidad VIII, Marco Normativo, Principios y Desafíos Morales.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6"/>
        <w:szCs w:val="16"/>
      </w:rPr>
      <w:t xml:space="preserve">Página </w:t>
    </w:r>
    <w:r>
      <w:rPr>
        <w:rFonts w:ascii="Calibri" w:cs="Calibri" w:eastAsia="Calibri" w:hAnsi="Calibri"/>
        <w:color w:val="5B6472"/>
        <w:sz w:val="16"/>
        <w:szCs w:val="16"/>
      </w:rPr>
      <w:fldChar w:fldCharType="begin"/>
      <w:instrText xml:space="preserve">PAGE</w:instrText>
      <w:fldChar w:fldCharType="separate"/>
      <w:fldChar w:fldCharType="end"/>
    </w:r>
    <w:r>
      <w:rPr>
        <w:rFonts w:ascii="Calibri" w:cs="Calibri" w:eastAsia="Calibri" w:hAnsi="Calibri"/>
        <w:color w:val="5B6472"/>
        <w:sz w:val="16"/>
        <w:szCs w:val="16"/>
      </w:rPr>
      <w:t xml:space="preserve"> de </w:t>
    </w:r>
    <w:r>
      <w:rPr>
        <w:rFonts w:ascii="Calibri" w:cs="Calibri" w:eastAsia="Calibri" w:hAnsi="Calibri"/>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A" w:sz="4" w:space="4"/>
      </w:pBdr>
      <w:jc w:val="right"/>
    </w:pPr>
    <w:r>
      <w:rPr>
        <w:rFonts w:ascii="Calibri" w:cs="Calibri" w:eastAsia="Calibri" w:hAnsi="Calibri"/>
        <w:color w:val="5B6472"/>
        <w:spacing w:val="6"/>
        <w:sz w:val="14"/>
        <w:szCs w:val="14"/>
      </w:rPr>
      <w:t xml:space="preserve">CIBERDERECHO · ÉTICA Y PRIVACIDAD EN LA ERA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b/>
        <w:bCs/>
        <w:color w:val="00B4D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mbria" w:cs="Cambria" w:eastAsia="Cambria" w:hAnsi="Cambria"/>
      <w:b/>
      <w:bCs/>
      <w:color w:val="1E2761"/>
      <w:sz w:val="32"/>
      <w:szCs w:val="32"/>
    </w:rPr>
  </w:style>
  <w:style w:type="paragraph" w:styleId="Heading2">
    <w:name w:val="Heading 2"/>
    <w:basedOn w:val="Normal"/>
    <w:next w:val="Normal"/>
    <w:qFormat/>
    <w:pPr>
      <w:spacing w:after="160" w:before="320"/>
      <w:outlineLvl w:val="1"/>
    </w:pPr>
    <w:rPr>
      <w:rFonts w:ascii="Cambria" w:cs="Cambria" w:eastAsia="Cambria" w:hAnsi="Cambria"/>
      <w:b/>
      <w:bCs/>
      <w:color w:val="1E2761"/>
      <w:sz w:val="25"/>
      <w:szCs w:val="25"/>
    </w:rPr>
  </w:style>
  <w:style w:type="paragraph" w:styleId="Heading3">
    <w:name w:val="Heading 3"/>
    <w:basedOn w:val="Normal"/>
    <w:next w:val="Normal"/>
    <w:qFormat/>
    <w:pPr>
      <w:spacing w:after="120" w:before="220"/>
      <w:outlineLvl w:val="2"/>
    </w:pPr>
    <w:rPr>
      <w:rFonts w:ascii="Calibri" w:cs="Calibri" w:eastAsia="Calibri" w:hAnsi="Calibri"/>
      <w:b/>
      <w:bCs/>
      <w:color w:val="00B4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2026-07-03T07:23:06.607Z</dcterms:created>
  <dcterms:modified xsi:type="dcterms:W3CDTF">2026-07-03T07:23:06.619Z</dcterms:modified>
</cp:coreProperties>
</file>

<file path=docProps/custom.xml><?xml version="1.0" encoding="utf-8"?>
<Properties xmlns="http://schemas.openxmlformats.org/officeDocument/2006/custom-properties" xmlns:vt="http://schemas.openxmlformats.org/officeDocument/2006/docPropsVTypes"/>
</file>