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FC79" w14:textId="2A4581F1" w:rsidR="00F633D5" w:rsidRDefault="004E4FF8" w:rsidP="00A30A57">
      <w:pPr>
        <w:spacing w:line="276" w:lineRule="auto"/>
        <w:ind w:right="57"/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C307A9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A65545" w:rsidRPr="00C307A9">
        <w:rPr>
          <w:rFonts w:ascii="Cambria" w:eastAsia="Cambria" w:hAnsi="Cambria" w:cs="Calibri"/>
          <w:b/>
          <w:sz w:val="20"/>
          <w:szCs w:val="20"/>
          <w:lang w:val="es-ES"/>
        </w:rPr>
        <w:t xml:space="preserve"> </w:t>
      </w:r>
      <w:r w:rsidR="00D50758" w:rsidRPr="00C307A9">
        <w:rPr>
          <w:rFonts w:ascii="Cambria" w:eastAsia="Cambria" w:hAnsi="Cambria" w:cs="Calibri"/>
          <w:b/>
          <w:sz w:val="20"/>
          <w:szCs w:val="20"/>
          <w:lang w:val="es-ES"/>
        </w:rPr>
        <w:t>DE LA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/>
        </w:rPr>
        <w:t xml:space="preserve"> DIRECCIÓN DE GESTIÓN AMBIENTAL Y RECURSOS NATURALES DEL MINISTERIO DE AMBIENTE Y RECURSOS NATURALES. </w:t>
      </w:r>
      <w:r w:rsidR="00F633D5" w:rsidRPr="00D50758">
        <w:rPr>
          <w:rFonts w:ascii="Cambria" w:eastAsia="Cambria" w:hAnsi="Cambria" w:cs="Calibri"/>
          <w:sz w:val="20"/>
          <w:szCs w:val="20"/>
          <w:lang w:val="es-ES"/>
        </w:rPr>
        <w:t>Guatemala,</w:t>
      </w:r>
      <w:r w:rsidR="00F633D5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bookmarkStart w:id="0" w:name="FECHA_LETRAS"/>
      <w:r w:rsidR="00BE0BB0">
        <w:rPr>
          <w:rFonts w:ascii="Cambria" w:eastAsia="Cambria" w:hAnsi="Cambria" w:cs="Calibri"/>
          <w:sz w:val="20"/>
          <w:szCs w:val="20"/>
          <w:lang w:val="es-ES"/>
        </w:rPr>
        <w:t>{{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FECHA_LETRAS</w:t>
      </w:r>
      <w:r w:rsidR="00BE0BB0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}}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 xml:space="preserve"> </w:t>
      </w:r>
      <w:bookmarkEnd w:id="0"/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>---------------------------------------------------------------</w:t>
      </w:r>
    </w:p>
    <w:p w14:paraId="2C17F0EA" w14:textId="77777777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</w:pPr>
    </w:p>
    <w:p w14:paraId="018B8C3D" w14:textId="2458FF41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RESOLUCIÓN</w:t>
      </w:r>
      <w:r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 DE RECHAZO DE INGRESO</w:t>
      </w: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: </w:t>
      </w:r>
      <w:bookmarkStart w:id="1" w:name="NO_RESOLUCION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{{</w:t>
      </w:r>
      <w:r w:rsidR="00E402C4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NO_RESOLUCION</w:t>
      </w:r>
      <w:bookmarkEnd w:id="1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}}</w:t>
      </w:r>
    </w:p>
    <w:p w14:paraId="6F320242" w14:textId="77777777" w:rsidR="00F633D5" w:rsidRPr="00D50758" w:rsidRDefault="00F633D5" w:rsidP="00732CF8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671C0B41" w14:textId="5989AC58" w:rsidR="00EC1751" w:rsidRPr="00CC639F" w:rsidRDefault="00F633D5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>NUMERO DE EXPEDIENTE:</w:t>
      </w: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2" w:name="NO_EXPEDIENTE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NO_EXPEDIENTE</w:t>
      </w:r>
      <w:bookmarkEnd w:id="2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49D362C0" w14:textId="77777777" w:rsidR="00C7600B" w:rsidRPr="00E07F18" w:rsidRDefault="00C7600B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u w:val="single"/>
          <w:lang w:val="es-ES" w:eastAsia="es-GT"/>
        </w:rPr>
      </w:pPr>
    </w:p>
    <w:p w14:paraId="5B4FC25B" w14:textId="5043D587" w:rsidR="00C04EDA" w:rsidRDefault="00C04EDA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 xml:space="preserve">NOMBRE DEL </w:t>
      </w:r>
      <w:r w:rsidRPr="00C0472D">
        <w:rPr>
          <w:rFonts w:ascii="Cambria" w:eastAsia="Calibri" w:hAnsi="Cambria" w:cs="Calibri"/>
          <w:b/>
          <w:sz w:val="20"/>
          <w:szCs w:val="20"/>
          <w:lang w:val="es-ES" w:eastAsia="es-GT"/>
        </w:rPr>
        <w:t>PROYECTO:</w:t>
      </w:r>
      <w:r w:rsidRPr="00D50758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3" w:name="NOMBRE_PROYECTO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3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10B02888" w14:textId="77777777" w:rsidR="00EC1751" w:rsidRDefault="00EC1751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59AA276F" w14:textId="74D23330" w:rsidR="007374BE" w:rsidRDefault="007374BE" w:rsidP="007374BE">
      <w:pPr>
        <w:tabs>
          <w:tab w:val="right" w:leader="hyphen" w:pos="9923"/>
        </w:tabs>
        <w:spacing w:line="276" w:lineRule="auto"/>
        <w:ind w:right="197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bookmarkStart w:id="4" w:name="FECHA_PRESENTACION"/>
      <w:r w:rsidR="00BE0BB0"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</w:t>
      </w:r>
      <w:r w:rsidR="00E402C4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PRESENTACION</w:t>
      </w:r>
      <w:bookmarkEnd w:id="4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 compareció ante el Ministerio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5" w:name="NOMBRE_PROPONENTE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E07F18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NOMBRE_PROPONENTE</w:t>
      </w:r>
      <w:bookmarkEnd w:id="5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}}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>quien actúa en su calidad de</w:t>
      </w:r>
      <w:r w:rsidR="00BE0BB0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Start w:id="6" w:name="TITULAR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bookmarkEnd w:id="6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C0DF9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BE0BB0">
        <w:rPr>
          <w:rFonts w:ascii="Cambria" w:eastAsia="Cambria" w:hAnsi="Cambria" w:cstheme="minorHAnsi"/>
          <w:b/>
          <w:sz w:val="20"/>
          <w:szCs w:val="20"/>
          <w:lang w:val="es-GT"/>
        </w:rPr>
        <w:t>,</w:t>
      </w:r>
      <w:r w:rsidRPr="00E07F18">
        <w:rPr>
          <w:rFonts w:ascii="Cambria" w:eastAsia="Cambria" w:hAnsi="Cambria" w:cstheme="minorHAnsi"/>
          <w:b/>
          <w:sz w:val="20"/>
          <w:szCs w:val="20"/>
          <w:lang w:val="es-GT"/>
        </w:rPr>
        <w:t xml:space="preserve">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bookmarkStart w:id="7" w:name="TIPO_INSTRUMENTO"/>
      <w:r w:rsidR="00BE0BB0"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TIPO_INSTRUMENTO</w:t>
      </w:r>
      <w:bookmarkEnd w:id="7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del proyecto denominado </w:t>
      </w:r>
      <w:r w:rsidR="00E07F18">
        <w:rPr>
          <w:rFonts w:ascii="Cambria" w:eastAsia="Cambria" w:hAnsi="Cambria" w:cstheme="minorHAnsi"/>
          <w:sz w:val="20"/>
          <w:szCs w:val="20"/>
          <w:lang w:val="es-ES"/>
        </w:rPr>
        <w:t>“</w:t>
      </w:r>
      <w:bookmarkStart w:id="8" w:name="NOMBRE_PROYECTO_2"/>
      <w:r w:rsidR="00BE0BB0">
        <w:rPr>
          <w:rFonts w:ascii="Cambria" w:eastAsia="Cambria" w:hAnsi="Cambria" w:cstheme="minorHAnsi"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8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 xml:space="preserve">”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</w:t>
      </w:r>
      <w:r w:rsidRPr="00D32DC8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elaborado por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{{NOMBRE_EMPRESA}}</w:t>
      </w:r>
      <w:r w:rsidRPr="00CA4735"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 xml:space="preserve"> y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{{NUMERO_LICENCIA}}</w:t>
      </w:r>
      <w:r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contenido es responsabilidad </w:t>
      </w:r>
      <w:r w:rsidRPr="00E9077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conjunta de parte del proponente y empresa consultora con lo que se inicia el expediente identificado ut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supra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161C99ED" w14:textId="77777777" w:rsidR="007374BE" w:rsidRDefault="007374BE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7F73FF9C" w14:textId="439A6B8B" w:rsidR="00D50758" w:rsidRPr="005C0DF9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lang w:val="es-ES" w:eastAsia="es-ES"/>
        </w:rPr>
      </w:pPr>
      <w:r w:rsidRPr="00D50758"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  <w:t>CONSIDERANDO:</w:t>
      </w:r>
      <w:bookmarkStart w:id="9" w:name="_GoBack"/>
      <w:bookmarkEnd w:id="9"/>
    </w:p>
    <w:p w14:paraId="2021F783" w14:textId="77777777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52212F89" w14:textId="77777777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/>
        </w:rPr>
        <w:t>PRIMERO: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ntrol y Seguimiento Ambiental.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5E297787" w14:textId="77777777" w:rsidR="00A774DA" w:rsidRPr="00D50758" w:rsidRDefault="00A774DA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7DB714C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SEGUNDO: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>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adas con claridad y precisión.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8966918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D4A9A8D" w14:textId="368DE95F" w:rsidR="00D50758" w:rsidRPr="003769ED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TERCERO:</w:t>
      </w:r>
      <w:r w:rsidRPr="00D50758">
        <w:rPr>
          <w:rFonts w:ascii="Cambria" w:eastAsia="Calibri" w:hAnsi="Cambria" w:cs="Calibri"/>
          <w:b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el artículo </w:t>
      </w:r>
      <w:r w:rsidR="008258EC">
        <w:rPr>
          <w:rFonts w:ascii="Cambria" w:eastAsia="Calibri" w:hAnsi="Cambria" w:cs="Calibri"/>
          <w:bCs/>
          <w:sz w:val="20"/>
          <w:szCs w:val="20"/>
          <w:lang w:val="es-ES"/>
        </w:rPr>
        <w:t>8, 1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3, 14, 18, 21, 21 BIS, 22 </w:t>
      </w:r>
      <w:r w:rsidR="00620655">
        <w:rPr>
          <w:rFonts w:ascii="Cambria" w:eastAsia="Calibri" w:hAnsi="Cambria" w:cs="Calibri"/>
          <w:bCs/>
          <w:sz w:val="20"/>
          <w:szCs w:val="20"/>
          <w:lang w:val="es-ES"/>
        </w:rPr>
        <w:t>BIS, 22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 TER y 22 QUATER</w:t>
      </w:r>
      <w:r w:rsidR="00254BE5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>del Reglamento de Evaluación, Control y Seguimiento Ambiental, Acuerdo Gubernativo 137-</w:t>
      </w:r>
      <w:r w:rsidRPr="00F208E1">
        <w:rPr>
          <w:rFonts w:ascii="Cambria" w:eastAsia="Calibri" w:hAnsi="Cambria" w:cs="Calibri"/>
          <w:bCs/>
          <w:sz w:val="20"/>
          <w:szCs w:val="20"/>
          <w:lang w:val="es-ES"/>
        </w:rPr>
        <w:t>2016</w:t>
      </w:r>
      <w:r w:rsidR="001677DE" w:rsidRPr="00F208E1">
        <w:rPr>
          <w:rFonts w:ascii="Cambria" w:eastAsia="Calibri" w:hAnsi="Cambria" w:cs="Calibri"/>
          <w:bCs/>
          <w:sz w:val="20"/>
          <w:szCs w:val="20"/>
          <w:lang w:val="es-ES"/>
        </w:rPr>
        <w:t xml:space="preserve"> y sus Reformas,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de los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y documentos contenidos en los instrumentos ambientales, de la recepción y formación del expediente de instrumentos ambientales y 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las causales de la no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aceptació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n de los instrumentos ambientales y actividades de registr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o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.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2181573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</w:pPr>
    </w:p>
    <w:p w14:paraId="60FBAAED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CUARTO: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Que el artículo 11 del Reglamento Orgánico Interno del Ministerio de Ambiente y Recursos Naturales, Acuerdo Gubernativo 73-2021, establece las funciones de la Dirección de Gestión Ambiental y Recursos Naturales. </w:t>
      </w:r>
      <w:r w:rsidR="00A774DA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31D9313F" w14:textId="1287BC6D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4A92A899" w14:textId="26D8B889" w:rsidR="00732CF8" w:rsidRPr="00D50758" w:rsidRDefault="00732CF8" w:rsidP="00732CF8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QUINTO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la Dirección de Gestión Ambiental y Recursos Naturales, </w:t>
      </w:r>
      <w:bookmarkStart w:id="10" w:name="FECHA_PREVIO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FECHA_PREVIO</w:t>
      </w:r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 xml:space="preserve"> </w:t>
      </w:r>
      <w:bookmarkEnd w:id="10"/>
      <w:r>
        <w:rPr>
          <w:rFonts w:ascii="Cambria" w:eastAsia="Calibri" w:hAnsi="Cambria" w:cs="Calibri"/>
          <w:bCs/>
          <w:sz w:val="20"/>
          <w:szCs w:val="20"/>
          <w:lang w:val="es-ES"/>
        </w:rPr>
        <w:t>emitió la resolución de previo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 xml:space="preserve"> de requisitos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para aceptación del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del instrumento ambiental identificado </w:t>
      </w:r>
      <w:r w:rsidR="00C7600B"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>Ut Supra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, la cual fue notificada al 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>proponente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el día </w:t>
      </w:r>
      <w:bookmarkStart w:id="11" w:name="FECHA_NOTIFICACION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FECHA_NOTIFICACION</w:t>
      </w:r>
      <w:bookmarkEnd w:id="11"/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C5456CB" w14:textId="0A3CA6C9" w:rsidR="00732CF8" w:rsidRDefault="00732CF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6255461F" w14:textId="500E41F9" w:rsidR="00C7600B" w:rsidRDefault="000B15AC" w:rsidP="000B15AC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lastRenderedPageBreak/>
        <w:t>SEXTO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</w:t>
      </w:r>
      <w:r w:rsidR="00C7600B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proponente del </w:t>
      </w:r>
      <w:r w:rsidR="00946A8B" w:rsidRP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proyecto denominado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2" w:name="NOMBRE_PROYECTO_3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12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, incumplió con los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términos de referencia que establecen los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de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aceptación de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 instrumento ambiental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en el sentido de: 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r w:rsidR="00E07F18" w:rsidRPr="00635F6B">
        <w:rPr>
          <w:rFonts w:ascii="Cambria" w:eastAsia="Calibri" w:hAnsi="Cambria" w:cs="Calibri"/>
          <w:b/>
          <w:sz w:val="20"/>
          <w:szCs w:val="20"/>
          <w:highlight w:val="yellow"/>
          <w:lang w:val="es-ES"/>
        </w:rPr>
        <w:t>INCUMPLIMIENTOS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”.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B0BB15C" w14:textId="77777777" w:rsidR="00A30A57" w:rsidRDefault="00A30A57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4430DFB" w14:textId="7E436878" w:rsidR="00D50758" w:rsidRPr="00D50758" w:rsidRDefault="00D50758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POR TANTO:</w:t>
      </w:r>
    </w:p>
    <w:p w14:paraId="4B7C5D0E" w14:textId="77777777" w:rsidR="00D50758" w:rsidRPr="00D50758" w:rsidRDefault="00D50758" w:rsidP="00AE07AE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016C47E" w14:textId="2FB3E337" w:rsidR="00732CF8" w:rsidRDefault="001677DE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  <w:r w:rsidRPr="0058507A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B129FE" w:rsidRPr="0058507A">
        <w:rPr>
          <w:rFonts w:ascii="Cambria" w:eastAsia="Cambria" w:hAnsi="Cambria" w:cs="Calibri"/>
          <w:b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 w:eastAsia="es-ES"/>
        </w:rPr>
        <w:t>DE LA DIRECCIÓN DE GESTIÓN AMBIENTAL Y RECURSOS NATURALES DEL MINISTERIO DE AMBIENTE Y RECURSOS NATURALES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, con base en lo considerado y con fundamento en lo establecido en los artículos citados y artículos 12, 28, 64 y 97 de la Constitución Política de la República de Guatemala; 8, 9, 10, 11 y 12 de la Ley de Protección y Mejoramiento del Medio Ambiente, 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11, 12, </w:t>
      </w:r>
      <w:r w:rsidR="00417569">
        <w:rPr>
          <w:rFonts w:ascii="Cambria" w:eastAsia="Cambria" w:hAnsi="Cambria" w:cs="Calibri"/>
          <w:sz w:val="20"/>
          <w:szCs w:val="20"/>
          <w:lang w:val="es-ES" w:eastAsia="es-ES"/>
        </w:rPr>
        <w:t>13, 14, 15, 19,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21 TER, 22 BIS, 22TER, 22 QUATER, 36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43, 44, 45, 46,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60 BIS, 62,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8D12FB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3769ED">
        <w:rPr>
          <w:rFonts w:ascii="Cambria" w:eastAsia="Cambria" w:hAnsi="Cambria" w:cs="Calibri"/>
          <w:sz w:val="20"/>
          <w:szCs w:val="20"/>
          <w:lang w:val="es-ES" w:eastAsia="es-ES"/>
        </w:rPr>
        <w:t>72</w:t>
      </w:r>
      <w:r w:rsidR="003769ED" w:rsidRPr="003769ED">
        <w:rPr>
          <w:rFonts w:ascii="Cambria" w:eastAsia="Cambria" w:hAnsi="Cambria" w:cs="Calibri"/>
          <w:sz w:val="20"/>
          <w:szCs w:val="20"/>
          <w:lang w:val="es-ES" w:eastAsia="es-ES"/>
        </w:rPr>
        <w:t>, 82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 xml:space="preserve">123, 125, 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del Reglamento de Evaluación, Control y Seguimiento Ambiental, Acuerdo Gu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bernativo 137-2016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y sus reformas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.</w:t>
      </w:r>
      <w:r w:rsidR="00F06B03">
        <w:rPr>
          <w:rFonts w:ascii="Cambria" w:eastAsia="Cambria" w:hAnsi="Cambria" w:cs="Calibri"/>
          <w:sz w:val="20"/>
          <w:szCs w:val="20"/>
          <w:lang w:val="es-ES" w:eastAsia="es-ES"/>
        </w:rPr>
        <w:tab/>
      </w:r>
    </w:p>
    <w:p w14:paraId="3ABBAC6E" w14:textId="77777777" w:rsidR="00732CF8" w:rsidRDefault="00732CF8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</w:p>
    <w:p w14:paraId="0A2127F3" w14:textId="3506465B" w:rsidR="00732CF8" w:rsidRDefault="00D5075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732CF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RESUELVE:</w:t>
      </w:r>
    </w:p>
    <w:p w14:paraId="4CC5E9EC" w14:textId="77777777" w:rsidR="00732CF8" w:rsidRPr="00732CF8" w:rsidRDefault="00732CF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DA79AD1" w14:textId="45D48029" w:rsidR="00A30A57" w:rsidRPr="00AE2A46" w:rsidRDefault="00A30A57" w:rsidP="00F73D76">
      <w:pPr>
        <w:pStyle w:val="Prrafodelista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libri" w:hAnsi="Cambria" w:cs="Calibri"/>
          <w:b/>
          <w:sz w:val="20"/>
          <w:szCs w:val="20"/>
          <w:lang w:val="es-ES"/>
        </w:rPr>
        <w:t xml:space="preserve">Rechazar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la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 Aceptación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Ingreso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Instrumento Ambiental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Proyecto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>enominado</w:t>
      </w:r>
      <w:r>
        <w:rPr>
          <w:rFonts w:ascii="Cambria" w:eastAsia="Calibri" w:hAnsi="Cambria" w:cs="Calibri"/>
          <w:b/>
          <w:sz w:val="20"/>
          <w:szCs w:val="20"/>
          <w:lang w:val="es-ES"/>
        </w:rPr>
        <w:t xml:space="preserve">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3" w:name="NOMBRE_PROYECTO_4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NOMBRE_PROYECTO</w:t>
      </w:r>
      <w:bookmarkEnd w:id="13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>
        <w:rPr>
          <w:rFonts w:ascii="Cambria" w:hAnsi="Cambria" w:cs="Calibri"/>
          <w:b/>
          <w:bCs/>
          <w:sz w:val="20"/>
          <w:szCs w:val="20"/>
          <w:lang w:val="es-ES"/>
        </w:rPr>
        <w:t xml:space="preserve">, </w:t>
      </w:r>
      <w:r>
        <w:rPr>
          <w:rFonts w:ascii="Cambria" w:hAnsi="Cambria" w:cs="Calibri"/>
          <w:sz w:val="20"/>
          <w:szCs w:val="20"/>
          <w:lang w:val="es-ES"/>
        </w:rPr>
        <w:t>por incumplimiento de términos de referencia a los requisitos de ingreso de instrumentos ambientales.</w:t>
      </w:r>
      <w:r>
        <w:rPr>
          <w:rFonts w:ascii="Cambria" w:hAnsi="Cambria" w:cs="Calibri"/>
          <w:sz w:val="20"/>
          <w:szCs w:val="20"/>
          <w:lang w:val="es-ES"/>
        </w:rPr>
        <w:tab/>
      </w:r>
    </w:p>
    <w:p w14:paraId="2BEBFDEB" w14:textId="3D3E37EE" w:rsidR="00AE2A46" w:rsidRPr="00A30A57" w:rsidRDefault="00AE2A46" w:rsidP="00F73D76">
      <w:pPr>
        <w:pStyle w:val="Prrafodelista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E2A46">
        <w:rPr>
          <w:rFonts w:ascii="Cambria" w:eastAsia="Cambria" w:hAnsi="Cambria" w:cs="Calibri"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 y del consultor o equipo consultor que lo asesora; y al Dictamen Técnico emitido por el Asesor Ambiental de este Ministerio.</w:t>
      </w:r>
    </w:p>
    <w:p w14:paraId="703925BA" w14:textId="2408B8D5" w:rsidR="00D50758" w:rsidRPr="00A30A57" w:rsidRDefault="00D50758" w:rsidP="00F73D76">
      <w:pPr>
        <w:pStyle w:val="Prrafodelista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mbria" w:hAnsi="Cambria" w:cs="Calibri"/>
          <w:b/>
          <w:sz w:val="20"/>
          <w:szCs w:val="20"/>
          <w:lang w:val="es-ES"/>
        </w:rPr>
        <w:t>NOTIFÍQUESE.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ab/>
      </w:r>
    </w:p>
    <w:p w14:paraId="5B694A1A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14CB942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276C15CF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88D7159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65426AA7" w14:textId="739E0064" w:rsidR="00CA6467" w:rsidRPr="00231042" w:rsidRDefault="000D5A66" w:rsidP="00AE07AE">
      <w:pPr>
        <w:tabs>
          <w:tab w:val="left" w:leader="hyphen" w:pos="8789"/>
        </w:tabs>
        <w:jc w:val="both"/>
        <w:rPr>
          <w:rFonts w:cs="Arial"/>
          <w:sz w:val="20"/>
          <w:szCs w:val="20"/>
          <w:lang w:val="es-GT" w:eastAsia="es-GT"/>
        </w:rPr>
      </w:pPr>
      <w:bookmarkStart w:id="14" w:name="QR"/>
      <w:r>
        <w:rPr>
          <w:rFonts w:cs="Arial"/>
          <w:sz w:val="20"/>
          <w:szCs w:val="20"/>
          <w:lang w:val="es-GT" w:eastAsia="es-GT"/>
        </w:rPr>
        <w:t>QR</w:t>
      </w:r>
      <w:bookmarkEnd w:id="14"/>
    </w:p>
    <w:sectPr w:rsidR="00CA6467" w:rsidRPr="00231042" w:rsidSect="007740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516" w:right="1701" w:bottom="1418" w:left="1701" w:header="567" w:footer="964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48DC99" w16cex:dateUtc="2024-07-22T19:26:00Z"/>
  <w16cex:commentExtensible w16cex:durableId="2A48DD26" w16cex:dateUtc="2024-07-22T19:2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0D3B7" w14:textId="77777777" w:rsidR="008E2301" w:rsidRDefault="008E2301" w:rsidP="00847007">
      <w:r>
        <w:separator/>
      </w:r>
    </w:p>
  </w:endnote>
  <w:endnote w:type="continuationSeparator" w:id="0">
    <w:p w14:paraId="030393C3" w14:textId="77777777" w:rsidR="008E2301" w:rsidRDefault="008E2301" w:rsidP="0084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113007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660745738"/>
          <w:docPartObj>
            <w:docPartGallery w:val="Page Numbers (Top of Page)"/>
            <w:docPartUnique/>
          </w:docPartObj>
        </w:sdtPr>
        <w:sdtEndPr/>
        <w:sdtContent>
          <w:p w14:paraId="67C1C3E4" w14:textId="77777777" w:rsidR="00F64CE6" w:rsidRPr="004E4FF8" w:rsidRDefault="00F64CE6" w:rsidP="0038713B">
            <w:pPr>
              <w:pStyle w:val="Piedepgina"/>
              <w:rPr>
                <w:sz w:val="16"/>
                <w:szCs w:val="16"/>
              </w:rPr>
            </w:pPr>
          </w:p>
          <w:p w14:paraId="0F84F2F9" w14:textId="77777777" w:rsidR="00D50758" w:rsidRPr="004E4FF8" w:rsidRDefault="00D50758" w:rsidP="00D50758">
            <w:pPr>
              <w:tabs>
                <w:tab w:val="center" w:pos="4419"/>
                <w:tab w:val="right" w:pos="8838"/>
              </w:tabs>
              <w:jc w:val="center"/>
              <w:rPr>
                <w:rFonts w:ascii="Cambria" w:eastAsia="Calibri" w:hAnsi="Cambria" w:cs="Times New Roman"/>
                <w:b/>
                <w:sz w:val="16"/>
                <w:szCs w:val="16"/>
              </w:rPr>
            </w:pP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Página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PAGE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 de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NUMPAGES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</w:p>
          <w:p w14:paraId="7A69F892" w14:textId="26E17D64" w:rsidR="00F64CE6" w:rsidRPr="004E4FF8" w:rsidRDefault="004E4FF8" w:rsidP="004E4FF8">
            <w:pPr>
              <w:tabs>
                <w:tab w:val="left" w:pos="284"/>
              </w:tabs>
              <w:spacing w:line="276" w:lineRule="auto"/>
              <w:ind w:right="582"/>
              <w:jc w:val="center"/>
              <w:rPr>
                <w:rFonts w:ascii="Cambria" w:eastAsia="Calibri" w:hAnsi="Cambria" w:cs="Calibri"/>
                <w:b/>
                <w:sz w:val="16"/>
                <w:szCs w:val="16"/>
                <w:lang w:val="es-ES" w:eastAsia="es-GT"/>
              </w:rPr>
            </w:pPr>
            <w:r w:rsidRPr="004E4FF8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 xml:space="preserve">RESOLUCIÓN: </w:t>
            </w:r>
            <w:bookmarkStart w:id="15" w:name="NO_RESOLUCION_2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>{{</w:t>
            </w:r>
            <w:r w:rsidR="001074B9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NO_RESOLUCION</w:t>
            </w:r>
            <w:bookmarkEnd w:id="15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}}</w:t>
            </w:r>
          </w:p>
        </w:sdtContent>
      </w:sdt>
    </w:sdtContent>
  </w:sdt>
  <w:p w14:paraId="4E71E922" w14:textId="524D949E" w:rsidR="00F64CE6" w:rsidRPr="00E33BCD" w:rsidRDefault="00D4499E" w:rsidP="001074B9">
    <w:pPr>
      <w:pStyle w:val="Piedepgina"/>
      <w:tabs>
        <w:tab w:val="clear" w:pos="8838"/>
        <w:tab w:val="left" w:pos="6975"/>
      </w:tabs>
      <w:rPr>
        <w:b/>
        <w:sz w:val="16"/>
        <w:szCs w:val="16"/>
      </w:rPr>
    </w:pPr>
    <w:r>
      <w:rPr>
        <w:b/>
        <w:noProof/>
        <w:sz w:val="16"/>
        <w:szCs w:val="16"/>
        <w:lang w:eastAsia="es-GT"/>
      </w:rPr>
      <w:ptab w:relativeTo="indent" w:alignment="center" w:leader="none"/>
    </w:r>
    <w:r w:rsidR="001074B9">
      <w:rPr>
        <w:b/>
        <w:noProof/>
        <w:sz w:val="16"/>
        <w:szCs w:val="16"/>
        <w:lang w:eastAsia="es-G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ADB3B" w14:textId="77777777" w:rsidR="008E2301" w:rsidRDefault="008E2301" w:rsidP="00847007">
      <w:r>
        <w:separator/>
      </w:r>
    </w:p>
  </w:footnote>
  <w:footnote w:type="continuationSeparator" w:id="0">
    <w:p w14:paraId="3B6C9C70" w14:textId="77777777" w:rsidR="008E2301" w:rsidRDefault="008E2301" w:rsidP="0084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FF354" w14:textId="77777777" w:rsidR="00F64CE6" w:rsidRDefault="008E2301">
    <w:pPr>
      <w:pStyle w:val="Encabezado"/>
    </w:pPr>
    <w:r>
      <w:rPr>
        <w:noProof/>
        <w:lang w:eastAsia="es-GT"/>
      </w:rPr>
      <w:pict w14:anchorId="0B9D8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3" o:spid="_x0000_s2050" type="#_x0000_t75" style="position:absolute;margin-left:0;margin-top:0;width:622.6pt;height:427.55pt;z-index:-251656192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503F" w14:textId="77777777" w:rsidR="00F64CE6" w:rsidRDefault="00F73D76" w:rsidP="009F519C">
    <w:pPr>
      <w:pStyle w:val="Encabezado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4B33A66" wp14:editId="17E89FF7">
          <wp:simplePos x="0" y="0"/>
          <wp:positionH relativeFrom="page">
            <wp:align>left</wp:align>
          </wp:positionH>
          <wp:positionV relativeFrom="paragraph">
            <wp:posOffset>-359967</wp:posOffset>
          </wp:positionV>
          <wp:extent cx="7797165" cy="102616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165" cy="102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31610" w14:textId="77777777" w:rsidR="00F64CE6" w:rsidRDefault="008E2301">
    <w:pPr>
      <w:pStyle w:val="Encabezado"/>
    </w:pPr>
    <w:r>
      <w:rPr>
        <w:noProof/>
        <w:lang w:eastAsia="es-GT"/>
      </w:rPr>
      <w:pict w14:anchorId="16BC6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2" o:spid="_x0000_s2049" type="#_x0000_t75" style="position:absolute;margin-left:0;margin-top:0;width:622.6pt;height:427.55pt;z-index:-251657216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48BA"/>
    <w:multiLevelType w:val="hybridMultilevel"/>
    <w:tmpl w:val="E44CDAB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121"/>
    <w:multiLevelType w:val="hybridMultilevel"/>
    <w:tmpl w:val="ADCC0BF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7020"/>
    <w:multiLevelType w:val="hybridMultilevel"/>
    <w:tmpl w:val="81868818"/>
    <w:lvl w:ilvl="0" w:tplc="9AA0946C">
      <w:start w:val="1"/>
      <w:numFmt w:val="upperRoman"/>
      <w:lvlText w:val="%1."/>
      <w:lvlJc w:val="right"/>
      <w:pPr>
        <w:tabs>
          <w:tab w:val="num" w:pos="4292"/>
        </w:tabs>
        <w:ind w:left="4292" w:hanging="180"/>
      </w:pPr>
      <w:rPr>
        <w:rFonts w:hint="default"/>
        <w:b w:val="0"/>
        <w:i w:val="0"/>
        <w:color w:val="auto"/>
        <w:sz w:val="18"/>
        <w:lang w:val="es-ES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A2165"/>
    <w:multiLevelType w:val="hybridMultilevel"/>
    <w:tmpl w:val="1BFE2FB6"/>
    <w:lvl w:ilvl="0" w:tplc="98DEF446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B8"/>
    <w:rsid w:val="000143F1"/>
    <w:rsid w:val="00017E83"/>
    <w:rsid w:val="000365D4"/>
    <w:rsid w:val="000926FB"/>
    <w:rsid w:val="000B15AC"/>
    <w:rsid w:val="000C393B"/>
    <w:rsid w:val="000D183F"/>
    <w:rsid w:val="000D5A66"/>
    <w:rsid w:val="001074B9"/>
    <w:rsid w:val="00111406"/>
    <w:rsid w:val="0015574D"/>
    <w:rsid w:val="001677DE"/>
    <w:rsid w:val="001C5E1F"/>
    <w:rsid w:val="001F1318"/>
    <w:rsid w:val="002223AB"/>
    <w:rsid w:val="00231042"/>
    <w:rsid w:val="00254BE5"/>
    <w:rsid w:val="0026453D"/>
    <w:rsid w:val="00280496"/>
    <w:rsid w:val="00281AC4"/>
    <w:rsid w:val="002B549A"/>
    <w:rsid w:val="002C5D82"/>
    <w:rsid w:val="002C7FA7"/>
    <w:rsid w:val="00324A44"/>
    <w:rsid w:val="003256CE"/>
    <w:rsid w:val="003378F2"/>
    <w:rsid w:val="003769ED"/>
    <w:rsid w:val="003A63B8"/>
    <w:rsid w:val="003B2F37"/>
    <w:rsid w:val="003C4D21"/>
    <w:rsid w:val="003D0947"/>
    <w:rsid w:val="003F065F"/>
    <w:rsid w:val="00415E38"/>
    <w:rsid w:val="00417569"/>
    <w:rsid w:val="00492BBF"/>
    <w:rsid w:val="004B4C48"/>
    <w:rsid w:val="004C0AC9"/>
    <w:rsid w:val="004C21F2"/>
    <w:rsid w:val="004D1BF2"/>
    <w:rsid w:val="004E3F0F"/>
    <w:rsid w:val="004E4FF8"/>
    <w:rsid w:val="005011B4"/>
    <w:rsid w:val="0052028A"/>
    <w:rsid w:val="00525D59"/>
    <w:rsid w:val="00533124"/>
    <w:rsid w:val="005356FE"/>
    <w:rsid w:val="00573266"/>
    <w:rsid w:val="00574411"/>
    <w:rsid w:val="0058507A"/>
    <w:rsid w:val="005B363B"/>
    <w:rsid w:val="005C0DF9"/>
    <w:rsid w:val="00620655"/>
    <w:rsid w:val="00620B67"/>
    <w:rsid w:val="00635E3F"/>
    <w:rsid w:val="00635F6B"/>
    <w:rsid w:val="00645420"/>
    <w:rsid w:val="006B1997"/>
    <w:rsid w:val="006D721F"/>
    <w:rsid w:val="006F0579"/>
    <w:rsid w:val="00732CF8"/>
    <w:rsid w:val="007335B8"/>
    <w:rsid w:val="00734948"/>
    <w:rsid w:val="007374BE"/>
    <w:rsid w:val="00741C90"/>
    <w:rsid w:val="00774097"/>
    <w:rsid w:val="0077530B"/>
    <w:rsid w:val="007D67A3"/>
    <w:rsid w:val="007F4503"/>
    <w:rsid w:val="008127B3"/>
    <w:rsid w:val="00822DAB"/>
    <w:rsid w:val="008258EC"/>
    <w:rsid w:val="00847007"/>
    <w:rsid w:val="00874A85"/>
    <w:rsid w:val="008A2FC2"/>
    <w:rsid w:val="008A3491"/>
    <w:rsid w:val="008D12FB"/>
    <w:rsid w:val="008E2301"/>
    <w:rsid w:val="00946A8B"/>
    <w:rsid w:val="00973B80"/>
    <w:rsid w:val="009921E1"/>
    <w:rsid w:val="009930DD"/>
    <w:rsid w:val="009A14CA"/>
    <w:rsid w:val="009B31B2"/>
    <w:rsid w:val="00A30A57"/>
    <w:rsid w:val="00A65545"/>
    <w:rsid w:val="00A774DA"/>
    <w:rsid w:val="00AC6404"/>
    <w:rsid w:val="00AE07AE"/>
    <w:rsid w:val="00AE2A46"/>
    <w:rsid w:val="00B108E8"/>
    <w:rsid w:val="00B119FA"/>
    <w:rsid w:val="00B129FE"/>
    <w:rsid w:val="00B41BF1"/>
    <w:rsid w:val="00B80B9F"/>
    <w:rsid w:val="00B8312B"/>
    <w:rsid w:val="00B8577C"/>
    <w:rsid w:val="00BE0BB0"/>
    <w:rsid w:val="00BF0453"/>
    <w:rsid w:val="00C0472D"/>
    <w:rsid w:val="00C04EDA"/>
    <w:rsid w:val="00C2143F"/>
    <w:rsid w:val="00C307A9"/>
    <w:rsid w:val="00C47BB0"/>
    <w:rsid w:val="00C71DEF"/>
    <w:rsid w:val="00C7600B"/>
    <w:rsid w:val="00C9204C"/>
    <w:rsid w:val="00CA4735"/>
    <w:rsid w:val="00CA4EBD"/>
    <w:rsid w:val="00CA6467"/>
    <w:rsid w:val="00CC157E"/>
    <w:rsid w:val="00CC639F"/>
    <w:rsid w:val="00CD602D"/>
    <w:rsid w:val="00CE77EF"/>
    <w:rsid w:val="00D30D33"/>
    <w:rsid w:val="00D4499E"/>
    <w:rsid w:val="00D50758"/>
    <w:rsid w:val="00D56585"/>
    <w:rsid w:val="00D642A9"/>
    <w:rsid w:val="00D8056D"/>
    <w:rsid w:val="00D85AE4"/>
    <w:rsid w:val="00E07F18"/>
    <w:rsid w:val="00E16E89"/>
    <w:rsid w:val="00E17EEA"/>
    <w:rsid w:val="00E402C4"/>
    <w:rsid w:val="00E52A51"/>
    <w:rsid w:val="00EC1751"/>
    <w:rsid w:val="00EF69CE"/>
    <w:rsid w:val="00F06B03"/>
    <w:rsid w:val="00F208E1"/>
    <w:rsid w:val="00F3284E"/>
    <w:rsid w:val="00F34F67"/>
    <w:rsid w:val="00F4038B"/>
    <w:rsid w:val="00F633D5"/>
    <w:rsid w:val="00F64CE6"/>
    <w:rsid w:val="00F73D76"/>
    <w:rsid w:val="00FB7C63"/>
    <w:rsid w:val="00FC5F1E"/>
    <w:rsid w:val="00FD30E0"/>
    <w:rsid w:val="00FE0A52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DF15144"/>
  <w15:docId w15:val="{8F0A842D-3B67-43E4-8F04-BA0AE2DB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3B8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A63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63B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A63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3B8"/>
    <w:rPr>
      <w:sz w:val="24"/>
      <w:szCs w:val="24"/>
      <w:lang w:val="es-ES_tradnl"/>
    </w:rPr>
  </w:style>
  <w:style w:type="character" w:styleId="Textoennegrita">
    <w:name w:val="Strong"/>
    <w:basedOn w:val="Fuentedeprrafopredeter"/>
    <w:uiPriority w:val="22"/>
    <w:qFormat/>
    <w:rsid w:val="003A63B8"/>
    <w:rPr>
      <w:b/>
      <w:bCs/>
    </w:rPr>
  </w:style>
  <w:style w:type="paragraph" w:styleId="Sinespaciado">
    <w:name w:val="No Spacing"/>
    <w:link w:val="SinespaciadoCar"/>
    <w:uiPriority w:val="1"/>
    <w:qFormat/>
    <w:rsid w:val="003A63B8"/>
    <w:pPr>
      <w:spacing w:after="0" w:line="240" w:lineRule="auto"/>
    </w:pPr>
    <w:rPr>
      <w:sz w:val="24"/>
      <w:szCs w:val="24"/>
      <w:lang w:val="en-US"/>
    </w:rPr>
  </w:style>
  <w:style w:type="character" w:customStyle="1" w:styleId="SinespaciadoCar">
    <w:name w:val="Sin espaciado Car"/>
    <w:link w:val="Sinespaciado"/>
    <w:uiPriority w:val="1"/>
    <w:locked/>
    <w:rsid w:val="003A63B8"/>
    <w:rPr>
      <w:sz w:val="24"/>
      <w:szCs w:val="24"/>
      <w:lang w:val="en-US"/>
    </w:rPr>
  </w:style>
  <w:style w:type="paragraph" w:customStyle="1" w:styleId="Estilo">
    <w:name w:val="Estilo"/>
    <w:rsid w:val="003A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3A63B8"/>
    <w:rPr>
      <w:rFonts w:ascii="Arial" w:eastAsia="Times New Roman" w:hAnsi="Arial" w:cs="Arial"/>
      <w:b/>
      <w:bCs/>
      <w:sz w:val="22"/>
      <w:lang w:val="es-GT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A63B8"/>
    <w:rPr>
      <w:rFonts w:ascii="Arial" w:eastAsia="Times New Roman" w:hAnsi="Arial" w:cs="Arial"/>
      <w:b/>
      <w:bCs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3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3B8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B41BF1"/>
    <w:pPr>
      <w:ind w:left="708"/>
    </w:pPr>
    <w:rPr>
      <w:rFonts w:ascii="Times New Roman" w:eastAsia="Times New Roman" w:hAnsi="Times New Roman" w:cs="Times New Roman"/>
      <w:lang w:val="es-GT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335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35B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35B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35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35B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FDA53-D053-465E-99A8-CE82A0F1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Castro Chicol</dc:creator>
  <cp:lastModifiedBy>Jeredick Alessandro Escobar Monroy</cp:lastModifiedBy>
  <cp:revision>21</cp:revision>
  <dcterms:created xsi:type="dcterms:W3CDTF">2024-10-18T03:51:00Z</dcterms:created>
  <dcterms:modified xsi:type="dcterms:W3CDTF">2024-11-08T02:36:00Z</dcterms:modified>
</cp:coreProperties>
</file>