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8" w:space="1"/>
        </w:pBdr>
        <w:spacing w:after="80" w:before="0"/>
      </w:pPr>
      <w:r>
        <w:rPr>
          <w:rFonts w:ascii="Calibri" w:cs="Calibri" w:eastAsia="Calibri" w:hAnsi="Calibri"/>
          <w:b/>
          <w:bCs/>
          <w:color w:val="1e293b"/>
          <w:sz w:val="40"/>
          <w:szCs w:val="40"/>
        </w:rPr>
        <w:t xml:space="preserve">Ansøgning om adgang til e-TL produktionsmiljø</w:t>
      </w:r>
    </w:p>
    <w:p>
      <w:pPr>
        <w:spacing w:after="80" w:before="80"/>
      </w:pPr>
    </w:p>
    <w:p>
      <w:pPr>
        <w:spacing w:after="60" w:before="60"/>
      </w:pPr>
      <w:r>
        <w:rPr>
          <w:rFonts w:ascii="Calibri" w:cs="Calibri" w:eastAsia="Calibri" w:hAnsi="Calibri"/>
          <w:b/>
          <w:bCs/>
          <w:color w:val="64748b"/>
          <w:sz w:val="20"/>
          <w:szCs w:val="20"/>
        </w:rPr>
        <w:t xml:space="preserve">Til: </w:t>
      </w:r>
      <w:r>
        <w:rPr>
          <w:rFonts w:ascii="Calibri" w:cs="Calibri" w:eastAsia="Calibri" w:hAnsi="Calibri"/>
          <w:color w:val="1e293b"/>
          <w:sz w:val="20"/>
          <w:szCs w:val="20"/>
        </w:rPr>
        <w:t xml:space="preserve">Tinglysningsretten – Driftsafdeling</w:t>
      </w:r>
    </w:p>
    <w:p>
      <w:pPr>
        <w:spacing w:after="60" w:before="60"/>
      </w:pPr>
      <w:r>
        <w:rPr>
          <w:rFonts w:ascii="Calibri" w:cs="Calibri" w:eastAsia="Calibri" w:hAnsi="Calibri"/>
          <w:b/>
          <w:bCs/>
          <w:color w:val="64748b"/>
          <w:sz w:val="20"/>
          <w:szCs w:val="20"/>
        </w:rPr>
        <w:t xml:space="preserve">E-mail: </w:t>
      </w:r>
      <w:r>
        <w:rPr>
          <w:rFonts w:ascii="Calibri" w:cs="Calibri" w:eastAsia="Calibri" w:hAnsi="Calibri"/>
          <w:color w:val="1e293b"/>
          <w:sz w:val="20"/>
          <w:szCs w:val="20"/>
        </w:rPr>
        <w:t xml:space="preserve">e-tl-011@domstol.dk</w:t>
      </w:r>
    </w:p>
    <w:p>
      <w:pPr>
        <w:spacing w:after="60" w:before="60"/>
      </w:pPr>
      <w:r>
        <w:rPr>
          <w:rFonts w:ascii="Calibri" w:cs="Calibri" w:eastAsia="Calibri" w:hAnsi="Calibri"/>
          <w:b/>
          <w:bCs/>
          <w:color w:val="64748b"/>
          <w:sz w:val="20"/>
          <w:szCs w:val="20"/>
        </w:rPr>
        <w:t xml:space="preserve">Fra: </w:t>
      </w:r>
      <w:r>
        <w:rPr>
          <w:rFonts w:ascii="Calibri" w:cs="Calibri" w:eastAsia="Calibri" w:hAnsi="Calibri"/>
          <w:color w:val="1e293b"/>
          <w:sz w:val="20"/>
          <w:szCs w:val="20"/>
        </w:rPr>
        <w:t xml:space="preserve">Pecunia IT Consulting ApS</w:t>
      </w:r>
    </w:p>
    <w:p>
      <w:pPr>
        <w:spacing w:after="60" w:before="60"/>
      </w:pPr>
      <w:r>
        <w:rPr>
          <w:rFonts w:ascii="Calibri" w:cs="Calibri" w:eastAsia="Calibri" w:hAnsi="Calibri"/>
          <w:b/>
          <w:bCs/>
          <w:color w:val="64748b"/>
          <w:sz w:val="20"/>
          <w:szCs w:val="20"/>
        </w:rPr>
        <w:t xml:space="preserve">CVR: </w:t>
      </w:r>
      <w:r>
        <w:rPr>
          <w:rFonts w:ascii="Calibri" w:cs="Calibri" w:eastAsia="Calibri" w:hAnsi="Calibri"/>
          <w:color w:val="1e293b"/>
          <w:sz w:val="20"/>
          <w:szCs w:val="20"/>
        </w:rPr>
        <w:t xml:space="preserve">44718502</w:t>
      </w:r>
    </w:p>
    <w:p>
      <w:pPr>
        <w:spacing w:after="60" w:before="60"/>
      </w:pPr>
      <w:r>
        <w:rPr>
          <w:rFonts w:ascii="Calibri" w:cs="Calibri" w:eastAsia="Calibri" w:hAnsi="Calibri"/>
          <w:b/>
          <w:bCs/>
          <w:color w:val="64748b"/>
          <w:sz w:val="20"/>
          <w:szCs w:val="20"/>
        </w:rPr>
        <w:t xml:space="preserve">Dato: </w:t>
      </w:r>
      <w:r>
        <w:rPr>
          <w:rFonts w:ascii="Calibri" w:cs="Calibri" w:eastAsia="Calibri" w:hAnsi="Calibri"/>
          <w:color w:val="1e293b"/>
          <w:sz w:val="20"/>
          <w:szCs w:val="20"/>
        </w:rPr>
        <w:t xml:space="preserve">7. april 2026</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1. Formål med systemadgangen</w:t>
      </w:r>
    </w:p>
    <w:p>
      <w:pPr>
        <w:spacing w:after="80" w:before="80"/>
        <w:jc w:val="left"/>
      </w:pPr>
      <w:r>
        <w:rPr>
          <w:rFonts w:ascii="Calibri" w:cs="Calibri" w:eastAsia="Calibri" w:hAnsi="Calibri"/>
          <w:b w:val="false"/>
          <w:bCs w:val="false"/>
          <w:i w:val="false"/>
          <w:iCs w:val="false"/>
          <w:color w:val="1e293b"/>
          <w:sz w:val="20"/>
          <w:szCs w:val="20"/>
        </w:rPr>
        <w:t xml:space="preserve">BizzAssist er en dansk business intelligence-platform, der aggregerer og præsenterer offentligt tilgængeligt data om faste ejendomme, virksomheder og personer for professionelle brugere — herunder ejendomsmæglere, advokater, revisorer, banker og erhvervsinvestorer.</w:t>
      </w:r>
    </w:p>
    <w:p>
      <w:pPr>
        <w:spacing w:after="80" w:before="80"/>
      </w:pPr>
    </w:p>
    <w:p>
      <w:pPr>
        <w:spacing w:after="80" w:before="80"/>
        <w:jc w:val="left"/>
      </w:pPr>
      <w:r>
        <w:rPr>
          <w:rFonts w:ascii="Calibri" w:cs="Calibri" w:eastAsia="Calibri" w:hAnsi="Calibri"/>
          <w:b w:val="false"/>
          <w:bCs w:val="false"/>
          <w:i w:val="false"/>
          <w:iCs w:val="false"/>
          <w:color w:val="1e293b"/>
          <w:sz w:val="20"/>
          <w:szCs w:val="20"/>
        </w:rPr>
        <w:t xml:space="preserve">Formålet med adgang til e-TL er at give BizzAssist-brugere direkte indsigt i tingbogens offentlige oplysninger som en integreret del af ejendoms- og virksomhedsanalyserne:</w:t>
      </w:r>
    </w:p>
    <w:p>
      <w:pPr>
        <w:pStyle w:val="ListParagraph"/>
        <w:numPr>
          <w:ilvl w:val="0"/>
          <w:numId w:val="1"/>
        </w:numPr>
        <w:spacing w:after="60" w:before="60"/>
      </w:pPr>
      <w:r>
        <w:rPr>
          <w:rFonts w:ascii="Calibri" w:cs="Calibri" w:eastAsia="Calibri" w:hAnsi="Calibri"/>
          <w:color w:val="1e293b"/>
          <w:sz w:val="20"/>
          <w:szCs w:val="20"/>
        </w:rPr>
        <w:t xml:space="preserve">Ejendomsvisning: Vis tinglyste oplysninger (ejere, adkomsthavere, hæftelser, servitutter, pantebreve) direkte i ejendomsdetaljesiden for en fast ejendom identificeret ved BFE-nummer.</w:t>
      </w:r>
    </w:p>
    <w:p>
      <w:pPr>
        <w:pStyle w:val="ListParagraph"/>
        <w:numPr>
          <w:ilvl w:val="0"/>
          <w:numId w:val="1"/>
        </w:numPr>
        <w:spacing w:after="60" w:before="60"/>
      </w:pPr>
      <w:r>
        <w:rPr>
          <w:rFonts w:ascii="Calibri" w:cs="Calibri" w:eastAsia="Calibri" w:hAnsi="Calibri"/>
          <w:color w:val="1e293b"/>
          <w:sz w:val="20"/>
          <w:szCs w:val="20"/>
        </w:rPr>
        <w:t xml:space="preserve">Virksomhedsvisning: Vis registrerede hæftelser i Personbogen (virksomhedspant, løsørepant, fordringspant, ejendomsforbehold) for virksomheder identificeret ved CVR-nummer.</w:t>
      </w:r>
    </w:p>
    <w:p>
      <w:pPr>
        <w:pStyle w:val="ListParagraph"/>
        <w:numPr>
          <w:ilvl w:val="0"/>
          <w:numId w:val="1"/>
        </w:numPr>
        <w:spacing w:after="60" w:before="60"/>
      </w:pPr>
      <w:r>
        <w:rPr>
          <w:rFonts w:ascii="Calibri" w:cs="Calibri" w:eastAsia="Calibri" w:hAnsi="Calibri"/>
          <w:color w:val="1e293b"/>
          <w:sz w:val="20"/>
          <w:szCs w:val="20"/>
        </w:rPr>
        <w:t xml:space="preserve">Dokumentadgang: Hent og præsenter tinglysningsdokumenter (pantebreve, skøder, servitutter) som PDF til brugere med behov for at se det fulde dokument.</w:t>
      </w:r>
    </w:p>
    <w:p>
      <w:pPr>
        <w:spacing w:after="80" w:before="80"/>
      </w:pPr>
    </w:p>
    <w:p>
      <w:pPr>
        <w:spacing w:after="80" w:before="80"/>
        <w:jc w:val="left"/>
      </w:pPr>
      <w:r>
        <w:rPr>
          <w:rFonts w:ascii="Calibri" w:cs="Calibri" w:eastAsia="Calibri" w:hAnsi="Calibri"/>
          <w:b w:val="false"/>
          <w:bCs w:val="false"/>
          <w:i w:val="false"/>
          <w:iCs w:val="false"/>
          <w:color w:val="1e293b"/>
          <w:sz w:val="20"/>
          <w:szCs w:val="20"/>
        </w:rPr>
        <w:t xml:space="preserve">Systemet anvender udelukkende forespørgsels-services — der anmeldes ikke dokumenter via systemadgangen.</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2. Implementerede services</w:t>
      </w:r>
    </w:p>
    <w:p>
      <w:pPr>
        <w:spacing w:after="80" w:before="80"/>
        <w:jc w:val="left"/>
      </w:pPr>
      <w:r>
        <w:rPr>
          <w:rFonts w:ascii="Calibri" w:cs="Calibri" w:eastAsia="Calibri" w:hAnsi="Calibri"/>
          <w:b w:val="false"/>
          <w:bCs w:val="false"/>
          <w:i w:val="false"/>
          <w:iCs w:val="false"/>
          <w:color w:val="1e293b"/>
          <w:sz w:val="20"/>
          <w:szCs w:val="20"/>
        </w:rPr>
        <w:t xml:space="preserve">BizzAssist anvender HTTP API (forespørgsel) med 2-vejs SSL (OCES systemcertifikat). Følgende services er implementeret:</w:t>
      </w:r>
    </w:p>
    <w:p>
      <w:pPr>
        <w:spacing w:after="120" w:before="320"/>
      </w:pPr>
      <w:r>
        <w:rPr>
          <w:rFonts w:ascii="Calibri" w:cs="Calibri" w:eastAsia="Calibri" w:hAnsi="Calibri"/>
          <w:b/>
          <w:bCs/>
          <w:color w:val="1d4ed8"/>
          <w:sz w:val="24"/>
          <w:szCs w:val="24"/>
        </w:rPr>
        <w:t xml:space="preserve">2.1 Fast ejendom</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Service</w:t>
            </w:r>
          </w:p>
        </w:tc>
        <w:tc>
          <w:tcPr>
            <w:tcW w:type="pct" w:w="4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Endpoint</w:t>
            </w:r>
          </w:p>
        </w:tc>
        <w:tc>
          <w:tcPr>
            <w:tcW w:type="pct" w:w="37%"/>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Beskrivelse</w:t>
            </w:r>
          </w:p>
        </w:tc>
      </w:tr>
      <w:tr>
        <w:tc>
          <w:tcPr>
            <w:tcW w:type="pct" w:w="18%"/>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Søgning</w:t>
            </w:r>
          </w:p>
        </w:tc>
        <w:tc>
          <w:tcPr>
            <w:tcW w:type="pct" w:w="4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GET /tinglysning/ssl/ejendom/hovednoteringsnummer?hovednoteringsnummer={BFE}</w:t>
            </w:r>
          </w:p>
        </w:tc>
        <w:tc>
          <w:tcPr>
            <w:tcW w:type="pct" w:w="37%"/>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Søger ejendom med BFE-nummer, returnerer UUID og summariske oplysninger</w:t>
            </w:r>
          </w:p>
        </w:tc>
      </w:tr>
      <w:tr>
        <w:tc>
          <w:tcPr>
            <w:tcW w:type="pct" w:w="18%"/>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Opslag (summarisk)</w:t>
            </w:r>
          </w:p>
        </w:tc>
        <w:tc>
          <w:tcPr>
            <w:tcW w:type="pct" w:w="4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GET /tinglysning/ssl/ejdsummarisk/{uuid}</w:t>
            </w:r>
          </w:p>
        </w:tc>
        <w:tc>
          <w:tcPr>
            <w:tcW w:type="pct" w:w="37%"/>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Henter fuld summarisk ejendomsdata inkl. ejere, hæftelser og servitutter (XML)</w:t>
            </w:r>
          </w:p>
        </w:tc>
      </w:tr>
      <w:tr>
        <w:tc>
          <w:tcPr>
            <w:tcW w:type="pct" w:w="18%"/>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Dokumentopslag</w:t>
            </w:r>
          </w:p>
        </w:tc>
        <w:tc>
          <w:tcPr>
            <w:tcW w:type="pct" w:w="4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GET /tinglysning/ssl/dokaktuel/uuid/{dokumentId}</w:t>
            </w:r>
          </w:p>
        </w:tc>
        <w:tc>
          <w:tcPr>
            <w:tcW w:type="pct" w:w="37%"/>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Henter enkelt dokument som XML (til PDF-konvertering)</w:t>
            </w:r>
          </w:p>
        </w:tc>
      </w:tr>
    </w:tbl>
    <w:p>
      <w:pPr>
        <w:spacing w:after="120" w:before="320"/>
      </w:pPr>
      <w:r>
        <w:rPr>
          <w:rFonts w:ascii="Calibri" w:cs="Calibri" w:eastAsia="Calibri" w:hAnsi="Calibri"/>
          <w:b/>
          <w:bCs/>
          <w:color w:val="1d4ed8"/>
          <w:sz w:val="24"/>
          <w:szCs w:val="24"/>
        </w:rPr>
        <w:t xml:space="preserve">2.2 Personbog (virksomheder)</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Service</w:t>
            </w:r>
          </w:p>
        </w:tc>
        <w:tc>
          <w:tcPr>
            <w:tcW w:type="pct" w:w="4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Endpoint</w:t>
            </w:r>
          </w:p>
        </w:tc>
        <w:tc>
          <w:tcPr>
            <w:tcW w:type="pct" w:w="37%"/>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Beskrivelse</w:t>
            </w:r>
          </w:p>
        </w:tc>
      </w:tr>
      <w:tr>
        <w:tc>
          <w:tcPr>
            <w:tcW w:type="pct" w:w="18%"/>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Søgning</w:t>
            </w:r>
          </w:p>
        </w:tc>
        <w:tc>
          <w:tcPr>
            <w:tcW w:type="pct" w:w="4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GET /tinglysning/unsecuressl/soegpersonbogcvr?cvr={CVR}</w:t>
            </w:r>
          </w:p>
        </w:tc>
        <w:tc>
          <w:tcPr>
            <w:tcW w:type="pct" w:w="37%"/>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Søger i Personbogen med CVR-nummer</w:t>
            </w:r>
          </w:p>
        </w:tc>
      </w:tr>
      <w:tr>
        <w:tc>
          <w:tcPr>
            <w:tcW w:type="pct" w:w="18%"/>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Opslag</w:t>
            </w:r>
          </w:p>
        </w:tc>
        <w:tc>
          <w:tcPr>
            <w:tcW w:type="pct" w:w="4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GET /tinglysning/unsecuressl/personbog/{uuid}</w:t>
            </w:r>
          </w:p>
        </w:tc>
        <w:tc>
          <w:tcPr>
            <w:tcW w:type="pct" w:w="37%"/>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Henter hæftelser registreret i Personbogen (XML)</w:t>
            </w:r>
          </w:p>
        </w:tc>
      </w:tr>
    </w:tbl>
    <w:p>
      <w:pPr>
        <w:spacing w:after="120" w:before="320"/>
      </w:pPr>
      <w:r>
        <w:rPr>
          <w:rFonts w:ascii="Calibri" w:cs="Calibri" w:eastAsia="Calibri" w:hAnsi="Calibri"/>
          <w:b/>
          <w:bCs/>
          <w:color w:val="1d4ed8"/>
          <w:sz w:val="24"/>
          <w:szCs w:val="24"/>
        </w:rPr>
        <w:t xml:space="preserve">2.3 Snitflade</w:t>
      </w:r>
    </w:p>
    <w:p>
      <w:pPr>
        <w:pStyle w:val="ListParagraph"/>
        <w:numPr>
          <w:ilvl w:val="0"/>
          <w:numId w:val="1"/>
        </w:numPr>
        <w:spacing w:after="60" w:before="60"/>
      </w:pPr>
      <w:r>
        <w:rPr>
          <w:rFonts w:ascii="Calibri" w:cs="Calibri" w:eastAsia="Calibri" w:hAnsi="Calibri"/>
          <w:color w:val="1e293b"/>
          <w:sz w:val="20"/>
          <w:szCs w:val="20"/>
        </w:rPr>
        <w:t xml:space="preserve">Snitflade: HTTP API (forespørgsel)</w:t>
      </w:r>
    </w:p>
    <w:p>
      <w:pPr>
        <w:pStyle w:val="ListParagraph"/>
        <w:numPr>
          <w:ilvl w:val="0"/>
          <w:numId w:val="1"/>
        </w:numPr>
        <w:spacing w:after="60" w:before="60"/>
      </w:pPr>
      <w:r>
        <w:rPr>
          <w:rFonts w:ascii="Calibri" w:cs="Calibri" w:eastAsia="Calibri" w:hAnsi="Calibri"/>
          <w:color w:val="1e293b"/>
          <w:sz w:val="20"/>
          <w:szCs w:val="20"/>
        </w:rPr>
        <w:t xml:space="preserve">Autentifikation: 2-vejs SSL med OCES systemcertifikat (NemID/MitID FOCES)</w:t>
      </w:r>
    </w:p>
    <w:p>
      <w:pPr>
        <w:pStyle w:val="ListParagraph"/>
        <w:numPr>
          <w:ilvl w:val="0"/>
          <w:numId w:val="1"/>
        </w:numPr>
        <w:spacing w:after="60" w:before="60"/>
      </w:pPr>
      <w:r>
        <w:rPr>
          <w:rFonts w:ascii="Calibri" w:cs="Calibri" w:eastAsia="Calibri" w:hAnsi="Calibri"/>
          <w:color w:val="1e293b"/>
          <w:sz w:val="20"/>
          <w:szCs w:val="20"/>
        </w:rPr>
        <w:t xml:space="preserve">Certifikatformat: PFX (PKCS#12), konfigureret som base64-encodet miljøvariabel på Vercel-hosting</w:t>
      </w:r>
    </w:p>
    <w:p>
      <w:pPr>
        <w:pStyle w:val="ListParagraph"/>
        <w:numPr>
          <w:ilvl w:val="0"/>
          <w:numId w:val="1"/>
        </w:numPr>
        <w:spacing w:after="60" w:before="60"/>
      </w:pPr>
      <w:r>
        <w:rPr>
          <w:rFonts w:ascii="Calibri" w:cs="Calibri" w:eastAsia="Calibri" w:hAnsi="Calibri"/>
          <w:color w:val="1e293b"/>
          <w:sz w:val="20"/>
          <w:szCs w:val="20"/>
        </w:rPr>
        <w:t xml:space="preserve">Anmeldelser: Ikke implementeret — systemet foretager udelukkende forespørgsler</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3. Gennemført testforløb</w:t>
      </w:r>
    </w:p>
    <w:p>
      <w:pPr>
        <w:spacing w:after="80" w:before="80"/>
        <w:jc w:val="left"/>
      </w:pPr>
      <w:r>
        <w:rPr>
          <w:rFonts w:ascii="Calibri" w:cs="Calibri" w:eastAsia="Calibri" w:hAnsi="Calibri"/>
          <w:b w:val="false"/>
          <w:bCs w:val="false"/>
          <w:i w:val="false"/>
          <w:iCs w:val="false"/>
          <w:color w:val="1e293b"/>
          <w:sz w:val="20"/>
          <w:szCs w:val="20"/>
        </w:rPr>
        <w:t xml:space="preserve">Testforløbet er gennemført mod fællestestmiljøet (https://test.tinglysning.dk) med et NETS test-certifikat (devtest4-miljø).</w:t>
      </w:r>
    </w:p>
    <w:p>
      <w:pPr>
        <w:spacing w:after="120" w:before="320"/>
      </w:pPr>
      <w:r>
        <w:rPr>
          <w:rFonts w:ascii="Calibri" w:cs="Calibri" w:eastAsia="Calibri" w:hAnsi="Calibri"/>
          <w:b/>
          <w:bCs/>
          <w:color w:val="1d4ed8"/>
          <w:sz w:val="24"/>
          <w:szCs w:val="24"/>
        </w:rPr>
        <w:t xml:space="preserve">3.1 Funktionelle tests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Scenarie</w:t>
            </w:r>
          </w:p>
        </w:tc>
        <w:tc>
          <w:tcPr>
            <w:tcW w:type="pct" w:w="2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Resultat</w:t>
            </w:r>
          </w:p>
        </w:tc>
      </w:tr>
      <w:tr>
        <w:tc>
          <w:tcPr>
            <w:tcW w:type="pct" w:w="7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Søgning på BFE-nummer returnerer UUID og adresse</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 og fungerer</w:t>
            </w:r>
          </w:p>
        </w:tc>
      </w:tr>
      <w:tr>
        <w:tc>
          <w:tcPr>
            <w:tcW w:type="pct" w:w="7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Opslag med UUID returnerer EjendomSummariskHentResultat XML</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 og fungerer</w:t>
            </w:r>
          </w:p>
        </w:tc>
      </w:tr>
      <w:tr>
        <w:tc>
          <w:tcPr>
            <w:tcW w:type="pct" w:w="7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XML-parser udtrækker ejere, adkomsttype, ejerandel, overtagelsesdato og købesum</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Valideret mod kendte testdata</w:t>
            </w:r>
          </w:p>
        </w:tc>
      </w:tr>
      <w:tr>
        <w:tc>
          <w:tcPr>
            <w:tcW w:type="pct" w:w="7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XML-parser udtrækker hæftelser med type, beløb, kreditor og prioritet</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Valideret mod kendte testdata</w:t>
            </w:r>
          </w:p>
        </w:tc>
      </w:tr>
      <w:tr>
        <w:tc>
          <w:tcPr>
            <w:tcW w:type="pct" w:w="7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XML-parser udtrækker servitutter med type og tekst</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w:t>
            </w:r>
          </w:p>
        </w:tc>
      </w:tr>
      <w:tr>
        <w:tc>
          <w:tcPr>
            <w:tcW w:type="pct" w:w="7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Personbogssøgning med CVR-nummer returnerer UUID-liste</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w:t>
            </w:r>
          </w:p>
        </w:tc>
      </w:tr>
      <w:tr>
        <w:tc>
          <w:tcPr>
            <w:tcW w:type="pct" w:w="7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Personbogsopslag returnerer LoesoereSummariskHentResultat XML</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w:t>
            </w:r>
          </w:p>
        </w:tc>
      </w:tr>
      <w:tr>
        <w:tc>
          <w:tcPr>
            <w:tcW w:type="pct" w:w="7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Parser udtrækker virksomhedspant, løsørepant og fordringspant korrekt</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Valideret</w:t>
            </w:r>
          </w:p>
        </w:tc>
      </w:tr>
      <w:tr>
        <w:tc>
          <w:tcPr>
            <w:tcW w:type="pct" w:w="7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Dokumentopslag med UUID returnerer DokumentAktuelHentResultat XML</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w:t>
            </w:r>
          </w:p>
        </w:tc>
      </w:tr>
      <w:tr>
        <w:tc>
          <w:tcPr>
            <w:tcW w:type="pct" w:w="75%"/>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XML-til-PDF konvertering genererer læsbar PDF med korrekte felter</w:t>
            </w:r>
          </w:p>
        </w:tc>
        <w:tc>
          <w:tcPr>
            <w:tcW w:type="pct" w:w="25%"/>
            <w:shd w:color="f0fdf4" w:val="solid"/>
            <w:tcMar>
              <w:top w:type="dxa" w:w="100"/>
              <w:left w:type="dxa" w:w="160"/>
              <w:bottom w:type="dxa" w:w="100"/>
              <w:right w:type="dxa" w:w="160"/>
            </w:tcMar>
          </w:tcPr>
          <w:p>
            <w:r>
              <w:rPr>
                <w:rFonts w:ascii="Calibri" w:cs="Calibri" w:eastAsia="Calibri" w:hAnsi="Calibri"/>
                <w:b/>
                <w:bCs/>
                <w:color w:val="16a34a"/>
                <w:sz w:val="18"/>
                <w:szCs w:val="18"/>
              </w:rPr>
              <w:t xml:space="preserve">✅ Testet</w:t>
            </w:r>
          </w:p>
        </w:tc>
      </w:tr>
    </w:tbl>
    <w:p>
      <w:pPr>
        <w:spacing w:after="120" w:before="320"/>
      </w:pPr>
      <w:r>
        <w:rPr>
          <w:rFonts w:ascii="Calibri" w:cs="Calibri" w:eastAsia="Calibri" w:hAnsi="Calibri"/>
          <w:b/>
          <w:bCs/>
          <w:color w:val="1d4ed8"/>
          <w:sz w:val="24"/>
          <w:szCs w:val="24"/>
        </w:rPr>
        <w:t xml:space="preserve">3.2 Fejlhåndtering</w:t>
      </w:r>
    </w:p>
    <w:p>
      <w:pPr>
        <w:spacing w:after="80" w:before="80"/>
        <w:jc w:val="left"/>
      </w:pPr>
      <w:r>
        <w:rPr>
          <w:rFonts w:ascii="Calibri" w:cs="Calibri" w:eastAsia="Calibri" w:hAnsi="Calibri"/>
          <w:b w:val="false"/>
          <w:bCs w:val="false"/>
          <w:i w:val="false"/>
          <w:iCs w:val="false"/>
          <w:color w:val="1e293b"/>
          <w:sz w:val="20"/>
          <w:szCs w:val="20"/>
        </w:rPr>
        <w:t xml:space="preserve">BizzAssist håndterer følgende fejlsituationer eksplicit:</w:t>
      </w:r>
    </w:p>
    <w:p>
      <w:pPr>
        <w:spacing w:after="80" w:before="200"/>
      </w:pPr>
      <w:r>
        <w:rPr>
          <w:rFonts w:ascii="Calibri" w:cs="Calibri" w:eastAsia="Calibri" w:hAnsi="Calibri"/>
          <w:b/>
          <w:bCs/>
          <w:color w:val="1e293b"/>
          <w:sz w:val="20"/>
          <w:szCs w:val="20"/>
        </w:rPr>
        <w:t xml:space="preserve">HTTP-fejl fra e-TL:</w:t>
      </w:r>
    </w:p>
    <w:p>
      <w:pPr>
        <w:pStyle w:val="ListParagraph"/>
        <w:numPr>
          <w:ilvl w:val="0"/>
          <w:numId w:val="1"/>
        </w:numPr>
        <w:spacing w:after="60" w:before="60"/>
      </w:pPr>
      <w:r>
        <w:rPr>
          <w:rFonts w:ascii="Calibri" w:cs="Calibri" w:eastAsia="Calibri" w:hAnsi="Calibri"/>
          <w:color w:val="1e293b"/>
          <w:sz w:val="20"/>
          <w:szCs w:val="20"/>
        </w:rPr>
        <w:t xml:space="preserve">404 Not Found: Returnerer { error: "Ejendom ikke fundet i tingbogen" } med HTTP 404. UI viser informativ besked.</w:t>
      </w:r>
    </w:p>
    <w:p>
      <w:pPr>
        <w:pStyle w:val="ListParagraph"/>
        <w:numPr>
          <w:ilvl w:val="0"/>
          <w:numId w:val="1"/>
        </w:numPr>
        <w:spacing w:after="60" w:before="60"/>
      </w:pPr>
      <w:r>
        <w:rPr>
          <w:rFonts w:ascii="Calibri" w:cs="Calibri" w:eastAsia="Calibri" w:hAnsi="Calibri"/>
          <w:color w:val="1e293b"/>
          <w:sz w:val="20"/>
          <w:szCs w:val="20"/>
        </w:rPr>
        <w:t xml:space="preserve">500 / 502: Logges server-side, returneres som { error: "Ekstern API fejl" } uden interne detaljer.</w:t>
      </w:r>
    </w:p>
    <w:p>
      <w:pPr>
        <w:pStyle w:val="ListParagraph"/>
        <w:numPr>
          <w:ilvl w:val="0"/>
          <w:numId w:val="1"/>
        </w:numPr>
        <w:spacing w:after="60" w:before="60"/>
      </w:pPr>
      <w:r>
        <w:rPr>
          <w:rFonts w:ascii="Calibri" w:cs="Calibri" w:eastAsia="Calibri" w:hAnsi="Calibri"/>
          <w:color w:val="1e293b"/>
          <w:sz w:val="20"/>
          <w:szCs w:val="20"/>
        </w:rPr>
        <w:t xml:space="preserve">Andre 4xx/5xx: Propageres med status-kode og logges.</w:t>
      </w:r>
    </w:p>
    <w:p>
      <w:pPr>
        <w:spacing w:after="80" w:before="200"/>
      </w:pPr>
      <w:r>
        <w:rPr>
          <w:rFonts w:ascii="Calibri" w:cs="Calibri" w:eastAsia="Calibri" w:hAnsi="Calibri"/>
          <w:b/>
          <w:bCs/>
          <w:color w:val="1e293b"/>
          <w:sz w:val="20"/>
          <w:szCs w:val="20"/>
        </w:rPr>
        <w:t xml:space="preserve">Netværk og timeout:</w:t>
      </w:r>
    </w:p>
    <w:p>
      <w:pPr>
        <w:pStyle w:val="ListParagraph"/>
        <w:numPr>
          <w:ilvl w:val="0"/>
          <w:numId w:val="1"/>
        </w:numPr>
        <w:spacing w:after="60" w:before="60"/>
      </w:pPr>
      <w:r>
        <w:rPr>
          <w:rFonts w:ascii="Calibri" w:cs="Calibri" w:eastAsia="Calibri" w:hAnsi="Calibri"/>
          <w:color w:val="1e293b"/>
          <w:sz w:val="20"/>
          <w:szCs w:val="20"/>
        </w:rPr>
        <w:t xml:space="preserve">Alle kald har AbortSignal.timeout(15000) (15 sekunder). Ved timeout destrueres socket og returneres fejlbesked.</w:t>
      </w:r>
    </w:p>
    <w:p>
      <w:pPr>
        <w:pStyle w:val="ListParagraph"/>
        <w:numPr>
          <w:ilvl w:val="0"/>
          <w:numId w:val="1"/>
        </w:numPr>
        <w:spacing w:after="60" w:before="60"/>
      </w:pPr>
      <w:r>
        <w:rPr>
          <w:rFonts w:ascii="Calibri" w:cs="Calibri" w:eastAsia="Calibri" w:hAnsi="Calibri"/>
          <w:color w:val="1e293b"/>
          <w:sz w:val="20"/>
          <w:szCs w:val="20"/>
        </w:rPr>
        <w:t xml:space="preserve">Netværksfejl fanges og returneres som HTTP 500 med generisk fejlbesked.</w:t>
      </w:r>
    </w:p>
    <w:p>
      <w:pPr>
        <w:spacing w:after="80" w:before="200"/>
      </w:pPr>
      <w:r>
        <w:rPr>
          <w:rFonts w:ascii="Calibri" w:cs="Calibri" w:eastAsia="Calibri" w:hAnsi="Calibri"/>
          <w:b/>
          <w:bCs/>
          <w:color w:val="1e293b"/>
          <w:sz w:val="20"/>
          <w:szCs w:val="20"/>
        </w:rPr>
        <w:t xml:space="preserve">Certifikat-fejl:</w:t>
      </w:r>
    </w:p>
    <w:p>
      <w:pPr>
        <w:pStyle w:val="ListParagraph"/>
        <w:numPr>
          <w:ilvl w:val="0"/>
          <w:numId w:val="1"/>
        </w:numPr>
        <w:spacing w:after="60" w:before="60"/>
      </w:pPr>
      <w:r>
        <w:rPr>
          <w:rFonts w:ascii="Calibri" w:cs="Calibri" w:eastAsia="Calibri" w:hAnsi="Calibri"/>
          <w:color w:val="1e293b"/>
          <w:sz w:val="20"/>
          <w:szCs w:val="20"/>
        </w:rPr>
        <w:t xml:space="preserve">Hvis certifikats-miljøvariablerne ikke er sat, returneres HTTP 503 — systemet deaktiverer sig selv pænt.</w:t>
      </w:r>
    </w:p>
    <w:p>
      <w:pPr>
        <w:pStyle w:val="ListParagraph"/>
        <w:numPr>
          <w:ilvl w:val="0"/>
          <w:numId w:val="1"/>
        </w:numPr>
        <w:spacing w:after="60" w:before="60"/>
      </w:pPr>
      <w:r>
        <w:rPr>
          <w:rFonts w:ascii="Calibri" w:cs="Calibri" w:eastAsia="Calibri" w:hAnsi="Calibri"/>
          <w:color w:val="1e293b"/>
          <w:sz w:val="20"/>
          <w:szCs w:val="20"/>
        </w:rPr>
        <w:t xml:space="preserve">Certifikatet loades fra base64-encodet miljøvariabel (Vercel-kompatibelt) eller filsti som fallback.</w:t>
      </w:r>
    </w:p>
    <w:p>
      <w:pPr>
        <w:spacing w:after="80" w:before="200"/>
      </w:pPr>
      <w:r>
        <w:rPr>
          <w:rFonts w:ascii="Calibri" w:cs="Calibri" w:eastAsia="Calibri" w:hAnsi="Calibri"/>
          <w:b/>
          <w:bCs/>
          <w:color w:val="1e293b"/>
          <w:sz w:val="20"/>
          <w:szCs w:val="20"/>
        </w:rPr>
        <w:t xml:space="preserve">Ugyldigt input:</w:t>
      </w:r>
    </w:p>
    <w:p>
      <w:pPr>
        <w:pStyle w:val="ListParagraph"/>
        <w:numPr>
          <w:ilvl w:val="0"/>
          <w:numId w:val="1"/>
        </w:numPr>
        <w:spacing w:after="60" w:before="60"/>
      </w:pPr>
      <w:r>
        <w:rPr>
          <w:rFonts w:ascii="Calibri" w:cs="Calibri" w:eastAsia="Calibri" w:hAnsi="Calibri"/>
          <w:color w:val="1e293b"/>
          <w:sz w:val="20"/>
          <w:szCs w:val="20"/>
        </w:rPr>
        <w:t xml:space="preserve">BFE-numre valideres med regex (/^\d+$/) — ikke-numerisk input afvises med HTTP 400.</w:t>
      </w:r>
    </w:p>
    <w:p>
      <w:pPr>
        <w:pStyle w:val="ListParagraph"/>
        <w:numPr>
          <w:ilvl w:val="0"/>
          <w:numId w:val="1"/>
        </w:numPr>
        <w:spacing w:after="60" w:before="60"/>
      </w:pPr>
      <w:r>
        <w:rPr>
          <w:rFonts w:ascii="Calibri" w:cs="Calibri" w:eastAsia="Calibri" w:hAnsi="Calibri"/>
          <w:color w:val="1e293b"/>
          <w:sz w:val="20"/>
          <w:szCs w:val="20"/>
        </w:rPr>
        <w:t xml:space="preserve">CVR-numre valideres til præcis 8 cifre — andet afvises med HTTP 400.</w:t>
      </w:r>
    </w:p>
    <w:p>
      <w:pPr>
        <w:pStyle w:val="ListParagraph"/>
        <w:numPr>
          <w:ilvl w:val="0"/>
          <w:numId w:val="1"/>
        </w:numPr>
        <w:spacing w:after="60" w:before="60"/>
      </w:pPr>
      <w:r>
        <w:rPr>
          <w:rFonts w:ascii="Calibri" w:cs="Calibri" w:eastAsia="Calibri" w:hAnsi="Calibri"/>
          <w:color w:val="1e293b"/>
          <w:sz w:val="20"/>
          <w:szCs w:val="20"/>
        </w:rPr>
        <w:t xml:space="preserve">Dokument-UUIDs valideres med UUID-format-regex inden opslag.</w:t>
      </w:r>
    </w:p>
    <w:p>
      <w:pPr>
        <w:spacing w:after="80" w:before="200"/>
      </w:pPr>
      <w:r>
        <w:rPr>
          <w:rFonts w:ascii="Calibri" w:cs="Calibri" w:eastAsia="Calibri" w:hAnsi="Calibri"/>
          <w:b/>
          <w:bCs/>
          <w:color w:val="1e293b"/>
          <w:sz w:val="20"/>
          <w:szCs w:val="20"/>
        </w:rPr>
        <w:t xml:space="preserve">Caching:</w:t>
      </w:r>
    </w:p>
    <w:p>
      <w:pPr>
        <w:pStyle w:val="ListParagraph"/>
        <w:numPr>
          <w:ilvl w:val="0"/>
          <w:numId w:val="1"/>
        </w:numPr>
        <w:spacing w:after="60" w:before="60"/>
      </w:pPr>
      <w:r>
        <w:rPr>
          <w:rFonts w:ascii="Calibri" w:cs="Calibri" w:eastAsia="Calibri" w:hAnsi="Calibri"/>
          <w:color w:val="1e293b"/>
          <w:sz w:val="20"/>
          <w:szCs w:val="20"/>
        </w:rPr>
        <w:t xml:space="preserve">Svar caches i 1 time (Cache-Control: public, s-maxage=3600) for at reducere belastningen på e-TL.</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4. Teknisk arkitektur</w:t>
      </w:r>
    </w:p>
    <w:p>
      <w:pPr>
        <w:pStyle w:val="ListParagraph"/>
        <w:numPr>
          <w:ilvl w:val="0"/>
          <w:numId w:val="1"/>
        </w:numPr>
        <w:spacing w:after="60" w:before="60"/>
      </w:pPr>
      <w:r>
        <w:rPr>
          <w:rFonts w:ascii="Calibri" w:cs="Calibri" w:eastAsia="Calibri" w:hAnsi="Calibri"/>
          <w:color w:val="1e293b"/>
          <w:sz w:val="20"/>
          <w:szCs w:val="20"/>
        </w:rPr>
        <w:t xml:space="preserve">Hosting: Vercel (serverless, Node.js runtime)</w:t>
      </w:r>
    </w:p>
    <w:p>
      <w:pPr>
        <w:pStyle w:val="ListParagraph"/>
        <w:numPr>
          <w:ilvl w:val="0"/>
          <w:numId w:val="1"/>
        </w:numPr>
        <w:spacing w:after="60" w:before="60"/>
      </w:pPr>
      <w:r>
        <w:rPr>
          <w:rFonts w:ascii="Calibri" w:cs="Calibri" w:eastAsia="Calibri" w:hAnsi="Calibri"/>
          <w:color w:val="1e293b"/>
          <w:sz w:val="20"/>
          <w:szCs w:val="20"/>
        </w:rPr>
        <w:t xml:space="preserve">Framework: Next.js 16 App Router</w:t>
      </w:r>
    </w:p>
    <w:p>
      <w:pPr>
        <w:pStyle w:val="ListParagraph"/>
        <w:numPr>
          <w:ilvl w:val="0"/>
          <w:numId w:val="1"/>
        </w:numPr>
        <w:spacing w:after="60" w:before="60"/>
      </w:pPr>
      <w:r>
        <w:rPr>
          <w:rFonts w:ascii="Calibri" w:cs="Calibri" w:eastAsia="Calibri" w:hAnsi="Calibri"/>
          <w:color w:val="1e293b"/>
          <w:sz w:val="20"/>
          <w:szCs w:val="20"/>
        </w:rPr>
        <w:t xml:space="preserve">Certifikat-opbevaring: Base64-encodet PFX i krypteret Vercel-miljøvariabel (NEMLOGIN_CERT_B64)</w:t>
      </w:r>
    </w:p>
    <w:p>
      <w:pPr>
        <w:spacing w:after="80" w:before="80"/>
      </w:pPr>
    </w:p>
    <w:p>
      <w:pPr>
        <w:spacing w:after="80" w:before="80"/>
        <w:jc w:val="left"/>
      </w:pPr>
      <w:r>
        <w:rPr>
          <w:rFonts w:ascii="Calibri" w:cs="Calibri" w:eastAsia="Calibri" w:hAnsi="Calibri"/>
          <w:b w:val="false"/>
          <w:bCs w:val="false"/>
          <w:i w:val="false"/>
          <w:iCs w:val="false"/>
          <w:color w:val="1e293b"/>
          <w:sz w:val="20"/>
          <w:szCs w:val="20"/>
        </w:rPr>
        <w:t xml:space="preserve">Alle kald til e-TL afsendes fra en dedikeret proxy med statisk IP-adresse. Nedenstående IP-adresse bedes tilføjes til e-TLs IP-whitelist: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Miljo</w:t>
            </w:r>
          </w:p>
        </w:tc>
        <w:tc>
          <w:tcPr>
            <w:tcW w:type="pct" w:w="25%"/>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IP-adresse</w:t>
            </w:r>
          </w:p>
        </w:tc>
        <w:tc>
          <w:tcPr>
            <w:tcW w:type="pct" w:w="50%"/>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Formal</w:t>
            </w:r>
          </w:p>
        </w:tc>
      </w:tr>
      <w:tr>
        <w:tc>
          <w:tcPr>
            <w:tcW w:type="pct" w:w="2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Test/Produktion</w:t>
            </w:r>
          </w:p>
        </w:tc>
        <w:tc>
          <w:tcPr>
            <w:tcW w:type="pct" w:w="25%"/>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204.168.164.252</w:t>
            </w:r>
          </w:p>
        </w:tc>
        <w:tc>
          <w:tcPr>
            <w:tcW w:type="pct" w:w="5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Hetzner VPS proxy (statisk egress for Vercel-hosting)</w:t>
            </w:r>
          </w:p>
        </w:tc>
      </w:tr>
    </w:tbl>
    <w:p>
      <w:pPr>
        <w:spacing w:after="80" w:before="80"/>
      </w:pPr>
    </w:p>
    <w:p>
      <w:pPr>
        <w:spacing w:after="80" w:before="80"/>
        <w:jc w:val="left"/>
      </w:pPr>
      <w:r>
        <w:rPr>
          <w:rFonts w:ascii="Calibri" w:cs="Calibri" w:eastAsia="Calibri" w:hAnsi="Calibri"/>
          <w:b w:val="false"/>
          <w:bCs w:val="false"/>
          <w:i/>
          <w:iCs/>
          <w:color w:val="64748b"/>
          <w:sz w:val="20"/>
          <w:szCs w:val="20"/>
        </w:rPr>
        <w:t xml:space="preserve">Bemærk: IP-adressen 93.161.46.78 (lokal udviklingsmaskine) er allerede whitelistet til testmiljøet og benyttes under udviklingstest.</w:t>
      </w:r>
    </w:p>
    <w:p>
      <w:pPr>
        <w:spacing w:after="80" w:before="80"/>
      </w:pPr>
    </w:p>
    <w:p>
      <w:pPr>
        <w:pStyle w:val="ListParagraph"/>
        <w:numPr>
          <w:ilvl w:val="0"/>
          <w:numId w:val="1"/>
        </w:numPr>
        <w:spacing w:after="60" w:before="60"/>
      </w:pPr>
      <w:r>
        <w:rPr>
          <w:rFonts w:ascii="Calibri" w:cs="Calibri" w:eastAsia="Calibri" w:hAnsi="Calibri"/>
          <w:color w:val="1e293b"/>
          <w:sz w:val="20"/>
          <w:szCs w:val="20"/>
        </w:rPr>
        <w:t xml:space="preserve">Systemcertifikat (produktion): OCES3 FOCES systemcertifikat udstedt til Pecunia IT Consulting ApS, CVR 44718502, via MitID Erhverv / Nets.</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5. Forudsætninger (storkunde-registrering)</w:t>
      </w:r>
    </w:p>
    <w:p>
      <w:pPr>
        <w:spacing w:after="80" w:before="80"/>
        <w:jc w:val="left"/>
      </w:pPr>
      <w:r>
        <w:rPr>
          <w:rFonts w:ascii="Calibri" w:cs="Calibri" w:eastAsia="Calibri" w:hAnsi="Calibri"/>
          <w:b w:val="false"/>
          <w:bCs w:val="false"/>
          <w:i w:val="false"/>
          <w:iCs w:val="false"/>
          <w:color w:val="1e293b"/>
          <w:sz w:val="20"/>
          <w:szCs w:val="20"/>
        </w:rPr>
        <w:t xml:space="preserve">Vi er bekendt med, at adgang til produktionsmiljøet kræver registrering som storkunde hos SKAT i henhold til § 20, stk. 3 i bekendtgørelse nr. 1634 af 29. juni 2021 om tekniske krav og forskrifter for tinglysningssystemet.</w:t>
      </w:r>
    </w:p>
    <w:p>
      <w:pPr>
        <w:spacing w:after="80" w:before="80"/>
        <w:jc w:val="left"/>
      </w:pPr>
      <w:r>
        <w:rPr>
          <w:rFonts w:ascii="Calibri" w:cs="Calibri" w:eastAsia="Calibri" w:hAnsi="Calibri"/>
          <w:b/>
          <w:bCs/>
          <w:i w:val="false"/>
          <w:iCs w:val="false"/>
          <w:color w:val="1e293b"/>
          <w:sz w:val="20"/>
          <w:szCs w:val="20"/>
        </w:rPr>
        <w:t xml:space="preserve">Status: Registrering som storkunde hos SKAT er godkendt.</w:t>
      </w:r>
    </w:p>
    <w:p>
      <w:pPr>
        <w:spacing w:after="80" w:before="80"/>
        <w:jc w:val="left"/>
      </w:pPr>
      <w:r>
        <w:rPr>
          <w:rFonts w:ascii="Calibri" w:cs="Calibri" w:eastAsia="Calibri" w:hAnsi="Calibri"/>
          <w:b w:val="false"/>
          <w:bCs w:val="false"/>
          <w:i w:val="false"/>
          <w:iCs w:val="false"/>
          <w:color w:val="1e293b"/>
          <w:sz w:val="20"/>
          <w:szCs w:val="20"/>
        </w:rPr>
        <w:t xml:space="preserve">Vi fremsender dokumentation for storkunde-registreringen som bilag.</w:t>
      </w:r>
    </w:p>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6. Kontaktperson (teknisk)</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Felt</w:t>
            </w:r>
          </w:p>
        </w:tc>
        <w:tc>
          <w:tcPr>
            <w:tcW w:type="pct" w:w="70%"/>
            <w:shd w:color="1e3a5f" w:val="solid"/>
            <w:tcMar>
              <w:top w:type="dxa" w:w="100"/>
              <w:left w:type="dxa" w:w="160"/>
              <w:bottom w:type="dxa" w:w="100"/>
              <w:right w:type="dxa" w:w="160"/>
            </w:tcMar>
            <w:vAlign w:val="center"/>
          </w:tcPr>
          <w:p>
            <w:pPr>
              <w:jc w:val="left"/>
            </w:pPr>
            <w:r>
              <w:rPr>
                <w:rFonts w:ascii="Calibri" w:cs="Calibri" w:eastAsia="Calibri" w:hAnsi="Calibri"/>
                <w:b/>
                <w:bCs/>
                <w:color w:val="ffffff"/>
                <w:sz w:val="18"/>
                <w:szCs w:val="18"/>
              </w:rPr>
              <w:t xml:space="preserve">Oplysning</w:t>
            </w:r>
          </w:p>
        </w:tc>
      </w:tr>
      <w:tr>
        <w:tc>
          <w:tcPr>
            <w:tcW w:type="pct" w:w="3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Navn</w:t>
            </w:r>
          </w:p>
        </w:tc>
        <w:tc>
          <w:tcPr>
            <w:tcW w:type="pct" w:w="7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Jakob Juul Rasmussen</w:t>
            </w:r>
          </w:p>
        </w:tc>
      </w:tr>
      <w:tr>
        <w:tc>
          <w:tcPr>
            <w:tcW w:type="pct" w:w="3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E-mail</w:t>
            </w:r>
          </w:p>
        </w:tc>
        <w:tc>
          <w:tcPr>
            <w:tcW w:type="pct" w:w="7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support@pecuniait.com</w:t>
            </w:r>
          </w:p>
        </w:tc>
      </w:tr>
      <w:tr>
        <w:tc>
          <w:tcPr>
            <w:tcW w:type="pct" w:w="3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Telefon</w:t>
            </w:r>
          </w:p>
        </w:tc>
        <w:tc>
          <w:tcPr>
            <w:tcW w:type="pct" w:w="7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+45 2434 2655</w:t>
            </w:r>
          </w:p>
        </w:tc>
      </w:tr>
      <w:tr>
        <w:tc>
          <w:tcPr>
            <w:tcW w:type="pct" w:w="3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Virksomhed</w:t>
            </w:r>
          </w:p>
        </w:tc>
        <w:tc>
          <w:tcPr>
            <w:tcW w:type="pct" w:w="7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Pecunia IT Consulting ApS</w:t>
            </w:r>
          </w:p>
        </w:tc>
      </w:tr>
      <w:tr>
        <w:tc>
          <w:tcPr>
            <w:tcW w:type="pct" w:w="3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CVR</w:t>
            </w:r>
          </w:p>
        </w:tc>
        <w:tc>
          <w:tcPr>
            <w:tcW w:type="pct" w:w="70%"/>
            <w:shd w:color="ffffff"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44718502</w:t>
            </w:r>
          </w:p>
        </w:tc>
      </w:tr>
      <w:tr>
        <w:tc>
          <w:tcPr>
            <w:tcW w:type="pct" w:w="3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Adresse</w:t>
            </w:r>
          </w:p>
        </w:tc>
        <w:tc>
          <w:tcPr>
            <w:tcW w:type="pct" w:w="70%"/>
            <w:shd w:color="f8fafc" w:val="solid"/>
            <w:tcMar>
              <w:top w:type="dxa" w:w="100"/>
              <w:left w:type="dxa" w:w="160"/>
              <w:bottom w:type="dxa" w:w="100"/>
              <w:right w:type="dxa" w:w="160"/>
            </w:tcMar>
            <w:vAlign w:val="center"/>
          </w:tcPr>
          <w:p>
            <w:pPr>
              <w:jc w:val="left"/>
            </w:pPr>
            <w:r>
              <w:rPr>
                <w:rFonts w:ascii="Calibri" w:cs="Calibri" w:eastAsia="Calibri" w:hAnsi="Calibri"/>
                <w:b w:val="false"/>
                <w:bCs w:val="false"/>
                <w:color w:val="1e293b"/>
                <w:sz w:val="18"/>
                <w:szCs w:val="18"/>
              </w:rPr>
              <w:t xml:space="preserve">Sobyvej 11, 2650 Hvidovre</w:t>
            </w:r>
          </w:p>
        </w:tc>
      </w:tr>
    </w:tbl>
    <w:p>
      <w:pPr>
        <w:pBdr>
          <w:bottom w:val="single" w:color="e2e8f0" w:sz="6" w:space="1"/>
        </w:pBdr>
        <w:spacing w:after="240" w:before="240"/>
      </w:pPr>
    </w:p>
    <w:p>
      <w:pPr>
        <w:pBdr>
          <w:bottom w:val="single" w:color="e2e8f0" w:sz="6" w:space="1"/>
        </w:pBdr>
        <w:spacing w:after="160" w:before="480"/>
      </w:pPr>
      <w:r>
        <w:rPr>
          <w:rFonts w:ascii="Calibri" w:cs="Calibri" w:eastAsia="Calibri" w:hAnsi="Calibri"/>
          <w:b/>
          <w:bCs/>
          <w:color w:val="1e293b"/>
          <w:sz w:val="28"/>
          <w:szCs w:val="28"/>
        </w:rPr>
        <w:t xml:space="preserve">Bilag</w:t>
      </w:r>
    </w:p>
    <w:p>
      <w:pPr>
        <w:pStyle w:val="ListParagraph"/>
        <w:numPr>
          <w:ilvl w:val="0"/>
          <w:numId w:val="1"/>
        </w:numPr>
        <w:spacing w:after="60" w:before="60"/>
      </w:pPr>
      <w:r>
        <w:rPr>
          <w:rFonts w:ascii="Calibri" w:cs="Calibri" w:eastAsia="Calibri" w:hAnsi="Calibri"/>
          <w:color w:val="1e293b"/>
          <w:sz w:val="20"/>
          <w:szCs w:val="20"/>
        </w:rPr>
        <w:t xml:space="preserve">1. Dokumentation for implementerede services (kode-eksempler pa request/response-handtering)</w:t>
      </w:r>
    </w:p>
    <w:p>
      <w:pPr>
        <w:pStyle w:val="ListParagraph"/>
        <w:numPr>
          <w:ilvl w:val="0"/>
          <w:numId w:val="1"/>
        </w:numPr>
        <w:spacing w:after="60" w:before="60"/>
      </w:pPr>
      <w:r>
        <w:rPr>
          <w:rFonts w:ascii="Calibri" w:cs="Calibri" w:eastAsia="Calibri" w:hAnsi="Calibri"/>
          <w:color w:val="1e293b"/>
          <w:sz w:val="20"/>
          <w:szCs w:val="20"/>
        </w:rPr>
        <w:t xml:space="preserve">2. Dokumentation for storkunde-registrering hos SKAT</w:t>
      </w:r>
    </w:p>
    <w:p>
      <w:pPr>
        <w:pStyle w:val="ListParagraph"/>
        <w:numPr>
          <w:ilvl w:val="0"/>
          <w:numId w:val="1"/>
        </w:numPr>
        <w:spacing w:after="60" w:before="60"/>
      </w:pPr>
      <w:r>
        <w:rPr>
          <w:rFonts w:ascii="Calibri" w:cs="Calibri" w:eastAsia="Calibri" w:hAnsi="Calibri"/>
          <w:color w:val="1e293b"/>
          <w:sz w:val="20"/>
          <w:szCs w:val="20"/>
        </w:rPr>
        <w:t xml:space="preserve">3. Systemcertifikat RID: c12026c7-9ef1-4c03-ae26-00f4cb3be7e91 (OCES3 FOCES, udstedt til Pecunia IT Consulting ApS, CVR 44718502, gyldigt 2026-04-01 - 2029-03-31)</w:t>
      </w:r>
    </w:p>
    <w:p>
      <w:pPr>
        <w:spacing w:after="80" w:before="80"/>
      </w:pPr>
    </w:p>
    <w:p>
      <w:pPr>
        <w:spacing w:after="80" w:before="80"/>
      </w:pPr>
    </w:p>
    <w:p>
      <w:pPr>
        <w:spacing w:after="80" w:before="80"/>
        <w:jc w:val="left"/>
      </w:pPr>
      <w:r>
        <w:rPr>
          <w:rFonts w:ascii="Calibri" w:cs="Calibri" w:eastAsia="Calibri" w:hAnsi="Calibri"/>
          <w:b w:val="false"/>
          <w:bCs w:val="false"/>
          <w:i/>
          <w:iCs/>
          <w:color w:val="64748b"/>
          <w:sz w:val="16"/>
          <w:szCs w:val="16"/>
        </w:rPr>
        <w:t xml:space="preserve">Pecunia IT Consulting ApS forbeholder sig retten til at videregive tingbogsdata til egne abonnenter alene inden for rammerne af offentlighedsprincippet og persondataforordningen (GDPR). Der videregives ikke data til tredjeparter uden for platformens brugerbase.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2026-04-09T07:12:24.982Z</dcterms:created>
  <dcterms:modified xsi:type="dcterms:W3CDTF">2026-04-09T07:12:24.982Z</dcterms:modified>
</cp:coreProperties>
</file>

<file path=docProps/custom.xml><?xml version="1.0" encoding="utf-8"?>
<Properties xmlns="http://schemas.openxmlformats.org/officeDocument/2006/custom-properties" xmlns:vt="http://schemas.openxmlformats.org/officeDocument/2006/docPropsVTypes"/>
</file>