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240"/>
        <w:jc w:val="center"/>
        <w:outlineLvl w:val="0"/>
        <w:rPr>
          <w:rFonts w:ascii="Times New Roman" w:hAnsi="Times New Roman" w:eastAsia="Times New Roman" w:cs="Times New Roman"/>
          <w:b/>
          <w:b/>
          <w:kern w:val="2"/>
          <w:sz w:val="24"/>
          <w:szCs w:val="24"/>
          <w:lang w:eastAsia="ru-RU"/>
        </w:rPr>
      </w:pPr>
      <w:r>
        <w:rPr>
          <w:rFonts w:eastAsia="Times New Roman" w:cs="Times New Roman" w:ascii="Times New Roman" w:hAnsi="Times New Roman"/>
          <w:b/>
          <w:kern w:val="2"/>
          <w:sz w:val="24"/>
          <w:szCs w:val="24"/>
          <w:lang w:eastAsia="ru-RU"/>
        </w:rPr>
        <w:t>Политика организации в отношении обработки персональных данных</w:t>
      </w:r>
    </w:p>
    <w:p>
      <w:pPr>
        <w:pStyle w:val="ListParagraph"/>
        <w:numPr>
          <w:ilvl w:val="0"/>
          <w:numId w:val="1"/>
        </w:numPr>
        <w:spacing w:lineRule="auto" w:line="240" w:before="0" w:after="0"/>
        <w:contextualSpacing/>
        <w:jc w:val="both"/>
        <w:outlineLvl w:val="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Общие положения</w:t>
      </w:r>
    </w:p>
    <w:p>
      <w:pPr>
        <w:pStyle w:val="ListParagraph"/>
        <w:numPr>
          <w:ilvl w:val="1"/>
          <w:numId w:val="1"/>
        </w:numPr>
        <w:spacing w:lineRule="auto" w:line="240" w:before="0" w:after="0"/>
        <w:ind w:left="720" w:hanging="11"/>
        <w:contextualSpacing/>
        <w:jc w:val="both"/>
        <w:outlineLvl w:val="1"/>
        <w:rPr>
          <w:rFonts w:ascii="Times New Roman" w:hAnsi="Times New Roman" w:cs="Times New Roman"/>
          <w:sz w:val="24"/>
          <w:szCs w:val="24"/>
        </w:rPr>
      </w:pPr>
      <w:r>
        <w:rPr>
          <w:rFonts w:eastAsia="Times New Roman" w:cs="Times New Roman" w:ascii="Times New Roman" w:hAnsi="Times New Roman"/>
          <w:sz w:val="24"/>
          <w:szCs w:val="24"/>
          <w:lang w:eastAsia="ru-RU"/>
        </w:rPr>
        <w:t xml:space="preserve">Настоящий документ </w:t>
      </w:r>
      <w:r>
        <w:rPr>
          <w:rFonts w:eastAsia="Times New Roman" w:cs="Times New Roman" w:ascii="Times New Roman" w:hAnsi="Times New Roman"/>
          <w:kern w:val="2"/>
          <w:sz w:val="24"/>
          <w:szCs w:val="24"/>
          <w:lang w:eastAsia="ru-RU"/>
        </w:rPr>
        <w:t>(далее – «Политика»)</w:t>
      </w:r>
      <w:r>
        <w:rPr>
          <w:rFonts w:eastAsia="Times New Roman" w:cs="Times New Roman" w:ascii="Times New Roman" w:hAnsi="Times New Roman"/>
          <w:sz w:val="24"/>
          <w:szCs w:val="24"/>
          <w:lang w:eastAsia="ru-RU"/>
        </w:rPr>
        <w:t xml:space="preserve"> определяет </w:t>
      </w:r>
      <w:r>
        <w:rPr>
          <w:rFonts w:eastAsia="Times New Roman" w:cs="Times New Roman" w:ascii="Times New Roman" w:hAnsi="Times New Roman"/>
          <w:kern w:val="2"/>
          <w:sz w:val="24"/>
          <w:szCs w:val="24"/>
          <w:lang w:eastAsia="ru-RU"/>
        </w:rPr>
        <w:t xml:space="preserve">политику </w:t>
      </w:r>
      <w:r>
        <w:rPr>
          <w:rFonts w:eastAsia="Times New Roman" w:cs="Times New Roman" w:ascii="Times New Roman" w:hAnsi="Times New Roman"/>
          <w:color w:val="000000"/>
          <w:sz w:val="24"/>
          <w:szCs w:val="24"/>
          <w:lang w:eastAsia="ru-RU"/>
        </w:rPr>
        <w:t xml:space="preserve">федерального государственного автономного образовательного учреждения высшего образования «Санкт-Петербургский национальный исследовательский университет информационных технологий, механики и оптики» (ОГРН: </w:t>
      </w:r>
      <w:bookmarkStart w:id="0" w:name="огрн"/>
      <w:r>
        <w:rPr>
          <w:rFonts w:eastAsia="Times New Roman" w:cs="Times New Roman" w:ascii="Times New Roman" w:hAnsi="Times New Roman"/>
          <w:color w:val="000000"/>
          <w:sz w:val="24"/>
          <w:szCs w:val="24"/>
          <w:lang w:eastAsia="ru-RU"/>
        </w:rPr>
        <w:t>1027806868154</w:t>
      </w:r>
      <w:bookmarkEnd w:id="0"/>
      <w:r>
        <w:rPr>
          <w:rFonts w:eastAsia="Times New Roman" w:cs="Times New Roman" w:ascii="Times New Roman" w:hAnsi="Times New Roman"/>
          <w:color w:val="000000"/>
          <w:sz w:val="24"/>
          <w:szCs w:val="24"/>
          <w:lang w:eastAsia="ru-RU"/>
        </w:rPr>
        <w:t xml:space="preserve">, ИНН 7813045547; адрес: 197101, г. Санкт-Петербург, Кронверкский пр., д. 49, </w:t>
      </w:r>
      <w:r>
        <w:rPr>
          <w:rFonts w:eastAsia="Times New Roman" w:cs="Times New Roman" w:ascii="Times New Roman" w:hAnsi="Times New Roman"/>
          <w:sz w:val="24"/>
          <w:szCs w:val="24"/>
          <w:lang w:eastAsia="ru-RU"/>
        </w:rPr>
        <w:t>далее - «Оператор»)</w:t>
      </w:r>
      <w:r>
        <w:rPr>
          <w:rFonts w:eastAsia="Times New Roman" w:cs="Times New Roman" w:ascii="Times New Roman" w:hAnsi="Times New Roman"/>
          <w:kern w:val="2"/>
          <w:sz w:val="24"/>
          <w:szCs w:val="24"/>
          <w:lang w:eastAsia="ru-RU"/>
        </w:rPr>
        <w:t xml:space="preserve"> в отношении обработки персональных данных и содержит, помимо прочего, </w:t>
      </w:r>
      <w:r>
        <w:rPr>
          <w:rFonts w:cs="Times New Roman" w:ascii="Times New Roman" w:hAnsi="Times New Roman"/>
          <w:sz w:val="24"/>
          <w:szCs w:val="24"/>
        </w:rPr>
        <w:t>сведения о реализуемых Оператором требованиях к защите персональных данных.</w:t>
      </w:r>
    </w:p>
    <w:p>
      <w:pPr>
        <w:pStyle w:val="ListParagraph"/>
        <w:numPr>
          <w:ilvl w:val="1"/>
          <w:numId w:val="1"/>
        </w:numPr>
        <w:spacing w:lineRule="auto" w:line="240" w:before="0" w:after="0"/>
        <w:ind w:left="720" w:hanging="11"/>
        <w:contextualSpacing/>
        <w:jc w:val="both"/>
        <w:outlineLvl w:val="1"/>
        <w:rPr/>
      </w:pPr>
      <w:r>
        <w:rPr>
          <w:rFonts w:eastAsia="Times New Roman" w:cs="Times New Roman" w:ascii="Times New Roman" w:hAnsi="Times New Roman"/>
          <w:kern w:val="2"/>
          <w:sz w:val="24"/>
          <w:szCs w:val="24"/>
          <w:lang w:eastAsia="ru-RU"/>
        </w:rPr>
        <w:t xml:space="preserve"> </w:t>
      </w:r>
      <w:r>
        <w:rPr>
          <w:rFonts w:eastAsia="Times New Roman" w:cs="Times New Roman" w:ascii="Times New Roman" w:hAnsi="Times New Roman"/>
          <w:kern w:val="2"/>
          <w:sz w:val="24"/>
          <w:szCs w:val="24"/>
          <w:lang w:eastAsia="ru-RU"/>
        </w:rPr>
        <w:t xml:space="preserve">Политика утверждена и опубликована на сайте </w:t>
      </w:r>
      <w:hyperlink r:id="rId2">
        <w:r>
          <w:rPr>
            <w:rStyle w:val="InternetLink"/>
            <w:rFonts w:eastAsia="Times New Roman" w:cs="Times New Roman" w:ascii="Times New Roman" w:hAnsi="Times New Roman"/>
            <w:kern w:val="2"/>
            <w:sz w:val="24"/>
            <w:szCs w:val="28"/>
            <w:lang w:val="en-US" w:eastAsia="ru-RU"/>
          </w:rPr>
          <w:t>https://itmo-cse.github.io/</w:t>
        </w:r>
      </w:hyperlink>
      <w:r>
        <w:rPr>
          <w:rFonts w:eastAsia="Times New Roman" w:cs="Times New Roman" w:ascii="Times New Roman" w:hAnsi="Times New Roman"/>
          <w:kern w:val="2"/>
          <w:sz w:val="24"/>
          <w:szCs w:val="28"/>
          <w:lang w:val="en-US" w:eastAsia="ru-RU"/>
        </w:rPr>
        <w:t xml:space="preserve"> </w:t>
      </w:r>
      <w:r>
        <w:rPr>
          <w:rFonts w:eastAsia="Times New Roman" w:cs="Times New Roman" w:ascii="Times New Roman" w:hAnsi="Times New Roman"/>
          <w:kern w:val="2"/>
          <w:sz w:val="24"/>
          <w:szCs w:val="24"/>
          <w:lang w:eastAsia="ru-RU"/>
        </w:rPr>
        <w:t xml:space="preserve"> (далее – «Сайт») </w:t>
      </w:r>
      <w:r>
        <w:rPr>
          <w:rFonts w:eastAsia="Times New Roman" w:cs="Times New Roman" w:ascii="Times New Roman" w:hAnsi="Times New Roman"/>
          <w:sz w:val="24"/>
          <w:szCs w:val="24"/>
          <w:lang w:eastAsia="ru-RU"/>
        </w:rPr>
        <w:t xml:space="preserve">во исполнение Оператором предусмотренных частью 2 статьи 18.1 Федерального закона от </w:t>
      </w:r>
      <w:r>
        <w:rPr>
          <w:rFonts w:cs="Times New Roman" w:ascii="Times New Roman" w:hAnsi="Times New Roman"/>
          <w:sz w:val="24"/>
          <w:szCs w:val="24"/>
        </w:rPr>
        <w:t>27.07.2006 N 152-ФЗ</w:t>
      </w:r>
      <w:r>
        <w:rPr>
          <w:rFonts w:eastAsia="Times New Roman" w:cs="Times New Roman" w:ascii="Times New Roman" w:hAnsi="Times New Roman"/>
          <w:sz w:val="24"/>
          <w:szCs w:val="24"/>
          <w:lang w:eastAsia="ru-RU"/>
        </w:rPr>
        <w:t xml:space="preserve"> </w:t>
      </w:r>
      <w:r>
        <w:rPr>
          <w:rFonts w:cs="Times New Roman" w:ascii="Times New Roman" w:hAnsi="Times New Roman"/>
          <w:sz w:val="24"/>
          <w:szCs w:val="24"/>
        </w:rPr>
        <w:t>"О персональных данных" (далее – «Федеральный закон») обязанностей по опубликованию в информационно-телекоммуникационной сети документа, определяющего политику Оператора в отношении обработки персональных данных, и сведений о реализуемых требованиях к защите персональных данных, а также по обеспечению возможности доступа к указанному документу с использованием средств соответствующей информационно-телекоммуникационной сети.</w:t>
      </w:r>
    </w:p>
    <w:p>
      <w:pPr>
        <w:pStyle w:val="ListParagraph"/>
        <w:numPr>
          <w:ilvl w:val="1"/>
          <w:numId w:val="1"/>
        </w:numPr>
        <w:spacing w:lineRule="auto" w:line="240" w:before="0" w:after="0"/>
        <w:ind w:left="720" w:hanging="11"/>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Политика разработана с учетом требований законодательства Российской Федерации в области персональных данных. Примененные в Политике термины следует понимать в значении, определенном для них в Федеральном законе, если иное прямо не оговорено в Политике.</w:t>
      </w:r>
    </w:p>
    <w:p>
      <w:pPr>
        <w:pStyle w:val="ListParagraph"/>
        <w:numPr>
          <w:ilvl w:val="1"/>
          <w:numId w:val="1"/>
        </w:numPr>
        <w:spacing w:lineRule="auto" w:line="240" w:before="0" w:after="0"/>
        <w:ind w:left="720" w:hanging="11"/>
        <w:contextualSpacing/>
        <w:jc w:val="both"/>
        <w:rPr/>
      </w:pPr>
      <w:r>
        <w:rPr>
          <w:rFonts w:eastAsia="Times New Roman" w:cs="Times New Roman" w:ascii="Times New Roman" w:hAnsi="Times New Roman"/>
          <w:sz w:val="24"/>
          <w:szCs w:val="24"/>
          <w:lang w:eastAsia="ru-RU"/>
        </w:rPr>
        <w:t xml:space="preserve">Политика доступна любому пользователю сети Интернет при переходе по ссылке </w:t>
      </w:r>
      <w:hyperlink r:id="rId3">
        <w:bookmarkStart w:id="1" w:name="_GoBack"/>
        <w:bookmarkEnd w:id="1"/>
        <w:r>
          <w:rPr>
            <w:rStyle w:val="InternetLink"/>
            <w:rFonts w:eastAsia="Times New Roman" w:cs="Times New Roman" w:ascii="Times New Roman" w:hAnsi="Times New Roman"/>
            <w:sz w:val="24"/>
            <w:szCs w:val="28"/>
            <w:lang w:val="en-US" w:eastAsia="ru-RU"/>
          </w:rPr>
          <w:t>https://itmo-cse.github.io/</w:t>
        </w:r>
        <w:r>
          <w:rPr>
            <w:rStyle w:val="InternetLink"/>
            <w:rFonts w:eastAsia="Times New Roman" w:cs="Times New Roman" w:ascii="Times New Roman" w:hAnsi="Times New Roman"/>
            <w:sz w:val="24"/>
            <w:szCs w:val="28"/>
            <w:lang w:val="en-US" w:eastAsia="ru-RU"/>
          </w:rPr>
          <w:t>assets/pdf/pd_policy.pdf</w:t>
        </w:r>
      </w:hyperlink>
      <w:hyperlink r:id="rId4">
        <w:r>
          <w:rPr>
            <w:rFonts w:eastAsia="Times New Roman" w:cs="Times New Roman" w:ascii="Times New Roman" w:hAnsi="Times New Roman"/>
            <w:sz w:val="24"/>
            <w:szCs w:val="28"/>
            <w:lang w:val="en-US" w:eastAsia="ru-RU"/>
          </w:rPr>
          <w:t xml:space="preserve"> </w:t>
        </w:r>
      </w:hyperlink>
      <w:r>
        <w:rPr>
          <w:rFonts w:eastAsia="Times New Roman" w:cs="Times New Roman" w:ascii="Times New Roman" w:hAnsi="Times New Roman"/>
          <w:sz w:val="24"/>
          <w:szCs w:val="24"/>
          <w:lang w:eastAsia="ru-RU"/>
        </w:rPr>
        <w:t>.</w:t>
      </w:r>
    </w:p>
    <w:p>
      <w:pPr>
        <w:pStyle w:val="ListParagraph"/>
        <w:numPr>
          <w:ilvl w:val="1"/>
          <w:numId w:val="1"/>
        </w:numPr>
        <w:spacing w:lineRule="auto" w:line="240" w:before="0" w:after="0"/>
        <w:ind w:left="720" w:hanging="11"/>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Оператор обрабатывает персональные данные пользователей с учетом следующих принципов:</w:t>
      </w:r>
    </w:p>
    <w:p>
      <w:pPr>
        <w:pStyle w:val="Normal"/>
        <w:spacing w:lineRule="auto" w:line="240" w:before="0" w:after="0"/>
        <w:ind w:left="1418" w:hanging="11"/>
        <w:jc w:val="both"/>
        <w:rPr>
          <w:rFonts w:ascii="Times New Roman" w:hAnsi="Times New Roman" w:eastAsia="Times New Roman" w:cs="Times New Roman"/>
          <w:sz w:val="24"/>
          <w:szCs w:val="24"/>
          <w:lang w:eastAsia="ru-RU"/>
        </w:rPr>
      </w:pPr>
      <w:r>
        <w:rPr>
          <w:rFonts w:eastAsia="Symbol" w:cs="Symbol" w:ascii="Symbol" w:hAnsi="Symbol"/>
          <w:sz w:val="24"/>
          <w:szCs w:val="24"/>
          <w:lang w:eastAsia="ru-RU"/>
        </w:rPr>
        <w:t></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о</w:t>
      </w:r>
      <w:r>
        <w:rPr>
          <w:rFonts w:cs="Times New Roman" w:ascii="Times New Roman" w:hAnsi="Times New Roman"/>
          <w:sz w:val="24"/>
          <w:szCs w:val="24"/>
        </w:rPr>
        <w:t>бработка персональных данных осуществляется Оператором на законной и справедливой основе;</w:t>
      </w:r>
    </w:p>
    <w:p>
      <w:pPr>
        <w:pStyle w:val="Normal"/>
        <w:spacing w:lineRule="auto" w:line="240" w:before="0" w:after="0"/>
        <w:ind w:left="1418" w:hanging="11"/>
        <w:jc w:val="both"/>
        <w:rPr>
          <w:rFonts w:ascii="Times New Roman" w:hAnsi="Times New Roman" w:cs="Times New Roman"/>
          <w:sz w:val="24"/>
          <w:szCs w:val="24"/>
        </w:rPr>
      </w:pPr>
      <w:r>
        <w:rPr>
          <w:rFonts w:eastAsia="Times New Roman" w:cs="Times New Roman" w:ascii="Times New Roman" w:hAnsi="Times New Roman"/>
          <w:sz w:val="24"/>
          <w:szCs w:val="24"/>
          <w:lang w:eastAsia="ru-RU"/>
        </w:rPr>
        <w:t>- о</w:t>
      </w:r>
      <w:r>
        <w:rPr>
          <w:rFonts w:cs="Times New Roman" w:ascii="Times New Roman" w:hAnsi="Times New Roman"/>
          <w:sz w:val="24"/>
          <w:szCs w:val="24"/>
        </w:rPr>
        <w:t>бработка персональных данных ограничивается достижением конкретных, заранее определенных и законных целей. Оператором не допускается обработка персональных данных, несовместимая с целями сбора персональных данных;</w:t>
      </w:r>
    </w:p>
    <w:p>
      <w:pPr>
        <w:pStyle w:val="Normal"/>
        <w:spacing w:lineRule="auto" w:line="240" w:before="0" w:after="0"/>
        <w:ind w:left="1418" w:hanging="11"/>
        <w:jc w:val="both"/>
        <w:rPr>
          <w:rFonts w:ascii="Times New Roman" w:hAnsi="Times New Roman" w:cs="Times New Roman"/>
          <w:sz w:val="24"/>
          <w:szCs w:val="24"/>
        </w:rPr>
      </w:pPr>
      <w:r>
        <w:rPr>
          <w:rFonts w:cs="Times New Roman" w:ascii="Times New Roman" w:hAnsi="Times New Roman"/>
          <w:sz w:val="24"/>
          <w:szCs w:val="24"/>
        </w:rPr>
        <w:t xml:space="preserve">- </w:t>
      </w:r>
      <w:r>
        <w:rPr>
          <w:rFonts w:eastAsia="Times New Roman" w:cs="Times New Roman" w:ascii="Times New Roman" w:hAnsi="Times New Roman"/>
          <w:sz w:val="24"/>
          <w:szCs w:val="24"/>
          <w:lang w:eastAsia="ru-RU"/>
        </w:rPr>
        <w:t>н</w:t>
      </w:r>
      <w:r>
        <w:rPr>
          <w:rFonts w:cs="Times New Roman" w:ascii="Times New Roman" w:hAnsi="Times New Roman"/>
          <w:sz w:val="24"/>
          <w:szCs w:val="24"/>
        </w:rPr>
        <w:t>е допускается объединение баз данных, содержащих персональные данные, обработка которых осуществляется в целях, несовместимых между собой;</w:t>
      </w:r>
    </w:p>
    <w:p>
      <w:pPr>
        <w:pStyle w:val="Normal"/>
        <w:spacing w:lineRule="auto" w:line="240" w:before="0" w:after="0"/>
        <w:ind w:left="1418" w:hanging="11"/>
        <w:jc w:val="both"/>
        <w:rPr>
          <w:rFonts w:ascii="Times New Roman" w:hAnsi="Times New Roman" w:cs="Times New Roman"/>
          <w:sz w:val="24"/>
          <w:szCs w:val="24"/>
        </w:rPr>
      </w:pPr>
      <w:r>
        <w:rPr>
          <w:rFonts w:cs="Times New Roman" w:ascii="Times New Roman" w:hAnsi="Times New Roman"/>
          <w:sz w:val="24"/>
          <w:szCs w:val="24"/>
        </w:rPr>
        <w:t>- обработке Оператором подлежат только персональные данные, которые отвечают целям их обработки;</w:t>
      </w:r>
    </w:p>
    <w:p>
      <w:pPr>
        <w:pStyle w:val="Normal"/>
        <w:spacing w:lineRule="auto" w:line="240" w:before="0" w:after="0"/>
        <w:ind w:left="1418" w:hanging="11"/>
        <w:jc w:val="both"/>
        <w:rPr>
          <w:rFonts w:ascii="Times New Roman" w:hAnsi="Times New Roman" w:cs="Times New Roman"/>
          <w:sz w:val="24"/>
          <w:szCs w:val="24"/>
        </w:rPr>
      </w:pPr>
      <w:r>
        <w:rPr>
          <w:rFonts w:cs="Times New Roman" w:ascii="Times New Roman" w:hAnsi="Times New Roman"/>
          <w:sz w:val="24"/>
          <w:szCs w:val="24"/>
        </w:rPr>
        <w:t xml:space="preserve">- </w:t>
      </w:r>
      <w:r>
        <w:rPr>
          <w:rFonts w:eastAsia="Times New Roman" w:cs="Times New Roman" w:ascii="Times New Roman" w:hAnsi="Times New Roman"/>
          <w:sz w:val="24"/>
          <w:szCs w:val="24"/>
          <w:lang w:eastAsia="ru-RU"/>
        </w:rPr>
        <w:t>с</w:t>
      </w:r>
      <w:r>
        <w:rPr>
          <w:rFonts w:cs="Times New Roman" w:ascii="Times New Roman" w:hAnsi="Times New Roman"/>
          <w:sz w:val="24"/>
          <w:szCs w:val="24"/>
        </w:rPr>
        <w:t>одержание и объем обрабатываемых Оператором персональных данных соответствуют заявленным целям обработки. Обрабатываемые персональные данные не являются избыточными по отношению к заявленным целям их обработки;</w:t>
      </w:r>
    </w:p>
    <w:p>
      <w:pPr>
        <w:pStyle w:val="Normal"/>
        <w:spacing w:lineRule="auto" w:line="240" w:before="0" w:after="0"/>
        <w:ind w:left="1418" w:hanging="11"/>
        <w:jc w:val="both"/>
        <w:rPr>
          <w:rFonts w:ascii="Times New Roman" w:hAnsi="Times New Roman" w:cs="Times New Roman"/>
          <w:sz w:val="24"/>
          <w:szCs w:val="24"/>
        </w:rPr>
      </w:pPr>
      <w:r>
        <w:rPr>
          <w:rFonts w:cs="Times New Roman" w:ascii="Times New Roman" w:hAnsi="Times New Roman"/>
          <w:sz w:val="24"/>
          <w:szCs w:val="24"/>
        </w:rPr>
        <w:t xml:space="preserve">- </w:t>
      </w:r>
      <w:r>
        <w:rPr>
          <w:rFonts w:eastAsia="Times New Roman" w:cs="Times New Roman" w:ascii="Times New Roman" w:hAnsi="Times New Roman"/>
          <w:sz w:val="24"/>
          <w:szCs w:val="24"/>
          <w:lang w:eastAsia="ru-RU"/>
        </w:rPr>
        <w:t>п</w:t>
      </w:r>
      <w:r>
        <w:rPr>
          <w:rFonts w:cs="Times New Roman" w:ascii="Times New Roman" w:hAnsi="Times New Roman"/>
          <w:sz w:val="24"/>
          <w:szCs w:val="24"/>
        </w:rPr>
        <w:t>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по удалению или уточнению неполных или неточных данных;</w:t>
      </w:r>
    </w:p>
    <w:p>
      <w:pPr>
        <w:pStyle w:val="Normal"/>
        <w:spacing w:lineRule="auto" w:line="240" w:before="0" w:after="0"/>
        <w:ind w:left="1418" w:hanging="11"/>
        <w:jc w:val="both"/>
        <w:rPr>
          <w:rFonts w:ascii="Times New Roman" w:hAnsi="Times New Roman" w:cs="Times New Roman"/>
          <w:sz w:val="24"/>
          <w:szCs w:val="24"/>
        </w:rPr>
      </w:pPr>
      <w:r>
        <w:rPr>
          <w:rFonts w:eastAsia="Times New Roman" w:cs="Times New Roman" w:ascii="Times New Roman" w:hAnsi="Times New Roman"/>
          <w:sz w:val="24"/>
          <w:szCs w:val="24"/>
          <w:lang w:eastAsia="ru-RU"/>
        </w:rPr>
        <w:t>- х</w:t>
      </w:r>
      <w:r>
        <w:rPr>
          <w:rFonts w:cs="Times New Roman" w:ascii="Times New Roman" w:hAnsi="Times New Roman"/>
          <w:sz w:val="24"/>
          <w:szCs w:val="24"/>
        </w:rPr>
        <w:t>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2. Права субъекта персональных данных  на доступ к его персональным данным</w:t>
      </w:r>
    </w:p>
    <w:p>
      <w:pPr>
        <w:pStyle w:val="ListParagraph"/>
        <w:numPr>
          <w:ilvl w:val="1"/>
          <w:numId w:val="2"/>
        </w:numPr>
        <w:spacing w:lineRule="auto" w:line="240" w:before="0" w:after="0"/>
        <w:ind w:left="709" w:hanging="0"/>
        <w:contextualSpacing/>
        <w:jc w:val="both"/>
        <w:rPr>
          <w:rFonts w:ascii="Times New Roman" w:hAnsi="Times New Roman" w:cs="Times New Roman"/>
          <w:sz w:val="24"/>
          <w:szCs w:val="24"/>
        </w:rPr>
      </w:pPr>
      <w:r>
        <w:rPr>
          <w:rFonts w:cs="Times New Roman" w:ascii="Times New Roman" w:hAnsi="Times New Roman"/>
          <w:sz w:val="24"/>
          <w:szCs w:val="24"/>
        </w:rPr>
        <w:t>Субъект персональных данных имеет право на получение следующих сведений:</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подтверждение факта обработки персональных данных Оператором;</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правовые основания и цели обработки персональных данных;</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цели и применяемые Оператором способы обработки персональных данных;</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сроки обработки персональных данных, в том числе сроки их хранения;</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порядок осуществления субъектом персональных данных прав, предусмотренных Федеральным законом;</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информацию об осуществленной или о предполагаемой трансграничной передаче данных;</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pPr>
        <w:pStyle w:val="ListParagraph"/>
        <w:numPr>
          <w:ilvl w:val="0"/>
          <w:numId w:val="3"/>
        </w:numPr>
        <w:tabs>
          <w:tab w:val="clear" w:pos="708"/>
          <w:tab w:val="left" w:pos="1701" w:leader="none"/>
        </w:tabs>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иные сведения, предусмотренные законодательством Российской Федерации.</w:t>
      </w:r>
    </w:p>
    <w:p>
      <w:pPr>
        <w:pStyle w:val="ListParagraph"/>
        <w:numPr>
          <w:ilvl w:val="1"/>
          <w:numId w:val="2"/>
        </w:numPr>
        <w:spacing w:lineRule="auto" w:line="240" w:before="0" w:after="0"/>
        <w:ind w:left="709"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Право субъекта персональных данных на доступ к его персональным данным может быть ограничено в случаях, предусмотренных законодательством Российской Федерации.</w:t>
      </w:r>
    </w:p>
    <w:p>
      <w:pPr>
        <w:pStyle w:val="ListParagraph"/>
        <w:numPr>
          <w:ilvl w:val="0"/>
          <w:numId w:val="2"/>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Реализуемые оператором требования к защите персональных данных</w:t>
      </w:r>
    </w:p>
    <w:p>
      <w:pPr>
        <w:pStyle w:val="ListParagraph"/>
        <w:numPr>
          <w:ilvl w:val="1"/>
          <w:numId w:val="2"/>
        </w:numPr>
        <w:spacing w:lineRule="auto" w:line="240" w:before="0" w:after="0"/>
        <w:ind w:left="709" w:hanging="0"/>
        <w:contextualSpacing/>
        <w:jc w:val="both"/>
        <w:rPr>
          <w:rFonts w:ascii="Times New Roman" w:hAnsi="Times New Roman" w:cs="Times New Roman"/>
          <w:sz w:val="24"/>
          <w:szCs w:val="24"/>
        </w:rPr>
      </w:pPr>
      <w:bookmarkStart w:id="2" w:name="Par9"/>
      <w:bookmarkEnd w:id="2"/>
      <w:r>
        <w:rPr>
          <w:rFonts w:cs="Times New Roman" w:ascii="Times New Roman" w:hAnsi="Times New Roman"/>
          <w:sz w:val="24"/>
          <w:szCs w:val="24"/>
        </w:rPr>
        <w:t>Оператор при обработке персональных данных принимает все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pPr>
        <w:pStyle w:val="ListParagraph"/>
        <w:numPr>
          <w:ilvl w:val="1"/>
          <w:numId w:val="2"/>
        </w:numPr>
        <w:spacing w:lineRule="auto" w:line="240" w:before="0" w:after="0"/>
        <w:ind w:left="709" w:hanging="0"/>
        <w:contextualSpacing/>
        <w:jc w:val="both"/>
        <w:rPr>
          <w:rFonts w:ascii="Times New Roman" w:hAnsi="Times New Roman" w:cs="Times New Roman"/>
          <w:sz w:val="24"/>
          <w:szCs w:val="24"/>
        </w:rPr>
      </w:pPr>
      <w:r>
        <w:rPr>
          <w:rFonts w:cs="Times New Roman" w:ascii="Times New Roman" w:hAnsi="Times New Roman"/>
          <w:sz w:val="24"/>
          <w:szCs w:val="24"/>
        </w:rPr>
        <w:t>Обеспечение безопасности персональных данных достигается, в частности:</w:t>
      </w:r>
    </w:p>
    <w:p>
      <w:pPr>
        <w:pStyle w:val="ListParagraph"/>
        <w:spacing w:lineRule="auto" w:line="240" w:before="0" w:after="0"/>
        <w:ind w:left="1418" w:hanging="0"/>
        <w:contextualSpacing/>
        <w:jc w:val="both"/>
        <w:rPr>
          <w:rFonts w:ascii="Times New Roman" w:hAnsi="Times New Roman" w:cs="Times New Roman"/>
          <w:sz w:val="24"/>
          <w:szCs w:val="24"/>
        </w:rPr>
      </w:pPr>
      <w:r>
        <w:rPr>
          <w:rFonts w:cs="Times New Roman" w:ascii="Times New Roman" w:hAnsi="Times New Roman"/>
          <w:sz w:val="24"/>
          <w:szCs w:val="24"/>
        </w:rPr>
        <w:t>1) определением угроз безопасности персональных данных при их обработке в информационных системах персональных данных;</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2)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3) применением прошедших в установленном порядке процедуру оценки соответствия средств защиты информации;</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4) 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5) учетом машинных носителей персональных данных;</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6) обнаружением фактов несанкционированного доступа к персональным данным и принятием мер;</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7) восстановлением персональных данных, модифицированных или уничтоженных вследствие несанкционированного доступа к ним;</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8) установлением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w:t>
      </w:r>
    </w:p>
    <w:p>
      <w:pPr>
        <w:pStyle w:val="Normal"/>
        <w:spacing w:lineRule="auto" w:line="240" w:before="0" w:after="0"/>
        <w:ind w:left="1418" w:hanging="0"/>
        <w:jc w:val="both"/>
        <w:rPr>
          <w:rFonts w:ascii="Times New Roman" w:hAnsi="Times New Roman" w:cs="Times New Roman"/>
          <w:sz w:val="24"/>
          <w:szCs w:val="24"/>
        </w:rPr>
      </w:pPr>
      <w:r>
        <w:rPr>
          <w:rFonts w:cs="Times New Roman" w:ascii="Times New Roman" w:hAnsi="Times New Roman"/>
          <w:sz w:val="24"/>
          <w:szCs w:val="24"/>
        </w:rPr>
        <w:t>9) контролем за принимаемыми мерами по обеспечению безопасности персональных данных и уровня защищенности информационных систем персональных данных.</w:t>
      </w:r>
    </w:p>
    <w:p>
      <w:pPr>
        <w:pStyle w:val="Normal"/>
        <w:widowControl/>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rPr>
        <w:sz w:val="24"/>
        <w:rFonts w:ascii="Times New Roman" w:hAnsi="Times New Roman" w:eastAsia="Times New Roman"/>
      </w:rPr>
    </w:lvl>
    <w:lvl w:ilvl="2">
      <w:start w:val="1"/>
      <w:numFmt w:val="decimal"/>
      <w:lvlText w:val="%1.%2.%3."/>
      <w:lvlJc w:val="left"/>
      <w:pPr>
        <w:ind w:left="1080" w:hanging="720"/>
      </w:pPr>
      <w:rPr>
        <w:rFonts w:eastAsia="Times New Roman"/>
      </w:rPr>
    </w:lvl>
    <w:lvl w:ilvl="3">
      <w:start w:val="1"/>
      <w:numFmt w:val="decimal"/>
      <w:lvlText w:val="%1.%2.%3.%4."/>
      <w:lvlJc w:val="left"/>
      <w:pPr>
        <w:ind w:left="1080" w:hanging="720"/>
      </w:pPr>
      <w:rPr>
        <w:rFonts w:eastAsia="Times New Roman"/>
      </w:rPr>
    </w:lvl>
    <w:lvl w:ilvl="4">
      <w:start w:val="1"/>
      <w:numFmt w:val="decimal"/>
      <w:lvlText w:val="%1.%2.%3.%4.%5."/>
      <w:lvlJc w:val="left"/>
      <w:pPr>
        <w:ind w:left="1440" w:hanging="1080"/>
      </w:pPr>
      <w:rPr>
        <w:rFonts w:eastAsia="Times New Roman"/>
      </w:rPr>
    </w:lvl>
    <w:lvl w:ilvl="5">
      <w:start w:val="1"/>
      <w:numFmt w:val="decimal"/>
      <w:lvlText w:val="%1.%2.%3.%4.%5.%6."/>
      <w:lvlJc w:val="left"/>
      <w:pPr>
        <w:ind w:left="1440" w:hanging="1080"/>
      </w:pPr>
      <w:rPr>
        <w:rFonts w:eastAsia="Times New Roman"/>
      </w:rPr>
    </w:lvl>
    <w:lvl w:ilvl="6">
      <w:start w:val="1"/>
      <w:numFmt w:val="decimal"/>
      <w:lvlText w:val="%1.%2.%3.%4.%5.%6.%7."/>
      <w:lvlJc w:val="left"/>
      <w:pPr>
        <w:ind w:left="1800" w:hanging="1440"/>
      </w:pPr>
      <w:rPr>
        <w:rFonts w:eastAsia="Times New Roman"/>
      </w:rPr>
    </w:lvl>
    <w:lvl w:ilvl="7">
      <w:start w:val="1"/>
      <w:numFmt w:val="decimal"/>
      <w:lvlText w:val="%1.%2.%3.%4.%5.%6.%7.%8."/>
      <w:lvlJc w:val="left"/>
      <w:pPr>
        <w:ind w:left="1800" w:hanging="1440"/>
      </w:pPr>
      <w:rPr>
        <w:rFonts w:eastAsia="Times New Roman"/>
      </w:rPr>
    </w:lvl>
    <w:lvl w:ilvl="8">
      <w:start w:val="1"/>
      <w:numFmt w:val="decimal"/>
      <w:lvlText w:val="%1.%2.%3.%4.%5.%6.%7.%8.%9."/>
      <w:lvlJc w:val="left"/>
      <w:pPr>
        <w:ind w:left="2160" w:hanging="1800"/>
      </w:pPr>
      <w:rPr>
        <w:rFonts w:eastAsia="Times New Roman"/>
      </w:rPr>
    </w:lvl>
  </w:abstractNum>
  <w:abstractNum w:abstractNumId="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6387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6387b"/>
    <w:rPr>
      <w:color w:val="0000FF"/>
      <w:u w:val="single"/>
    </w:rPr>
  </w:style>
  <w:style w:type="character" w:styleId="Annotationreference">
    <w:name w:val="annotation reference"/>
    <w:basedOn w:val="DefaultParagraphFont"/>
    <w:uiPriority w:val="99"/>
    <w:semiHidden/>
    <w:unhideWhenUsed/>
    <w:qFormat/>
    <w:rsid w:val="000240e9"/>
    <w:rPr>
      <w:sz w:val="16"/>
      <w:szCs w:val="16"/>
    </w:rPr>
  </w:style>
  <w:style w:type="character" w:styleId="Style14" w:customStyle="1">
    <w:name w:val="Текст примечания Знак"/>
    <w:basedOn w:val="DefaultParagraphFont"/>
    <w:link w:val="a6"/>
    <w:uiPriority w:val="99"/>
    <w:semiHidden/>
    <w:qFormat/>
    <w:rsid w:val="000240e9"/>
    <w:rPr>
      <w:sz w:val="20"/>
      <w:szCs w:val="20"/>
    </w:rPr>
  </w:style>
  <w:style w:type="character" w:styleId="Style15" w:customStyle="1">
    <w:name w:val="Тема примечания Знак"/>
    <w:basedOn w:val="Style14"/>
    <w:link w:val="a8"/>
    <w:uiPriority w:val="99"/>
    <w:semiHidden/>
    <w:qFormat/>
    <w:rsid w:val="000240e9"/>
    <w:rPr>
      <w:b/>
      <w:bCs/>
      <w:sz w:val="20"/>
      <w:szCs w:val="20"/>
    </w:rPr>
  </w:style>
  <w:style w:type="character" w:styleId="Style16" w:customStyle="1">
    <w:name w:val="Текст выноски Знак"/>
    <w:basedOn w:val="DefaultParagraphFont"/>
    <w:link w:val="aa"/>
    <w:uiPriority w:val="99"/>
    <w:semiHidden/>
    <w:qFormat/>
    <w:rsid w:val="000240e9"/>
    <w:rPr>
      <w:rFonts w:ascii="Tahoma" w:hAnsi="Tahoma" w:cs="Tahoma"/>
      <w:sz w:val="16"/>
      <w:szCs w:val="16"/>
    </w:rPr>
  </w:style>
  <w:style w:type="character" w:styleId="UnresolvedMention">
    <w:name w:val="Unresolved Mention"/>
    <w:basedOn w:val="DefaultParagraphFont"/>
    <w:uiPriority w:val="99"/>
    <w:semiHidden/>
    <w:unhideWhenUsed/>
    <w:qFormat/>
    <w:rsid w:val="000a5140"/>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6387b"/>
    <w:pPr>
      <w:spacing w:before="0" w:after="200"/>
      <w:ind w:left="720" w:hanging="0"/>
      <w:contextualSpacing/>
    </w:pPr>
    <w:rPr/>
  </w:style>
  <w:style w:type="paragraph" w:styleId="Annotationtext">
    <w:name w:val="annotation text"/>
    <w:basedOn w:val="Normal"/>
    <w:link w:val="a7"/>
    <w:uiPriority w:val="99"/>
    <w:semiHidden/>
    <w:unhideWhenUsed/>
    <w:qFormat/>
    <w:rsid w:val="000240e9"/>
    <w:pPr>
      <w:spacing w:lineRule="auto" w:line="240"/>
    </w:pPr>
    <w:rPr>
      <w:sz w:val="20"/>
      <w:szCs w:val="20"/>
    </w:rPr>
  </w:style>
  <w:style w:type="paragraph" w:styleId="Annotationsubject">
    <w:name w:val="annotation subject"/>
    <w:basedOn w:val="Annotationtext"/>
    <w:next w:val="Annotationtext"/>
    <w:link w:val="a9"/>
    <w:uiPriority w:val="99"/>
    <w:semiHidden/>
    <w:unhideWhenUsed/>
    <w:qFormat/>
    <w:rsid w:val="000240e9"/>
    <w:pPr/>
    <w:rPr>
      <w:b/>
      <w:bCs/>
    </w:rPr>
  </w:style>
  <w:style w:type="paragraph" w:styleId="BalloonText">
    <w:name w:val="Balloon Text"/>
    <w:basedOn w:val="Normal"/>
    <w:link w:val="ab"/>
    <w:uiPriority w:val="99"/>
    <w:semiHidden/>
    <w:unhideWhenUsed/>
    <w:qFormat/>
    <w:rsid w:val="000240e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mo-cse.github.io/" TargetMode="External"/><Relationship Id="rId3" Type="http://schemas.openxmlformats.org/officeDocument/2006/relationships/hyperlink" Target="https://itmo-cse.github.io/assets/pdf/pd_policy.pdf"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LibreOffice/6.3.5.2$Linux_X86_64 LibreOffice_project/30$Build-2</Application>
  <Pages>3</Pages>
  <Words>790</Words>
  <Characters>5963</Characters>
  <CharactersWithSpaces>6700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2017-06-30T08:37:00Z</dcterms:created>
  <dc:creator>jurist</dc:creator>
  <dc:description/>
  <dc:language>en-GB</dc:language>
  <cp:lastModifiedBy/>
  <dcterms:modified xsi:type="dcterms:W3CDTF">2021-06-18T13:05:51Z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