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484BBC">
        <w:rPr>
          <w:rFonts w:ascii="宋体" w:eastAsia="宋体" w:hAnsi="宋体"/>
          <w:noProof/>
        </w:rPr>
        <w:t>2018/12/5</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484BBC">
        <w:rPr>
          <w:rFonts w:ascii="宋体" w:eastAsia="宋体" w:hAnsi="宋体"/>
          <w:noProof/>
          <w:u w:val="double"/>
          <w:lang w:val="en"/>
        </w:rPr>
        <w:t>12/5/2018</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484BBC">
        <w:rPr>
          <w:rFonts w:ascii="宋体" w:eastAsia="宋体" w:hAnsi="宋体"/>
          <w:noProof/>
          <w:lang w:val="en"/>
        </w:rPr>
        <w:t>12/5/2018</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r w:rsidR="00484BBC">
        <w:rPr>
          <w:rFonts w:ascii="宋体" w:eastAsia="宋体" w:hAnsi="宋体"/>
        </w:rPr>
        <w:t xml:space="preserve"> </w:t>
      </w:r>
      <w:r w:rsidR="00484BBC">
        <w:rPr>
          <w:rFonts w:ascii="宋体" w:eastAsia="宋体" w:hAnsi="宋体" w:hint="eastAsia"/>
        </w:rPr>
        <w:t>（单位：</w:t>
      </w:r>
      <w:bookmarkStart w:id="0" w:name="_GoBack"/>
      <w:bookmarkEnd w:id="0"/>
      <w:r w:rsidR="00484BBC">
        <w:rPr>
          <w:rFonts w:ascii="宋体" w:eastAsia="宋体" w:hAnsi="宋体" w:hint="eastAsia"/>
        </w:rPr>
        <w:t>B）</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6F72C3"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r w:rsidR="00BD7FF1">
        <w:rPr>
          <w:rFonts w:ascii="宋体" w:eastAsia="宋体" w:hAnsi="宋体" w:hint="eastAsia"/>
        </w:rPr>
        <w:t xml:space="preserve"> RAS latency</w:t>
      </w:r>
      <w:r w:rsidR="00BD7FF1">
        <w:rPr>
          <w:rFonts w:ascii="宋体" w:eastAsia="宋体" w:hAnsi="宋体"/>
        </w:rPr>
        <w:t>:</w:t>
      </w:r>
      <w:r w:rsidR="00BD7FF1">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w:t>
      </w:r>
      <w:r w:rsidR="00122057" w:rsidRPr="00122057">
        <w:rPr>
          <w:rFonts w:ascii="宋体" w:eastAsia="宋体" w:hAnsi="宋体"/>
        </w:rPr>
        <w:lastRenderedPageBreak/>
        <w:t>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t>对于</w:t>
      </w:r>
      <w:r w:rsidRPr="00D62C18">
        <w:rPr>
          <w:rFonts w:ascii="宋体" w:eastAsia="宋体" w:hAnsi="宋体"/>
        </w:rPr>
        <w:t>DDR3，我们通常说它是8n-prefetch(这儿n是指每个rank的bank数目)，因为DDR3，</w:t>
      </w:r>
      <w:r w:rsidRPr="00D62C18">
        <w:rPr>
          <w:rFonts w:ascii="宋体" w:eastAsia="宋体" w:hAnsi="宋体"/>
        </w:rPr>
        <w:lastRenderedPageBreak/>
        <w:t>每个IC有8个bank，</w:t>
      </w:r>
      <w:r w:rsidRPr="00D62C18">
        <w:rPr>
          <w:rFonts w:ascii="宋体" w:eastAsia="宋体" w:hAnsi="宋体"/>
          <w:b/>
        </w:rPr>
        <w:t>每个bank读取数据的最小单位是8bit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把该page内容写入bank的行列单元对应的page中，以便对其它page进行读写操作。这个关闭操作通过发射一个Precharge命令实现，precharge命令可以关闭某一个bank，也可以关闭rank中所有打开的bank</w:t>
      </w:r>
      <w:r>
        <w:rPr>
          <w:rFonts w:ascii="宋体" w:eastAsia="宋体" w:hAnsi="宋体" w:hint="eastAsia"/>
        </w:rPr>
        <w:t>。</w:t>
      </w:r>
    </w:p>
    <w:p w:rsidR="00BD38D5" w:rsidRPr="00BD38D5" w:rsidRDefault="00BD38D5"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存储器控制器延迟了</w:t>
      </w:r>
      <w:r w:rsidRPr="005663F7">
        <w:rPr>
          <w:rFonts w:ascii="宋体" w:eastAsia="宋体" w:hAnsi="宋体"/>
        </w:rPr>
        <w:t>DQS，一次一步，直到检测到CK信号从0过渡到到1。这将再次对齐DQS和 CK，以便DQ总线上的目标数据可以可靠地被捕获。由于这是由DDR3存储器控制器自动做的，电路板设计人员无须担心实施的细节。设计人员会从额外的裕度 中得到好处，这是由DDR3存储器控制器中的写调整的特性所创建的。</w:t>
      </w:r>
      <w:r>
        <w:rPr>
          <w:rFonts w:ascii="宋体" w:eastAsia="宋体" w:hAnsi="宋体" w:hint="eastAsia"/>
        </w:rPr>
        <w:t>（write</w:t>
      </w:r>
      <w:r>
        <w:rPr>
          <w:rFonts w:ascii="宋体" w:eastAsia="宋体" w:hAnsi="宋体"/>
        </w:rPr>
        <w:t xml:space="preserve"> </w:t>
      </w:r>
      <w:r>
        <w:rPr>
          <w:rFonts w:ascii="宋体" w:eastAsia="宋体" w:hAnsi="宋体" w:hint="eastAsia"/>
        </w:rPr>
        <w:t>leveling）</w:t>
      </w:r>
    </w:p>
    <w:p w:rsidR="007C7B66" w:rsidRDefault="007C7B66" w:rsidP="00230606">
      <w:pPr>
        <w:rPr>
          <w:rFonts w:ascii="宋体" w:eastAsia="宋体" w:hAnsi="宋体"/>
        </w:rPr>
      </w:pPr>
      <w:r w:rsidRPr="007C7B66">
        <w:rPr>
          <w:rFonts w:ascii="宋体" w:eastAsia="宋体" w:hAnsi="宋体"/>
        </w:rPr>
        <w:t>fly-by信号 是命令、地址，控制和时钟信号。如下图所示，源于存储器控制器的这些信号以串行的方式连接到每个DRAM器件。通过减少分支的数量和分支的长度改进了信号 完整性。然而，这引起了另一个问题，因为每一个存储器元件的延迟是不同的，取决于它处于时序的位置。通过按照DDR3规范的定义，采用读调整和写调整技术 来补偿这种延迟的差异。fly-by拓扑结构在电源开启时校正存储器系统。这就要求在DDR3控制器中有额外的信息，允许校准工作在启动时自动完成。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w:t>
      </w:r>
      <w:r>
        <w:lastRenderedPageBreak/>
        <w:t>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一旦打开行，您可以访问该行中多个顺序的或不同的列地址。这提高了内存访问速度，降低了内存时延，因为在访问同一个内存页面中的内存单元时，其不必把行地址重新发送给DRAM.结果，行地址是计算机的高阶地址位，列地址是低阶地址位。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w:t>
      </w:r>
      <w:r>
        <w:lastRenderedPageBreak/>
        <w:t>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w:t>
      </w:r>
      <w:r>
        <w:lastRenderedPageBreak/>
        <w:t>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lastRenderedPageBreak/>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5D2500">
      <w:pPr>
        <w:widowControl/>
        <w:jc w:val="left"/>
      </w:pPr>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9C7731" w:rsidP="009C7731">
      <w:pPr>
        <w:widowControl/>
        <w:jc w:val="left"/>
      </w:pPr>
      <w:r>
        <w:t>8bit的内存颗粒，一个颗粒叫做一个bank，4bit的颗粒，正反两个颗粒合起来叫做一个bank。一根内存是64bit，如果是单面就是8个8bit颗粒，如果是双面，那就是16个4bit的颗粒分别在两面，不算ECC颗粒。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lastRenderedPageBreak/>
        <w:t>DRAM RAS to CAS Delay（tRCD）：</w:t>
      </w:r>
    </w:p>
    <w:p w:rsidR="0091337D" w:rsidRDefault="0091337D" w:rsidP="009C7731">
      <w:pPr>
        <w:widowControl/>
        <w:jc w:val="left"/>
      </w:pPr>
      <w:r w:rsidRPr="0091337D">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w:t>
      </w:r>
      <w:r w:rsidR="00B277CD">
        <w:rPr>
          <w:rFonts w:hint="eastAsia"/>
        </w:rPr>
        <w:t>，从而可以提高performance</w:t>
      </w:r>
      <w:r w:rsidRPr="00043183">
        <w:t>；命令调配则是由CPU多线程访问不同的内存地址，同样是减少对一个bank的频繁操作次数。例如SNB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tRAS≥tRTP+tRCD+CL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短，它的影响就会越来</w:t>
      </w:r>
      <w:r w:rsidRPr="00D966DC">
        <w:rPr>
          <w:rFonts w:hint="eastAsia"/>
        </w:rPr>
        <w:t>越小，这就是我们看到</w:t>
      </w:r>
      <w:r w:rsidRPr="00D966DC">
        <w:t>DDR1的时候1T/2T对性能影响挺大，但是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Pr="00D966DC">
        <w:t>-激活行地址并寻找列地址-发送读取命令-读出数据，这四步操作中间的三个延迟就分别是tRP、tRCD和CL。</w:t>
      </w:r>
    </w:p>
    <w:p w:rsidR="00D966DC" w:rsidRDefault="00D966DC" w:rsidP="009C7731">
      <w:pPr>
        <w:widowControl/>
        <w:jc w:val="left"/>
      </w:pPr>
    </w:p>
    <w:p w:rsidR="00D966DC" w:rsidRDefault="00D966DC" w:rsidP="00D966DC">
      <w:pPr>
        <w:widowControl/>
        <w:jc w:val="left"/>
      </w:pPr>
      <w:r w:rsidRPr="00D966DC">
        <w:rPr>
          <w:highlight w:val="yellow"/>
        </w:rPr>
        <w:lastRenderedPageBreak/>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0025CD">
        <w:rPr>
          <w:rFonts w:hint="eastAsia"/>
        </w:rPr>
        <w:t>读取数据结束</w:t>
      </w:r>
      <w:r>
        <w:t>到tRP之前的间隔时间，但是它在读取完成并且行地址关闭之后才会生效。单颗128MB的内存颗粒可以在DDR3-2000下运行在4到6个时钟周期，如果bank容量增大时，这个时序有可能要放宽。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lastRenderedPageBreak/>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到下一个读取命令之间的时间间隔，最小为4T，与tRTP类似，提升内存的频率或者容量提升时，这个值需要提高。</w:t>
      </w:r>
    </w:p>
    <w:p w:rsidR="00D966DC" w:rsidRDefault="00D966DC" w:rsidP="00D966DC">
      <w:pPr>
        <w:widowControl/>
        <w:jc w:val="left"/>
      </w:pP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Pr="002F61FC"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w:t>
      </w:r>
      <w:r w:rsidR="0072657B">
        <w:t>信号线，它是双向的，在写入时它用来传送由DRAMC</w:t>
      </w:r>
      <w:r w:rsidR="00487D7F" w:rsidRPr="00487D7F">
        <w:t>发来的DQS</w:t>
      </w:r>
      <w:r w:rsidR="0072657B">
        <w:t>信号，读取时，则由</w:t>
      </w:r>
      <w:r w:rsidR="0072657B">
        <w:rPr>
          <w:rFonts w:hint="eastAsia"/>
        </w:rPr>
        <w:t>DDR</w:t>
      </w:r>
      <w:r w:rsidR="00487D7F" w:rsidRPr="00487D7F">
        <w:t>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DQS有一定的间隔，这也就是为什么要有一个tAC规定的原因。而在接收方，一切必须保证同步接收，不能有tAC之类的偏差。这样在写入时，</w:t>
      </w:r>
      <w:r w:rsidR="0072657B">
        <w:rPr>
          <w:rFonts w:cs="Helvetica" w:hint="eastAsia"/>
          <w:color w:val="000000"/>
        </w:rPr>
        <w:t>DDR</w:t>
      </w:r>
      <w:r>
        <w:rPr>
          <w:rFonts w:cs="Helvetica" w:hint="eastAsia"/>
          <w:color w:val="000000"/>
        </w:rPr>
        <w:t>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由于芯片体积的原因，存储单元中的电容容量很小，所以信号要经过放大来保证其有效的识别性，这个放大/驱动工作由S-AMP负责，一个存储体对应一个S- AMP通道。但它要</w:t>
      </w:r>
      <w:r>
        <w:rPr>
          <w:rFonts w:cs="Helvetica" w:hint="eastAsia"/>
          <w:color w:val="454545"/>
        </w:rPr>
        <w:lastRenderedPageBreak/>
        <w:t xml:space="preserve">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lastRenderedPageBreak/>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(RDMINIT) for more details.</w:t>
      </w:r>
    </w:p>
    <w:p w:rsidR="00F76E19" w:rsidRDefault="00F76E19" w:rsidP="003856C7">
      <w:pPr>
        <w:widowControl/>
        <w:jc w:val="left"/>
      </w:pPr>
    </w:p>
    <w:p w:rsidR="00EA389A" w:rsidRPr="0009512E" w:rsidRDefault="00EB5DCF" w:rsidP="003856C7">
      <w:pPr>
        <w:widowControl/>
        <w:jc w:val="left"/>
      </w:pPr>
      <w:r w:rsidRPr="00EB5DCF">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1"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2" w:author="Eric Wang" w:date="2018-01-30T09:57:00Z"/>
        </w:rPr>
      </w:pPr>
      <w:r>
        <w:rPr>
          <w:rFonts w:hint="eastAsia"/>
        </w:rPr>
        <w:t>最大的变化就是</w:t>
      </w:r>
      <w:r w:rsidR="00CA3922">
        <w:rPr>
          <w:rFonts w:hint="eastAsia"/>
        </w:rPr>
        <w:t>将原来的LP变成了</w:t>
      </w:r>
      <w:del w:id="3" w:author="Eric Wang" w:date="2018-01-30T09:57:00Z">
        <w:r w:rsidR="00CA3922" w:rsidDel="00EE1AFD">
          <w:rPr>
            <w:rFonts w:hint="eastAsia"/>
          </w:rPr>
          <w:delText>多</w:delText>
        </w:r>
      </w:del>
      <w:ins w:id="4" w:author="Eric Wang" w:date="2018-01-30T09:57:00Z">
        <w:r w:rsidR="00EE1AFD">
          <w:rPr>
            <w:rFonts w:hint="eastAsia"/>
          </w:rPr>
          <w:t>3个</w:t>
        </w:r>
      </w:ins>
      <w:r w:rsidR="00CA3922">
        <w:rPr>
          <w:rFonts w:hint="eastAsia"/>
        </w:rPr>
        <w:t>master的HP</w:t>
      </w:r>
      <w:del w:id="5" w:author="Eric Wang" w:date="2018-01-30T09:57:00Z">
        <w:r w:rsidR="00CA3922" w:rsidDel="00EE1AFD">
          <w:rPr>
            <w:rFonts w:hint="eastAsia"/>
          </w:rPr>
          <w:delText>，</w:delText>
        </w:r>
      </w:del>
      <w:ins w:id="6" w:author="Eric Wang" w:date="2018-01-30T09:57:00Z">
        <w:r w:rsidR="00EE1AFD">
          <w:rPr>
            <w:rFonts w:hint="eastAsia"/>
          </w:rPr>
          <w:t>。</w:t>
        </w:r>
      </w:ins>
    </w:p>
    <w:p w:rsidR="00EE1AFD" w:rsidRDefault="00325ED0" w:rsidP="00462102">
      <w:pPr>
        <w:rPr>
          <w:ins w:id="7"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8"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9" w:author="Eric Wang" w:date="2018-01-30T09:57:00Z"/>
        </w:rPr>
      </w:pPr>
      <w:r>
        <w:rPr>
          <w:rFonts w:hint="eastAsia"/>
        </w:rPr>
        <w:t>同时为了更好的</w:t>
      </w:r>
      <w:ins w:id="10" w:author="Eric Wang" w:date="2018-01-30T09:58:00Z">
        <w:r w:rsidR="00EE1AFD">
          <w:rPr>
            <w:rFonts w:hint="eastAsia"/>
          </w:rPr>
          <w:t>测试</w:t>
        </w:r>
      </w:ins>
      <w:del w:id="11"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2"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3"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4" w:author="Eric Wang" w:date="2018-01-30T10:02:00Z"/>
        </w:rPr>
      </w:pPr>
      <w:r>
        <w:rPr>
          <w:rFonts w:hint="eastAsia"/>
        </w:rPr>
        <w:t>WRITE_</w:t>
      </w:r>
      <w:r>
        <w:t>MERGE_DRAMC</w:t>
      </w:r>
      <w:r>
        <w:rPr>
          <w:rFonts w:hint="eastAsia"/>
        </w:rPr>
        <w:t>独立出来主要是为了更清晰地</w:t>
      </w:r>
      <w:ins w:id="15" w:author="Eric Wang" w:date="2018-01-30T09:58:00Z">
        <w:r w:rsidR="00EE1AFD">
          <w:rPr>
            <w:rFonts w:hint="eastAsia"/>
          </w:rPr>
          <w:t>测试</w:t>
        </w:r>
      </w:ins>
      <w:del w:id="16"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7" w:author="Eric Wang" w:date="2018-01-30T09:42:00Z">
        <w:r w:rsidR="00CA5B94" w:rsidDel="003C7C82">
          <w:rPr>
            <w:rFonts w:hint="eastAsia"/>
          </w:rPr>
          <w:delText>随</w:delText>
        </w:r>
      </w:del>
      <w:ins w:id="18" w:author="Eric Wang" w:date="2018-01-30T09:42:00Z">
        <w:r w:rsidR="003C7C82">
          <w:rPr>
            <w:rFonts w:hint="eastAsia"/>
          </w:rPr>
          <w:t>随机</w:t>
        </w:r>
      </w:ins>
      <w:del w:id="19" w:author="Eric Wang" w:date="2018-01-30T09:41:00Z">
        <w:r w:rsidR="00CA5B94" w:rsidDel="003C7C82">
          <w:rPr>
            <w:rFonts w:hint="eastAsia"/>
          </w:rPr>
          <w:delText>意</w:delText>
        </w:r>
      </w:del>
      <w:r w:rsidR="00CA5B94">
        <w:rPr>
          <w:rFonts w:hint="eastAsia"/>
        </w:rPr>
        <w:t>产生相同address和</w:t>
      </w:r>
      <w:del w:id="20" w:author="Eric Wang" w:date="2018-01-30T10:00:00Z">
        <w:r w:rsidR="00CA5B94" w:rsidDel="00150430">
          <w:rPr>
            <w:rFonts w:hint="eastAsia"/>
          </w:rPr>
          <w:delText>不同</w:delText>
        </w:r>
      </w:del>
      <w:ins w:id="21" w:author="Eric Wang" w:date="2018-01-30T10:00:00Z">
        <w:r w:rsidR="00150430">
          <w:rPr>
            <w:rFonts w:hint="eastAsia"/>
          </w:rPr>
          <w:t>随机</w:t>
        </w:r>
      </w:ins>
      <w:r w:rsidR="00CA5B94">
        <w:rPr>
          <w:rFonts w:hint="eastAsia"/>
        </w:rPr>
        <w:t>address</w:t>
      </w:r>
      <w:del w:id="22" w:author="Eric Wang" w:date="2018-01-30T10:01:00Z">
        <w:r w:rsidR="00CA5B94" w:rsidDel="00150430">
          <w:rPr>
            <w:rFonts w:hint="eastAsia"/>
          </w:rPr>
          <w:delText>两种情况</w:delText>
        </w:r>
      </w:del>
      <w:ins w:id="23" w:author="Eric Wang" w:date="2018-01-30T09:42:00Z">
        <w:r w:rsidR="003C7C82">
          <w:rPr>
            <w:rFonts w:hint="eastAsia"/>
          </w:rPr>
          <w:t>（各50%的概率）</w:t>
        </w:r>
      </w:ins>
      <w:r w:rsidR="00CA5B94">
        <w:rPr>
          <w:rFonts w:hint="eastAsia"/>
        </w:rPr>
        <w:t>，</w:t>
      </w:r>
      <w:ins w:id="24" w:author="Eric Wang" w:date="2018-01-30T10:01:00Z">
        <w:r w:rsidR="00150430">
          <w:rPr>
            <w:rFonts w:hint="eastAsia"/>
          </w:rPr>
          <w:t>它们的</w:t>
        </w:r>
      </w:ins>
      <w:ins w:id="25" w:author="Eric Wang" w:date="2018-01-30T09:59:00Z">
        <w:r w:rsidR="00150430">
          <w:rPr>
            <w:rFonts w:hint="eastAsia"/>
          </w:rPr>
          <w:t>write</w:t>
        </w:r>
        <w:r w:rsidR="00150430">
          <w:t xml:space="preserve"> </w:t>
        </w:r>
        <w:r w:rsidR="00150430">
          <w:rPr>
            <w:rFonts w:hint="eastAsia"/>
          </w:rPr>
          <w:t>data</w:t>
        </w:r>
      </w:ins>
      <w:ins w:id="26" w:author="Eric Wang" w:date="2018-01-30T10:00:00Z">
        <w:r w:rsidR="00150430">
          <w:rPr>
            <w:rFonts w:hint="eastAsia"/>
          </w:rPr>
          <w:t>分别对应为具有初始值和</w:t>
        </w:r>
      </w:ins>
      <w:ins w:id="27" w:author="Eric Wang" w:date="2018-01-30T09:59:00Z">
        <w:r w:rsidR="00150430">
          <w:rPr>
            <w:rFonts w:hint="eastAsia"/>
          </w:rPr>
          <w:t>随</w:t>
        </w:r>
      </w:ins>
      <w:ins w:id="28" w:author="Eric Wang" w:date="2018-01-30T10:00:00Z">
        <w:r w:rsidR="00150430">
          <w:rPr>
            <w:rFonts w:hint="eastAsia"/>
          </w:rPr>
          <w:t>机</w:t>
        </w:r>
      </w:ins>
      <w:ins w:id="29" w:author="Eric Wang" w:date="2018-01-30T09:59:00Z">
        <w:r w:rsidR="00150430">
          <w:rPr>
            <w:rFonts w:hint="eastAsia"/>
          </w:rPr>
          <w:t>产生</w:t>
        </w:r>
      </w:ins>
      <w:ins w:id="30" w:author="Eric Wang" w:date="2018-01-30T10:01:00Z">
        <w:r w:rsidR="00150430">
          <w:rPr>
            <w:rFonts w:hint="eastAsia"/>
          </w:rPr>
          <w:t>两种情况</w:t>
        </w:r>
      </w:ins>
      <w:ins w:id="31" w:author="Eric Wang" w:date="2018-01-30T09:59:00Z">
        <w:r w:rsidR="00150430">
          <w:rPr>
            <w:rFonts w:hint="eastAsia"/>
          </w:rPr>
          <w:t>，</w:t>
        </w:r>
      </w:ins>
      <w:r w:rsidR="00CA5B94">
        <w:rPr>
          <w:rFonts w:hint="eastAsia"/>
        </w:rPr>
        <w:t>然后调用task进行write操作。</w:t>
      </w:r>
    </w:p>
    <w:p w:rsidR="00081A79" w:rsidRDefault="003C7C82" w:rsidP="00AE4B53">
      <w:pPr>
        <w:rPr>
          <w:ins w:id="32" w:author="Eric Wang" w:date="2018-02-01T19:17:00Z"/>
        </w:rPr>
      </w:pPr>
      <w:ins w:id="33" w:author="Eric Wang" w:date="2018-01-30T09:42:00Z">
        <w:r>
          <w:rPr>
            <w:rFonts w:hint="eastAsia"/>
          </w:rPr>
          <w:t>其中</w:t>
        </w:r>
      </w:ins>
      <w:del w:id="34" w:author="Eric Wang" w:date="2018-01-30T09:42:00Z">
        <w:r w:rsidR="00CA5B94" w:rsidDel="003C7C82">
          <w:delText>R</w:delText>
        </w:r>
      </w:del>
      <w:ins w:id="35"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6" w:author="Eric Wang" w:date="2018-01-30T09:42:00Z">
        <w:r>
          <w:rPr>
            <w:rFonts w:hint="eastAsia"/>
          </w:rPr>
          <w:t>，都是利用</w:t>
        </w:r>
      </w:ins>
      <w:ins w:id="37" w:author="Eric Wang" w:date="2018-01-30T09:43:00Z">
        <w:r>
          <w:rPr>
            <w:rFonts w:hint="eastAsia"/>
          </w:rPr>
          <w:t>随机产生的</w:t>
        </w:r>
      </w:ins>
      <w:ins w:id="38" w:author="Eric Wang" w:date="2018-01-30T09:56:00Z">
        <w:r w:rsidR="001C6E5B">
          <w:rPr>
            <w:rFonts w:hint="eastAsia"/>
          </w:rPr>
          <w:t>1%</w:t>
        </w:r>
        <w:r w:rsidR="001C6E5B">
          <w:t xml:space="preserve"> </w:t>
        </w:r>
      </w:ins>
      <w:ins w:id="39"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rsidP="00AE4B53">
      <w:pPr>
        <w:rPr>
          <w:ins w:id="43"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446553" w:rsidRDefault="00446553" w:rsidP="00897FAE">
      <w:r>
        <w:rPr>
          <w:rFonts w:hint="eastAsia"/>
        </w:rPr>
        <w:t>No</w:t>
      </w:r>
      <w:r>
        <w:t>.2</w:t>
      </w:r>
    </w:p>
    <w:p w:rsidR="00446553" w:rsidRPr="00C0515A" w:rsidRDefault="00446553" w:rsidP="00897FAE">
      <w:pPr>
        <w:rPr>
          <w:u w:val="single"/>
        </w:rPr>
      </w:pPr>
      <w:r w:rsidRPr="00C0515A">
        <w:rPr>
          <w:rFonts w:hint="eastAsia"/>
          <w:u w:val="single"/>
        </w:rPr>
        <w:t>每个register的clock</w:t>
      </w:r>
      <w:r w:rsidRPr="00C0515A">
        <w:rPr>
          <w:u w:val="single"/>
        </w:rPr>
        <w:t xml:space="preserve"> </w:t>
      </w:r>
      <w:r w:rsidRPr="00C0515A">
        <w:rPr>
          <w:rFonts w:hint="eastAsia"/>
          <w:u w:val="single"/>
        </w:rPr>
        <w:t>domain是什么？如何转换？</w:t>
      </w:r>
    </w:p>
    <w:p w:rsidR="00446553" w:rsidRDefault="00446553" w:rsidP="00897FAE">
      <w:r>
        <w:rPr>
          <w:rFonts w:hint="eastAsia"/>
        </w:rPr>
        <w:t>N</w:t>
      </w:r>
      <w:r>
        <w:t>o.3</w:t>
      </w:r>
    </w:p>
    <w:p w:rsidR="00446553" w:rsidRPr="00C0515A" w:rsidRDefault="00446553" w:rsidP="00897FAE">
      <w:pPr>
        <w:rPr>
          <w:u w:val="single"/>
        </w:rPr>
      </w:pPr>
      <w:r w:rsidRPr="00C0515A">
        <w:rPr>
          <w:rFonts w:hint="eastAsia"/>
          <w:u w:val="single"/>
        </w:rPr>
        <w:t>为什么要那么多MUX，原因是什么？</w:t>
      </w:r>
    </w:p>
    <w:p w:rsidR="00CD2DF6" w:rsidRDefault="00CD2DF6" w:rsidP="00897FAE"/>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lastRenderedPageBreak/>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5.5pt" o:ole="">
            <v:imagedata r:id="rId10" o:title=""/>
          </v:shape>
          <o:OLEObject Type="Embed" ProgID="Visio.Drawing.11" ShapeID="_x0000_i1025" DrawAspect="Content" ObjectID="_1605527935" r:id="rId11"/>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r>
        <w:rPr>
          <w:rFonts w:ascii="Verdana" w:eastAsia="宋体" w:hAnsi="Verdana" w:cs="Helvetica" w:hint="eastAsia"/>
          <w:color w:val="000000"/>
          <w:kern w:val="0"/>
          <w:sz w:val="20"/>
          <w:szCs w:val="20"/>
        </w:rPr>
        <w:t>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6</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7</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c</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d</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f</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e</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a</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11</w:t>
      </w:r>
      <w:r>
        <w:rPr>
          <w:rFonts w:ascii="Verdana" w:eastAsia="宋体" w:hAnsi="Verdana" w:cs="Helvetica"/>
          <w:color w:val="000000"/>
          <w:kern w:val="0"/>
          <w:sz w:val="20"/>
          <w:szCs w:val="20"/>
        </w:rPr>
        <w:t>(b)</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9</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7A6C1B" w:rsidRDefault="00F73F84" w:rsidP="00F73F84">
      <w:pPr>
        <w:autoSpaceDE w:val="0"/>
        <w:autoSpaceDN w:val="0"/>
        <w:jc w:val="left"/>
        <w:rPr>
          <w:rFonts w:ascii="Calibri" w:hAnsi="Calibri" w:cs="Calibri"/>
          <w:sz w:val="20"/>
          <w:szCs w:val="20"/>
        </w:rPr>
      </w:pPr>
      <w:r>
        <w:rPr>
          <w:rFonts w:ascii="Calibri" w:hAnsi="Calibri" w:cs="Calibri"/>
          <w:sz w:val="20"/>
          <w:szCs w:val="20"/>
        </w:rPr>
        <w:t> </w:t>
      </w: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焦洋：</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AB60A8" w:rsidRPr="00F73F84" w:rsidRDefault="00AB60A8" w:rsidP="00656E83">
      <w:pPr>
        <w:rPr>
          <w:sz w:val="18"/>
        </w:rPr>
      </w:pPr>
    </w:p>
    <w:sectPr w:rsidR="00AB60A8" w:rsidRPr="00F73F84"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88F" w:rsidRDefault="0025088F" w:rsidP="00DD5D31">
      <w:r>
        <w:separator/>
      </w:r>
    </w:p>
  </w:endnote>
  <w:endnote w:type="continuationSeparator" w:id="0">
    <w:p w:rsidR="0025088F" w:rsidRDefault="0025088F"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88F" w:rsidRDefault="0025088F" w:rsidP="00DD5D31">
      <w:r>
        <w:separator/>
      </w:r>
    </w:p>
  </w:footnote>
  <w:footnote w:type="continuationSeparator" w:id="0">
    <w:p w:rsidR="0025088F" w:rsidRDefault="0025088F"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6258"/>
    <w:rsid w:val="00006671"/>
    <w:rsid w:val="00006B5D"/>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E54C6"/>
    <w:rsid w:val="000F1601"/>
    <w:rsid w:val="000F5F99"/>
    <w:rsid w:val="000F68FC"/>
    <w:rsid w:val="000F7A23"/>
    <w:rsid w:val="00100584"/>
    <w:rsid w:val="00100C0B"/>
    <w:rsid w:val="00101D93"/>
    <w:rsid w:val="00113F03"/>
    <w:rsid w:val="0011763C"/>
    <w:rsid w:val="00122057"/>
    <w:rsid w:val="0012297A"/>
    <w:rsid w:val="00123884"/>
    <w:rsid w:val="00131D3E"/>
    <w:rsid w:val="001363D1"/>
    <w:rsid w:val="0014637B"/>
    <w:rsid w:val="00150430"/>
    <w:rsid w:val="00150543"/>
    <w:rsid w:val="00154A70"/>
    <w:rsid w:val="0015727B"/>
    <w:rsid w:val="001604B9"/>
    <w:rsid w:val="00161E9A"/>
    <w:rsid w:val="00165F6B"/>
    <w:rsid w:val="00172D39"/>
    <w:rsid w:val="001853F5"/>
    <w:rsid w:val="00195A7A"/>
    <w:rsid w:val="001A2DEF"/>
    <w:rsid w:val="001A6BE7"/>
    <w:rsid w:val="001B0915"/>
    <w:rsid w:val="001B2F2E"/>
    <w:rsid w:val="001C6E5B"/>
    <w:rsid w:val="001D05B9"/>
    <w:rsid w:val="001D4937"/>
    <w:rsid w:val="001E2313"/>
    <w:rsid w:val="001F6699"/>
    <w:rsid w:val="001F7248"/>
    <w:rsid w:val="001F7A9E"/>
    <w:rsid w:val="00217C6F"/>
    <w:rsid w:val="002279C3"/>
    <w:rsid w:val="00230606"/>
    <w:rsid w:val="00233CB3"/>
    <w:rsid w:val="00240D86"/>
    <w:rsid w:val="00241AAA"/>
    <w:rsid w:val="00244334"/>
    <w:rsid w:val="002451C7"/>
    <w:rsid w:val="0025088F"/>
    <w:rsid w:val="002834D0"/>
    <w:rsid w:val="00283796"/>
    <w:rsid w:val="00287AB0"/>
    <w:rsid w:val="0029171F"/>
    <w:rsid w:val="00294246"/>
    <w:rsid w:val="002A45A5"/>
    <w:rsid w:val="002A5BE9"/>
    <w:rsid w:val="002A5F38"/>
    <w:rsid w:val="002A774B"/>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7116C"/>
    <w:rsid w:val="00371730"/>
    <w:rsid w:val="003823D3"/>
    <w:rsid w:val="003856C7"/>
    <w:rsid w:val="003B042E"/>
    <w:rsid w:val="003B57E7"/>
    <w:rsid w:val="003B72EB"/>
    <w:rsid w:val="003C255E"/>
    <w:rsid w:val="003C7C82"/>
    <w:rsid w:val="003D19E2"/>
    <w:rsid w:val="003D449F"/>
    <w:rsid w:val="003E1551"/>
    <w:rsid w:val="003E7451"/>
    <w:rsid w:val="003F3488"/>
    <w:rsid w:val="00400E26"/>
    <w:rsid w:val="00402FBE"/>
    <w:rsid w:val="004035D6"/>
    <w:rsid w:val="0040577F"/>
    <w:rsid w:val="004106C5"/>
    <w:rsid w:val="00411903"/>
    <w:rsid w:val="004156B5"/>
    <w:rsid w:val="00422A8D"/>
    <w:rsid w:val="00444ABB"/>
    <w:rsid w:val="00446553"/>
    <w:rsid w:val="0045097D"/>
    <w:rsid w:val="004511DB"/>
    <w:rsid w:val="00455B31"/>
    <w:rsid w:val="00455D5E"/>
    <w:rsid w:val="0045701C"/>
    <w:rsid w:val="0045759D"/>
    <w:rsid w:val="00462102"/>
    <w:rsid w:val="004631E7"/>
    <w:rsid w:val="004632E6"/>
    <w:rsid w:val="004636E9"/>
    <w:rsid w:val="00471223"/>
    <w:rsid w:val="004827B7"/>
    <w:rsid w:val="00483760"/>
    <w:rsid w:val="00484BBC"/>
    <w:rsid w:val="00486D81"/>
    <w:rsid w:val="00487D7F"/>
    <w:rsid w:val="004919BA"/>
    <w:rsid w:val="004947DF"/>
    <w:rsid w:val="004963CC"/>
    <w:rsid w:val="004A0803"/>
    <w:rsid w:val="004A2EEB"/>
    <w:rsid w:val="004B0EE8"/>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52569"/>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2500"/>
    <w:rsid w:val="005D640F"/>
    <w:rsid w:val="005E790F"/>
    <w:rsid w:val="005F0DD4"/>
    <w:rsid w:val="00602AEB"/>
    <w:rsid w:val="006044B4"/>
    <w:rsid w:val="006103A5"/>
    <w:rsid w:val="00623F2A"/>
    <w:rsid w:val="00626738"/>
    <w:rsid w:val="006310F7"/>
    <w:rsid w:val="006321A6"/>
    <w:rsid w:val="00632BBC"/>
    <w:rsid w:val="00650875"/>
    <w:rsid w:val="00653C76"/>
    <w:rsid w:val="00656E83"/>
    <w:rsid w:val="00660EA5"/>
    <w:rsid w:val="00676783"/>
    <w:rsid w:val="00690D12"/>
    <w:rsid w:val="006A0BB8"/>
    <w:rsid w:val="006A202C"/>
    <w:rsid w:val="006A262E"/>
    <w:rsid w:val="006A4259"/>
    <w:rsid w:val="006B333E"/>
    <w:rsid w:val="006B40C8"/>
    <w:rsid w:val="006B770E"/>
    <w:rsid w:val="006C6DEE"/>
    <w:rsid w:val="006D3A55"/>
    <w:rsid w:val="006D57FE"/>
    <w:rsid w:val="006E2D6D"/>
    <w:rsid w:val="006F1E7E"/>
    <w:rsid w:val="006F275B"/>
    <w:rsid w:val="006F66C5"/>
    <w:rsid w:val="006F72C3"/>
    <w:rsid w:val="0070156D"/>
    <w:rsid w:val="0070157D"/>
    <w:rsid w:val="007114CA"/>
    <w:rsid w:val="00715CA8"/>
    <w:rsid w:val="00717EEA"/>
    <w:rsid w:val="0072657B"/>
    <w:rsid w:val="00731792"/>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C0342"/>
    <w:rsid w:val="007C7B66"/>
    <w:rsid w:val="007D0B87"/>
    <w:rsid w:val="007D0DE7"/>
    <w:rsid w:val="007D4DEA"/>
    <w:rsid w:val="007E0837"/>
    <w:rsid w:val="007E0DF0"/>
    <w:rsid w:val="007E1209"/>
    <w:rsid w:val="007E31DF"/>
    <w:rsid w:val="007E375D"/>
    <w:rsid w:val="007E7A79"/>
    <w:rsid w:val="007F48E8"/>
    <w:rsid w:val="007F5716"/>
    <w:rsid w:val="00811F35"/>
    <w:rsid w:val="00816038"/>
    <w:rsid w:val="0081730B"/>
    <w:rsid w:val="0081798A"/>
    <w:rsid w:val="00845842"/>
    <w:rsid w:val="00850070"/>
    <w:rsid w:val="00851B76"/>
    <w:rsid w:val="008670AF"/>
    <w:rsid w:val="008873F8"/>
    <w:rsid w:val="00892B10"/>
    <w:rsid w:val="00895C68"/>
    <w:rsid w:val="00895FDB"/>
    <w:rsid w:val="0089608C"/>
    <w:rsid w:val="008979D4"/>
    <w:rsid w:val="00897FAE"/>
    <w:rsid w:val="008A44E7"/>
    <w:rsid w:val="008B6E46"/>
    <w:rsid w:val="008C18D5"/>
    <w:rsid w:val="008C3780"/>
    <w:rsid w:val="008D29A9"/>
    <w:rsid w:val="008D2E09"/>
    <w:rsid w:val="008D3A07"/>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C184D"/>
    <w:rsid w:val="009C3D2A"/>
    <w:rsid w:val="009C7731"/>
    <w:rsid w:val="009D46B2"/>
    <w:rsid w:val="009D5A14"/>
    <w:rsid w:val="009E0AA3"/>
    <w:rsid w:val="009E637A"/>
    <w:rsid w:val="009F1012"/>
    <w:rsid w:val="00A0451C"/>
    <w:rsid w:val="00A141EC"/>
    <w:rsid w:val="00A1757E"/>
    <w:rsid w:val="00A24055"/>
    <w:rsid w:val="00A4633B"/>
    <w:rsid w:val="00A5727C"/>
    <w:rsid w:val="00A601CF"/>
    <w:rsid w:val="00A62439"/>
    <w:rsid w:val="00A62C56"/>
    <w:rsid w:val="00A6432B"/>
    <w:rsid w:val="00A77F9A"/>
    <w:rsid w:val="00A82B71"/>
    <w:rsid w:val="00A85B55"/>
    <w:rsid w:val="00A86077"/>
    <w:rsid w:val="00A9128F"/>
    <w:rsid w:val="00A94174"/>
    <w:rsid w:val="00AA2121"/>
    <w:rsid w:val="00AB60A8"/>
    <w:rsid w:val="00AC0238"/>
    <w:rsid w:val="00AC080C"/>
    <w:rsid w:val="00AC4706"/>
    <w:rsid w:val="00AD4F15"/>
    <w:rsid w:val="00AE0BD2"/>
    <w:rsid w:val="00AE0D41"/>
    <w:rsid w:val="00AE4B53"/>
    <w:rsid w:val="00AE65FD"/>
    <w:rsid w:val="00AF4DEF"/>
    <w:rsid w:val="00B00A55"/>
    <w:rsid w:val="00B01055"/>
    <w:rsid w:val="00B0462F"/>
    <w:rsid w:val="00B057C6"/>
    <w:rsid w:val="00B13AEE"/>
    <w:rsid w:val="00B20792"/>
    <w:rsid w:val="00B24254"/>
    <w:rsid w:val="00B26E28"/>
    <w:rsid w:val="00B277CD"/>
    <w:rsid w:val="00B331DD"/>
    <w:rsid w:val="00B359D2"/>
    <w:rsid w:val="00B44B33"/>
    <w:rsid w:val="00B53AA8"/>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3C8C"/>
    <w:rsid w:val="00CA3922"/>
    <w:rsid w:val="00CA4472"/>
    <w:rsid w:val="00CA4D38"/>
    <w:rsid w:val="00CA5B94"/>
    <w:rsid w:val="00CA6ABE"/>
    <w:rsid w:val="00CB60DF"/>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40CAB"/>
    <w:rsid w:val="00D62C18"/>
    <w:rsid w:val="00D65171"/>
    <w:rsid w:val="00D7596D"/>
    <w:rsid w:val="00D922C9"/>
    <w:rsid w:val="00D966DC"/>
    <w:rsid w:val="00D96A66"/>
    <w:rsid w:val="00DA1C17"/>
    <w:rsid w:val="00DA6410"/>
    <w:rsid w:val="00DB3D6F"/>
    <w:rsid w:val="00DB747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465A"/>
    <w:rsid w:val="00E274D7"/>
    <w:rsid w:val="00E30C36"/>
    <w:rsid w:val="00E34174"/>
    <w:rsid w:val="00E40003"/>
    <w:rsid w:val="00E4282B"/>
    <w:rsid w:val="00E4749D"/>
    <w:rsid w:val="00E50863"/>
    <w:rsid w:val="00E5335A"/>
    <w:rsid w:val="00E54F5C"/>
    <w:rsid w:val="00E55C79"/>
    <w:rsid w:val="00E62DAF"/>
    <w:rsid w:val="00E63F22"/>
    <w:rsid w:val="00E75950"/>
    <w:rsid w:val="00E86D50"/>
    <w:rsid w:val="00E87C43"/>
    <w:rsid w:val="00EA389A"/>
    <w:rsid w:val="00EB4D02"/>
    <w:rsid w:val="00EB5DCF"/>
    <w:rsid w:val="00EB79B7"/>
    <w:rsid w:val="00ED1FCA"/>
    <w:rsid w:val="00ED40A5"/>
    <w:rsid w:val="00ED466D"/>
    <w:rsid w:val="00EE1AFD"/>
    <w:rsid w:val="00EE2E29"/>
    <w:rsid w:val="00EE7DDC"/>
    <w:rsid w:val="00EF013F"/>
    <w:rsid w:val="00EF32BF"/>
    <w:rsid w:val="00F11EB0"/>
    <w:rsid w:val="00F1543F"/>
    <w:rsid w:val="00F2208E"/>
    <w:rsid w:val="00F2505A"/>
    <w:rsid w:val="00F462C8"/>
    <w:rsid w:val="00F55917"/>
    <w:rsid w:val="00F672B9"/>
    <w:rsid w:val="00F73F84"/>
    <w:rsid w:val="00F76E19"/>
    <w:rsid w:val="00F817F1"/>
    <w:rsid w:val="00F92A80"/>
    <w:rsid w:val="00F94E9D"/>
    <w:rsid w:val="00FA3344"/>
    <w:rsid w:val="00FA5854"/>
    <w:rsid w:val="00FA7CD0"/>
    <w:rsid w:val="00FB622D"/>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89FC4"/>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1DBCF-A443-4C20-810A-ABE77C06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58718</TotalTime>
  <Pages>37</Pages>
  <Words>6626</Words>
  <Characters>37772</Characters>
  <Application>Microsoft Office Word</Application>
  <DocSecurity>0</DocSecurity>
  <Lines>314</Lines>
  <Paragraphs>88</Paragraphs>
  <ScaleCrop>false</ScaleCrop>
  <Company/>
  <LinksUpToDate>false</LinksUpToDate>
  <CharactersWithSpaces>44310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459</cp:revision>
  <cp:lastPrinted>2018-02-07T05:32:00Z</cp:lastPrinted>
  <dcterms:created xsi:type="dcterms:W3CDTF">2017-10-23T06:39:00Z</dcterms:created>
  <dcterms:modified xsi:type="dcterms:W3CDTF">2018-12-05T07:13:00Z</dcterms:modified>
</cp:coreProperties>
</file>