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0B" w:rsidRPr="00D641A0" w:rsidRDefault="00F6720B" w:rsidP="00B55CC8">
      <w:pPr>
        <w:pStyle w:val="Title"/>
        <w:widowControl w:val="0"/>
        <w:rPr>
          <w:rFonts w:asciiTheme="majorHAnsi" w:hAnsiTheme="majorHAnsi" w:cstheme="majorHAnsi"/>
        </w:rPr>
      </w:pPr>
      <w:bookmarkStart w:id="0" w:name="_GoBack"/>
      <w:bookmarkEnd w:id="0"/>
      <w:r w:rsidRPr="00D641A0">
        <w:rPr>
          <w:rFonts w:asciiTheme="majorHAnsi" w:hAnsiTheme="majorHAnsi" w:cstheme="majorHAnsi"/>
        </w:rPr>
        <w:t>PHỤ LỤC 1</w:t>
      </w:r>
    </w:p>
    <w:p w:rsidR="00F6720B" w:rsidRPr="00D641A0" w:rsidRDefault="00F6720B" w:rsidP="00B55CC8">
      <w:pPr>
        <w:pStyle w:val="Title"/>
        <w:widowControl w:val="0"/>
        <w:rPr>
          <w:rFonts w:asciiTheme="majorHAnsi" w:hAnsiTheme="majorHAnsi" w:cstheme="majorHAnsi"/>
        </w:rPr>
      </w:pPr>
    </w:p>
    <w:p w:rsidR="00F6720B" w:rsidRPr="00D641A0" w:rsidRDefault="00F6720B" w:rsidP="00B55CC8">
      <w:pPr>
        <w:pStyle w:val="Title"/>
        <w:widowControl w:val="0"/>
        <w:rPr>
          <w:rFonts w:asciiTheme="majorHAnsi" w:hAnsiTheme="majorHAnsi" w:cstheme="majorHAnsi"/>
        </w:rPr>
      </w:pPr>
      <w:r w:rsidRPr="00D641A0">
        <w:rPr>
          <w:rFonts w:asciiTheme="majorHAnsi" w:hAnsiTheme="majorHAnsi" w:cstheme="majorHAnsi"/>
        </w:rPr>
        <w:t xml:space="preserve">CÁC KHOẢN THANH TOÁN CHO TĐL </w:t>
      </w:r>
    </w:p>
    <w:p w:rsidR="00F6720B" w:rsidRPr="00D641A0" w:rsidRDefault="00F6720B" w:rsidP="00B55CC8">
      <w:pPr>
        <w:pStyle w:val="A1"/>
        <w:widowControl w:val="0"/>
        <w:spacing w:before="240" w:after="240" w:line="240" w:lineRule="auto"/>
        <w:ind w:hanging="1440"/>
        <w:rPr>
          <w:rStyle w:val="MessageHeaderLabel"/>
          <w:rFonts w:asciiTheme="majorHAnsi" w:hAnsiTheme="majorHAnsi" w:cstheme="majorHAnsi"/>
          <w:b w:val="0"/>
          <w:sz w:val="24"/>
        </w:rPr>
      </w:pPr>
      <w:bookmarkStart w:id="1" w:name="_Toc408158328"/>
      <w:bookmarkStart w:id="2" w:name="_Toc409113965"/>
      <w:bookmarkStart w:id="3" w:name="_Toc448156404"/>
      <w:r w:rsidRPr="00D641A0">
        <w:rPr>
          <w:rStyle w:val="MessageHeaderLabel"/>
          <w:rFonts w:asciiTheme="majorHAnsi" w:hAnsiTheme="majorHAnsi" w:cstheme="majorHAnsi"/>
          <w:sz w:val="24"/>
        </w:rPr>
        <w:t>ĐỐI TƯỢNG VÀ PHẠM VI ÁP DỤNG</w:t>
      </w:r>
      <w:bookmarkEnd w:id="1"/>
      <w:bookmarkEnd w:id="2"/>
      <w:bookmarkEnd w:id="3"/>
    </w:p>
    <w:p w:rsidR="00F6720B" w:rsidRPr="00D641A0" w:rsidRDefault="00F6720B" w:rsidP="00B55CC8">
      <w:pPr>
        <w:widowControl w:val="0"/>
        <w:numPr>
          <w:ilvl w:val="1"/>
          <w:numId w:val="2"/>
        </w:numPr>
        <w:tabs>
          <w:tab w:val="left" w:pos="0"/>
        </w:tabs>
        <w:spacing w:line="360" w:lineRule="auto"/>
        <w:ind w:left="0" w:hanging="720"/>
        <w:jc w:val="both"/>
        <w:rPr>
          <w:rFonts w:asciiTheme="majorHAnsi" w:hAnsiTheme="majorHAnsi" w:cstheme="majorHAnsi"/>
          <w:sz w:val="24"/>
          <w:szCs w:val="24"/>
          <w:lang w:val="pt-BR"/>
        </w:rPr>
      </w:pPr>
      <w:r w:rsidRPr="00D641A0">
        <w:rPr>
          <w:rFonts w:asciiTheme="majorHAnsi" w:hAnsiTheme="majorHAnsi" w:cstheme="majorHAnsi"/>
          <w:sz w:val="24"/>
          <w:szCs w:val="24"/>
          <w:lang w:val="pt-BR"/>
        </w:rPr>
        <w:t>Chính s</w:t>
      </w:r>
      <w:r w:rsidR="00D24E25">
        <w:rPr>
          <w:rFonts w:asciiTheme="majorHAnsi" w:hAnsiTheme="majorHAnsi" w:cstheme="majorHAnsi"/>
          <w:sz w:val="24"/>
          <w:szCs w:val="24"/>
          <w:lang w:val="pt-BR"/>
        </w:rPr>
        <w:t>ách thu nhập (</w:t>
      </w:r>
      <w:r w:rsidR="004F458B">
        <w:rPr>
          <w:rFonts w:asciiTheme="majorHAnsi" w:hAnsiTheme="majorHAnsi" w:cstheme="majorHAnsi"/>
          <w:sz w:val="24"/>
          <w:szCs w:val="24"/>
          <w:lang w:val="pt-BR"/>
        </w:rPr>
        <w:t>CSTNTĐL</w:t>
      </w:r>
      <w:r w:rsidRPr="00D641A0">
        <w:rPr>
          <w:rFonts w:asciiTheme="majorHAnsi" w:hAnsiTheme="majorHAnsi" w:cstheme="majorHAnsi"/>
          <w:sz w:val="24"/>
          <w:szCs w:val="24"/>
          <w:lang w:val="pt-BR"/>
        </w:rPr>
        <w:t>)</w:t>
      </w:r>
      <w:r w:rsidR="00D24E25">
        <w:rPr>
          <w:rFonts w:asciiTheme="majorHAnsi" w:hAnsiTheme="majorHAnsi" w:cstheme="majorHAnsi"/>
          <w:sz w:val="24"/>
          <w:szCs w:val="24"/>
          <w:lang w:val="pt-BR"/>
        </w:rPr>
        <w:t xml:space="preserve"> này</w:t>
      </w:r>
      <w:r w:rsidRPr="00D641A0">
        <w:rPr>
          <w:rFonts w:asciiTheme="majorHAnsi" w:hAnsiTheme="majorHAnsi" w:cstheme="majorHAnsi"/>
          <w:sz w:val="24"/>
          <w:szCs w:val="24"/>
          <w:lang w:val="pt-BR"/>
        </w:rPr>
        <w:t xml:space="preserve"> áp dụng cho TĐL của Công ty TNHH BHNT Generali Việt Nam (</w:t>
      </w:r>
      <w:r w:rsidR="003D1E92" w:rsidRPr="00D641A0">
        <w:rPr>
          <w:rFonts w:asciiTheme="majorHAnsi" w:hAnsiTheme="majorHAnsi" w:cstheme="majorHAnsi"/>
          <w:sz w:val="24"/>
          <w:szCs w:val="24"/>
          <w:lang w:val="pt-BR"/>
        </w:rPr>
        <w:t>GVL</w:t>
      </w:r>
      <w:r w:rsidR="00D24E25">
        <w:rPr>
          <w:rFonts w:asciiTheme="majorHAnsi" w:hAnsiTheme="majorHAnsi" w:cstheme="majorHAnsi"/>
          <w:sz w:val="24"/>
          <w:szCs w:val="24"/>
          <w:lang w:val="pt-BR"/>
        </w:rPr>
        <w:t>)</w:t>
      </w:r>
      <w:r w:rsidRPr="00D641A0">
        <w:rPr>
          <w:rFonts w:asciiTheme="majorHAnsi" w:hAnsiTheme="majorHAnsi" w:cstheme="majorHAnsi"/>
          <w:sz w:val="24"/>
          <w:szCs w:val="24"/>
          <w:lang w:val="pt-BR"/>
        </w:rPr>
        <w:t>.</w:t>
      </w:r>
    </w:p>
    <w:p w:rsidR="00F6720B" w:rsidRDefault="00F6720B" w:rsidP="00B55CC8">
      <w:pPr>
        <w:widowControl w:val="0"/>
        <w:numPr>
          <w:ilvl w:val="1"/>
          <w:numId w:val="2"/>
        </w:numPr>
        <w:tabs>
          <w:tab w:val="left" w:pos="0"/>
        </w:tabs>
        <w:spacing w:line="360" w:lineRule="auto"/>
        <w:ind w:left="0" w:hanging="720"/>
        <w:jc w:val="both"/>
        <w:rPr>
          <w:rFonts w:asciiTheme="majorHAnsi" w:hAnsiTheme="majorHAnsi" w:cstheme="majorHAnsi"/>
          <w:sz w:val="24"/>
          <w:szCs w:val="24"/>
          <w:lang w:val="pt-BR"/>
        </w:rPr>
      </w:pPr>
      <w:r w:rsidRPr="00D641A0">
        <w:rPr>
          <w:rFonts w:asciiTheme="majorHAnsi" w:hAnsiTheme="majorHAnsi" w:cstheme="majorHAnsi"/>
          <w:sz w:val="24"/>
          <w:szCs w:val="24"/>
          <w:lang w:val="pt-BR"/>
        </w:rPr>
        <w:t>Trừ khi được định nghĩa và diễn giải khác đi trong từng tr</w:t>
      </w:r>
      <w:r w:rsidR="00C44F51">
        <w:rPr>
          <w:rFonts w:asciiTheme="majorHAnsi" w:hAnsiTheme="majorHAnsi" w:cstheme="majorHAnsi"/>
          <w:sz w:val="24"/>
          <w:szCs w:val="24"/>
          <w:lang w:val="pt-BR"/>
        </w:rPr>
        <w:t xml:space="preserve">ường </w:t>
      </w:r>
      <w:r w:rsidR="00D24E25">
        <w:rPr>
          <w:rFonts w:asciiTheme="majorHAnsi" w:hAnsiTheme="majorHAnsi" w:cstheme="majorHAnsi"/>
          <w:sz w:val="24"/>
          <w:szCs w:val="24"/>
          <w:lang w:val="pt-BR"/>
        </w:rPr>
        <w:t>hợp cụ thể của CSTNTĐL</w:t>
      </w:r>
      <w:r w:rsidRPr="00D641A0">
        <w:rPr>
          <w:rFonts w:asciiTheme="majorHAnsi" w:hAnsiTheme="majorHAnsi" w:cstheme="majorHAnsi"/>
          <w:sz w:val="24"/>
          <w:szCs w:val="24"/>
          <w:lang w:val="pt-BR"/>
        </w:rPr>
        <w:t>, các từ n</w:t>
      </w:r>
      <w:r w:rsidR="00D24E25">
        <w:rPr>
          <w:rFonts w:asciiTheme="majorHAnsi" w:hAnsiTheme="majorHAnsi" w:cstheme="majorHAnsi"/>
          <w:sz w:val="24"/>
          <w:szCs w:val="24"/>
          <w:lang w:val="pt-BR"/>
        </w:rPr>
        <w:t xml:space="preserve">gữ, diễn giải trong CSTNTĐL này </w:t>
      </w:r>
      <w:r w:rsidRPr="00D641A0">
        <w:rPr>
          <w:rFonts w:asciiTheme="majorHAnsi" w:hAnsiTheme="majorHAnsi" w:cstheme="majorHAnsi"/>
          <w:sz w:val="24"/>
          <w:szCs w:val="24"/>
          <w:lang w:val="pt-BR"/>
        </w:rPr>
        <w:t>được định nghĩa và diễn giải theo quy định tại Chính sách thu n</w:t>
      </w:r>
      <w:r w:rsidR="00C44F51">
        <w:rPr>
          <w:rFonts w:asciiTheme="majorHAnsi" w:hAnsiTheme="majorHAnsi" w:cstheme="majorHAnsi"/>
          <w:sz w:val="24"/>
          <w:szCs w:val="24"/>
          <w:lang w:val="pt-BR"/>
        </w:rPr>
        <w:t>hập cho Tư vấn bảo hiểm</w:t>
      </w:r>
      <w:r w:rsidR="00D24E25">
        <w:rPr>
          <w:rFonts w:asciiTheme="majorHAnsi" w:hAnsiTheme="majorHAnsi" w:cstheme="majorHAnsi"/>
          <w:sz w:val="24"/>
          <w:szCs w:val="24"/>
          <w:lang w:val="pt-BR"/>
        </w:rPr>
        <w:t xml:space="preserve"> </w:t>
      </w:r>
      <w:r w:rsidR="00D24E25" w:rsidRPr="00D641A0">
        <w:rPr>
          <w:rFonts w:asciiTheme="majorHAnsi" w:hAnsiTheme="majorHAnsi" w:cstheme="majorHAnsi"/>
          <w:sz w:val="24"/>
          <w:szCs w:val="24"/>
          <w:lang w:val="pt-BR"/>
        </w:rPr>
        <w:t>của Generali Việt N</w:t>
      </w:r>
      <w:r w:rsidR="00D24E25">
        <w:rPr>
          <w:rFonts w:asciiTheme="majorHAnsi" w:hAnsiTheme="majorHAnsi" w:cstheme="majorHAnsi"/>
          <w:sz w:val="24"/>
          <w:szCs w:val="24"/>
          <w:lang w:val="pt-BR"/>
        </w:rPr>
        <w:t>am</w:t>
      </w:r>
      <w:r w:rsidR="004B07CE">
        <w:rPr>
          <w:rFonts w:asciiTheme="majorHAnsi" w:hAnsiTheme="majorHAnsi" w:cstheme="majorHAnsi"/>
          <w:sz w:val="24"/>
          <w:szCs w:val="24"/>
          <w:lang w:val="pt-BR"/>
        </w:rPr>
        <w:t xml:space="preserve"> hiện hành</w:t>
      </w:r>
      <w:r w:rsidR="00D24E25">
        <w:rPr>
          <w:rFonts w:asciiTheme="majorHAnsi" w:hAnsiTheme="majorHAnsi" w:cstheme="majorHAnsi"/>
          <w:sz w:val="24"/>
          <w:szCs w:val="24"/>
          <w:lang w:val="pt-BR"/>
        </w:rPr>
        <w:t xml:space="preserve">. </w:t>
      </w:r>
    </w:p>
    <w:p w:rsidR="004B07CE" w:rsidRPr="00D641A0" w:rsidRDefault="004B07CE" w:rsidP="00B55CC8">
      <w:pPr>
        <w:widowControl w:val="0"/>
        <w:numPr>
          <w:ilvl w:val="1"/>
          <w:numId w:val="2"/>
        </w:numPr>
        <w:tabs>
          <w:tab w:val="left" w:pos="0"/>
        </w:tabs>
        <w:spacing w:line="360" w:lineRule="auto"/>
        <w:ind w:left="0" w:hanging="720"/>
        <w:jc w:val="both"/>
        <w:rPr>
          <w:rFonts w:asciiTheme="majorHAnsi" w:hAnsiTheme="majorHAnsi" w:cstheme="majorHAnsi"/>
          <w:sz w:val="24"/>
          <w:szCs w:val="24"/>
          <w:lang w:val="pt-BR"/>
        </w:rPr>
      </w:pPr>
      <w:r>
        <w:rPr>
          <w:rFonts w:asciiTheme="majorHAnsi" w:hAnsiTheme="majorHAnsi" w:cstheme="majorHAnsi"/>
          <w:sz w:val="24"/>
          <w:szCs w:val="24"/>
          <w:lang w:val="pt-BR"/>
        </w:rPr>
        <w:t>Tất cả các chỉ tiêu được quy định trong CSTNTĐL này được hiểu là chỉ tiêu tối thiểu.</w:t>
      </w:r>
    </w:p>
    <w:p w:rsidR="00F6720B" w:rsidRPr="00F71993" w:rsidRDefault="00F6720B" w:rsidP="00B55CC8">
      <w:pPr>
        <w:widowControl w:val="0"/>
        <w:numPr>
          <w:ilvl w:val="1"/>
          <w:numId w:val="2"/>
        </w:numPr>
        <w:tabs>
          <w:tab w:val="left" w:pos="0"/>
        </w:tabs>
        <w:spacing w:line="360" w:lineRule="auto"/>
        <w:ind w:left="0" w:hanging="720"/>
        <w:jc w:val="both"/>
        <w:rPr>
          <w:rFonts w:asciiTheme="majorHAnsi" w:hAnsiTheme="majorHAnsi" w:cstheme="majorHAnsi"/>
          <w:sz w:val="24"/>
          <w:szCs w:val="24"/>
          <w:lang w:val="pt-BR"/>
        </w:rPr>
      </w:pPr>
      <w:r w:rsidRPr="00D641A0">
        <w:rPr>
          <w:rFonts w:asciiTheme="majorHAnsi" w:hAnsiTheme="majorHAnsi" w:cstheme="majorHAnsi"/>
          <w:spacing w:val="-10"/>
          <w:sz w:val="24"/>
          <w:szCs w:val="24"/>
          <w:lang w:val="pt-BR"/>
        </w:rPr>
        <w:t>Công ty bảo lưu quyền thu hồi các khoản thưởng/trợ cấp đối với các trường hợp vi phạm quy định của Công ty.</w:t>
      </w:r>
    </w:p>
    <w:p w:rsidR="00F71993" w:rsidRPr="00D641A0" w:rsidRDefault="00F71993" w:rsidP="00B55CC8">
      <w:pPr>
        <w:widowControl w:val="0"/>
        <w:numPr>
          <w:ilvl w:val="1"/>
          <w:numId w:val="2"/>
        </w:numPr>
        <w:tabs>
          <w:tab w:val="left" w:pos="0"/>
        </w:tabs>
        <w:spacing w:line="360" w:lineRule="auto"/>
        <w:ind w:left="0" w:hanging="720"/>
        <w:jc w:val="both"/>
        <w:rPr>
          <w:rFonts w:asciiTheme="majorHAnsi" w:hAnsiTheme="majorHAnsi" w:cstheme="majorHAnsi"/>
          <w:sz w:val="24"/>
          <w:szCs w:val="24"/>
          <w:lang w:val="pt-BR"/>
        </w:rPr>
      </w:pPr>
      <w:r>
        <w:rPr>
          <w:rFonts w:asciiTheme="majorHAnsi" w:hAnsiTheme="majorHAnsi" w:cstheme="majorHAnsi"/>
          <w:spacing w:val="-10"/>
          <w:sz w:val="24"/>
          <w:szCs w:val="24"/>
          <w:lang w:val="pt-BR"/>
        </w:rPr>
        <w:t xml:space="preserve">Công ty có quyền thay đổi, bổ sung, sửa chữa và ban hành Chính sách thu nhập dành cho TĐL tùy từng thời điểm. Các thay đổi (nếu có) sẽ được thông báo bằng văn bản đến TĐL. </w:t>
      </w:r>
    </w:p>
    <w:p w:rsidR="00F6720B" w:rsidRPr="00D641A0" w:rsidRDefault="00F6720B" w:rsidP="00B55CC8">
      <w:pPr>
        <w:pStyle w:val="A1"/>
        <w:widowControl w:val="0"/>
        <w:spacing w:before="240" w:after="240" w:line="240" w:lineRule="auto"/>
        <w:ind w:left="-363" w:hanging="357"/>
        <w:rPr>
          <w:rStyle w:val="MessageHeaderLabel"/>
          <w:rFonts w:asciiTheme="majorHAnsi" w:hAnsiTheme="majorHAnsi" w:cstheme="majorHAnsi"/>
          <w:b w:val="0"/>
          <w:sz w:val="24"/>
        </w:rPr>
      </w:pPr>
      <w:bookmarkStart w:id="4" w:name="_Toc408158329"/>
      <w:bookmarkStart w:id="5" w:name="_Toc409113966"/>
      <w:bookmarkStart w:id="6" w:name="_Toc448156405"/>
      <w:r w:rsidRPr="00D641A0">
        <w:rPr>
          <w:rStyle w:val="MessageHeaderLabel"/>
          <w:rFonts w:asciiTheme="majorHAnsi" w:hAnsiTheme="majorHAnsi" w:cstheme="majorHAnsi"/>
          <w:sz w:val="24"/>
        </w:rPr>
        <w:t>ĐỊNH NGHĨA VÀ DIỄN GIẢI</w:t>
      </w:r>
      <w:bookmarkEnd w:id="4"/>
      <w:bookmarkEnd w:id="5"/>
      <w:bookmarkEnd w:id="6"/>
    </w:p>
    <w:p w:rsidR="00F6720B" w:rsidRPr="00D641A0" w:rsidRDefault="00F6720B" w:rsidP="00B55CC8">
      <w:pPr>
        <w:pStyle w:val="A1"/>
        <w:widowControl w:val="0"/>
        <w:numPr>
          <w:ilvl w:val="0"/>
          <w:numId w:val="0"/>
        </w:numPr>
        <w:spacing w:after="0"/>
        <w:ind w:left="-720"/>
        <w:rPr>
          <w:rStyle w:val="MessageHeaderLabel"/>
          <w:rFonts w:asciiTheme="majorHAnsi" w:hAnsiTheme="majorHAnsi" w:cstheme="majorHAnsi"/>
          <w:b w:val="0"/>
          <w:sz w:val="24"/>
        </w:rPr>
      </w:pPr>
      <w:r w:rsidRPr="00D641A0">
        <w:rPr>
          <w:rStyle w:val="MessageHeaderLabel"/>
          <w:rFonts w:asciiTheme="majorHAnsi" w:hAnsiTheme="majorHAnsi" w:cstheme="majorHAnsi"/>
          <w:b w:val="0"/>
          <w:sz w:val="24"/>
        </w:rPr>
        <w:t>Các từ và cụm từ được định nghĩa/diễn giải sẽ có ý nghĩa như dưới đây, trừ khi các từ và cụm từ đó đã được giải thích khác đi trong những trường hợp cụ thể quy định tại CSTN</w:t>
      </w:r>
      <w:r w:rsidRPr="00D641A0">
        <w:rPr>
          <w:rFonts w:asciiTheme="majorHAnsi" w:hAnsiTheme="majorHAnsi" w:cstheme="majorHAnsi"/>
          <w:b w:val="0"/>
        </w:rPr>
        <w:t>TĐL</w:t>
      </w:r>
      <w:r w:rsidR="004B07CE">
        <w:rPr>
          <w:rStyle w:val="MessageHeaderLabel"/>
          <w:rFonts w:asciiTheme="majorHAnsi" w:hAnsiTheme="majorHAnsi" w:cstheme="majorHAnsi"/>
          <w:b w:val="0"/>
          <w:sz w:val="24"/>
        </w:rPr>
        <w:t xml:space="preserve"> </w:t>
      </w:r>
      <w:r w:rsidRPr="00D641A0">
        <w:rPr>
          <w:rStyle w:val="MessageHeaderLabel"/>
          <w:rFonts w:asciiTheme="majorHAnsi" w:hAnsiTheme="majorHAnsi" w:cstheme="majorHAnsi"/>
          <w:b w:val="0"/>
          <w:sz w:val="24"/>
        </w:rPr>
        <w:t>này.</w:t>
      </w:r>
    </w:p>
    <w:p w:rsidR="00F6720B" w:rsidRPr="00D641A0" w:rsidRDefault="00F6720B" w:rsidP="00B55CC8">
      <w:pPr>
        <w:pStyle w:val="A1"/>
        <w:widowControl w:val="0"/>
        <w:numPr>
          <w:ilvl w:val="1"/>
          <w:numId w:val="11"/>
        </w:numPr>
        <w:spacing w:after="0"/>
        <w:ind w:left="0" w:hanging="720"/>
        <w:rPr>
          <w:rStyle w:val="MessageHeaderLabel"/>
          <w:rFonts w:asciiTheme="majorHAnsi" w:hAnsiTheme="majorHAnsi" w:cstheme="majorHAnsi"/>
          <w:b w:val="0"/>
          <w:sz w:val="24"/>
        </w:rPr>
      </w:pPr>
      <w:r w:rsidRPr="00D641A0">
        <w:rPr>
          <w:rStyle w:val="MessageHeaderLabel"/>
          <w:rFonts w:asciiTheme="majorHAnsi" w:hAnsiTheme="majorHAnsi" w:cstheme="majorHAnsi"/>
          <w:b w:val="0"/>
          <w:sz w:val="24"/>
        </w:rPr>
        <w:t xml:space="preserve">Các chỉ tiêu liên quan đến doanh số </w:t>
      </w:r>
      <w:r w:rsidR="004B07CE">
        <w:rPr>
          <w:rStyle w:val="MessageHeaderLabel"/>
          <w:rFonts w:asciiTheme="majorHAnsi" w:hAnsiTheme="majorHAnsi" w:cstheme="majorHAnsi"/>
          <w:b w:val="0"/>
          <w:sz w:val="24"/>
        </w:rPr>
        <w:t>được quy định trong CSTNTĐL</w:t>
      </w:r>
      <w:r w:rsidRPr="00D641A0">
        <w:rPr>
          <w:rStyle w:val="MessageHeaderLabel"/>
          <w:rFonts w:asciiTheme="majorHAnsi" w:hAnsiTheme="majorHAnsi" w:cstheme="majorHAnsi"/>
          <w:b w:val="0"/>
          <w:sz w:val="24"/>
        </w:rPr>
        <w:t xml:space="preserve"> này được hiểu là “Doanh số thuần trong kỳ” (nghĩa là Doanh số còn lại sau khi lấy tổng Doanh số của các hợp đồng bảo hiểm thu được trong kỳ trừ đi Doanh số phải hoàn trả lại cho khách hàng do chính những hợp đồng bảo hiểm này hoặc những hợp đồng bảo hiểm khác bị hủy, hủy chuyển, điều chỉnh trong cùng kỳ đó). </w:t>
      </w:r>
    </w:p>
    <w:p w:rsidR="00F6720B" w:rsidRPr="00D641A0" w:rsidRDefault="00F6720B" w:rsidP="00B55CC8">
      <w:pPr>
        <w:pStyle w:val="A1"/>
        <w:widowControl w:val="0"/>
        <w:numPr>
          <w:ilvl w:val="1"/>
          <w:numId w:val="11"/>
        </w:numPr>
        <w:spacing w:after="0"/>
        <w:ind w:left="0" w:hanging="720"/>
        <w:rPr>
          <w:rStyle w:val="MessageHeaderLabel"/>
          <w:rFonts w:asciiTheme="majorHAnsi" w:hAnsiTheme="majorHAnsi" w:cstheme="majorHAnsi"/>
          <w:b w:val="0"/>
          <w:sz w:val="24"/>
        </w:rPr>
      </w:pPr>
      <w:r w:rsidRPr="00D641A0">
        <w:rPr>
          <w:rStyle w:val="MessageHeaderLabel"/>
          <w:rFonts w:asciiTheme="majorHAnsi" w:hAnsiTheme="majorHAnsi" w:cstheme="majorHAnsi"/>
          <w:b w:val="0"/>
          <w:sz w:val="24"/>
        </w:rPr>
        <w:t>“</w:t>
      </w:r>
      <w:r w:rsidR="00ED139F">
        <w:rPr>
          <w:rStyle w:val="MessageHeaderLabel"/>
          <w:rFonts w:asciiTheme="majorHAnsi" w:hAnsiTheme="majorHAnsi" w:cstheme="majorHAnsi"/>
          <w:sz w:val="24"/>
        </w:rPr>
        <w:t>Tháng Hoạt Động C</w:t>
      </w:r>
      <w:r w:rsidRPr="00D641A0">
        <w:rPr>
          <w:rStyle w:val="MessageHeaderLabel"/>
          <w:rFonts w:asciiTheme="majorHAnsi" w:hAnsiTheme="majorHAnsi" w:cstheme="majorHAnsi"/>
          <w:sz w:val="24"/>
        </w:rPr>
        <w:t>ủa TĐL</w:t>
      </w:r>
      <w:r w:rsidRPr="00D641A0">
        <w:rPr>
          <w:rStyle w:val="MessageHeaderLabel"/>
          <w:rFonts w:asciiTheme="majorHAnsi" w:hAnsiTheme="majorHAnsi" w:cstheme="majorHAnsi"/>
          <w:b w:val="0"/>
          <w:sz w:val="24"/>
        </w:rPr>
        <w:t>” được hiểu là:</w:t>
      </w:r>
    </w:p>
    <w:p w:rsidR="009301D7" w:rsidRPr="009301D7" w:rsidRDefault="009B6083" w:rsidP="00B55CC8">
      <w:pPr>
        <w:pStyle w:val="ListParagraph"/>
        <w:widowControl w:val="0"/>
        <w:numPr>
          <w:ilvl w:val="0"/>
          <w:numId w:val="31"/>
        </w:numPr>
        <w:tabs>
          <w:tab w:val="left" w:pos="0"/>
        </w:tabs>
        <w:spacing w:before="120" w:line="360" w:lineRule="auto"/>
        <w:jc w:val="both"/>
        <w:rPr>
          <w:sz w:val="24"/>
          <w:szCs w:val="24"/>
          <w:lang w:val="it-IT"/>
        </w:rPr>
      </w:pPr>
      <w:r w:rsidRPr="009301D7">
        <w:rPr>
          <w:sz w:val="24"/>
          <w:szCs w:val="24"/>
          <w:lang w:val="it-IT"/>
        </w:rPr>
        <w:t xml:space="preserve">Nếu ngày chính thức hoạt động của TĐL </w:t>
      </w:r>
      <w:r w:rsidR="002B6291" w:rsidRPr="009301D7">
        <w:rPr>
          <w:sz w:val="24"/>
          <w:szCs w:val="24"/>
          <w:lang w:val="it-IT"/>
        </w:rPr>
        <w:t>(</w:t>
      </w:r>
      <w:r w:rsidR="009301D7" w:rsidRPr="009301D7">
        <w:rPr>
          <w:sz w:val="24"/>
          <w:szCs w:val="24"/>
          <w:lang w:val="it-IT"/>
        </w:rPr>
        <w:t xml:space="preserve">là ngày chính thức được tính doanh số trên hệ thống </w:t>
      </w:r>
      <w:r w:rsidR="002B6291" w:rsidRPr="009301D7">
        <w:rPr>
          <w:sz w:val="24"/>
          <w:szCs w:val="24"/>
          <w:lang w:val="it-IT"/>
        </w:rPr>
        <w:t>căn cứ theo</w:t>
      </w:r>
      <w:r w:rsidR="00756C0F" w:rsidRPr="009301D7">
        <w:rPr>
          <w:sz w:val="24"/>
          <w:szCs w:val="24"/>
          <w:lang w:val="it-IT"/>
        </w:rPr>
        <w:t xml:space="preserve"> Thông báo </w:t>
      </w:r>
      <w:r w:rsidR="002B6291" w:rsidRPr="009301D7">
        <w:rPr>
          <w:sz w:val="24"/>
          <w:szCs w:val="24"/>
          <w:lang w:val="it-IT"/>
        </w:rPr>
        <w:t xml:space="preserve">do GVL </w:t>
      </w:r>
      <w:r w:rsidR="00756C0F" w:rsidRPr="009301D7">
        <w:rPr>
          <w:sz w:val="24"/>
          <w:szCs w:val="24"/>
          <w:lang w:val="it-IT"/>
        </w:rPr>
        <w:t>phát hành</w:t>
      </w:r>
      <w:r w:rsidR="00756C0F" w:rsidRPr="009301D7">
        <w:rPr>
          <w:sz w:val="24"/>
          <w:szCs w:val="24"/>
          <w:lang w:val="vi-VN"/>
        </w:rPr>
        <w:t>)</w:t>
      </w:r>
      <w:r w:rsidR="00756C0F" w:rsidRPr="009301D7">
        <w:rPr>
          <w:sz w:val="24"/>
          <w:szCs w:val="24"/>
          <w:lang w:val="it-IT"/>
        </w:rPr>
        <w:t xml:space="preserve"> </w:t>
      </w:r>
      <w:r w:rsidRPr="009301D7">
        <w:rPr>
          <w:sz w:val="24"/>
          <w:szCs w:val="24"/>
          <w:lang w:val="it-IT"/>
        </w:rPr>
        <w:t xml:space="preserve">là trước ngày 15 của tháng T, thì tháng hoạt động đầu tiên </w:t>
      </w:r>
      <w:r w:rsidR="009301D7" w:rsidRPr="009301D7">
        <w:rPr>
          <w:sz w:val="24"/>
          <w:szCs w:val="24"/>
          <w:lang w:val="it-IT"/>
        </w:rPr>
        <w:t xml:space="preserve">(T1) </w:t>
      </w:r>
      <w:r w:rsidRPr="009301D7">
        <w:rPr>
          <w:sz w:val="24"/>
          <w:szCs w:val="24"/>
          <w:lang w:val="it-IT"/>
        </w:rPr>
        <w:t xml:space="preserve">được tính </w:t>
      </w:r>
      <w:r w:rsidR="009301D7" w:rsidRPr="009301D7">
        <w:rPr>
          <w:sz w:val="24"/>
          <w:szCs w:val="24"/>
          <w:lang w:val="it-IT"/>
        </w:rPr>
        <w:t>từ ngày chính thức hoạt động đến cuối</w:t>
      </w:r>
      <w:r w:rsidRPr="009301D7">
        <w:rPr>
          <w:sz w:val="24"/>
          <w:szCs w:val="24"/>
          <w:lang w:val="it-IT"/>
        </w:rPr>
        <w:t xml:space="preserve"> tháng T. </w:t>
      </w:r>
    </w:p>
    <w:p w:rsidR="00F6720B" w:rsidRPr="009301D7" w:rsidRDefault="009B6083" w:rsidP="00B55CC8">
      <w:pPr>
        <w:pStyle w:val="ListParagraph"/>
        <w:widowControl w:val="0"/>
        <w:numPr>
          <w:ilvl w:val="0"/>
          <w:numId w:val="31"/>
        </w:numPr>
        <w:tabs>
          <w:tab w:val="left" w:pos="0"/>
        </w:tabs>
        <w:spacing w:before="120" w:line="360" w:lineRule="auto"/>
        <w:jc w:val="both"/>
        <w:rPr>
          <w:sz w:val="24"/>
          <w:szCs w:val="24"/>
          <w:lang w:val="it-IT"/>
        </w:rPr>
      </w:pPr>
      <w:r w:rsidRPr="009301D7">
        <w:rPr>
          <w:sz w:val="24"/>
          <w:szCs w:val="24"/>
          <w:lang w:val="it-IT"/>
        </w:rPr>
        <w:t xml:space="preserve">Nếu ngày chính thức hoạt động của TĐL từ ngày 15 của tháng T, thì tháng hoạt động đầu tiên </w:t>
      </w:r>
      <w:r w:rsidR="009301D7" w:rsidRPr="009301D7">
        <w:rPr>
          <w:sz w:val="24"/>
          <w:szCs w:val="24"/>
          <w:lang w:val="it-IT"/>
        </w:rPr>
        <w:t xml:space="preserve">(T1) </w:t>
      </w:r>
      <w:r w:rsidRPr="009301D7">
        <w:rPr>
          <w:sz w:val="24"/>
          <w:szCs w:val="24"/>
          <w:lang w:val="it-IT"/>
        </w:rPr>
        <w:t xml:space="preserve">được tính </w:t>
      </w:r>
      <w:r w:rsidR="009301D7" w:rsidRPr="009301D7">
        <w:rPr>
          <w:sz w:val="24"/>
          <w:szCs w:val="24"/>
          <w:lang w:val="it-IT"/>
        </w:rPr>
        <w:t>từ ngày chính thức hoạt động đến cuối</w:t>
      </w:r>
      <w:r w:rsidRPr="009301D7">
        <w:rPr>
          <w:sz w:val="24"/>
          <w:szCs w:val="24"/>
          <w:lang w:val="it-IT"/>
        </w:rPr>
        <w:t xml:space="preserve"> tháng T+1.</w:t>
      </w:r>
    </w:p>
    <w:p w:rsidR="009301D7" w:rsidRPr="009301D7" w:rsidRDefault="009301D7" w:rsidP="00B55CC8">
      <w:pPr>
        <w:pStyle w:val="ListParagraph"/>
        <w:widowControl w:val="0"/>
        <w:numPr>
          <w:ilvl w:val="0"/>
          <w:numId w:val="31"/>
        </w:numPr>
        <w:tabs>
          <w:tab w:val="left" w:pos="0"/>
        </w:tabs>
        <w:spacing w:before="120" w:line="360" w:lineRule="auto"/>
        <w:jc w:val="both"/>
        <w:rPr>
          <w:rFonts w:asciiTheme="majorHAnsi" w:hAnsiTheme="majorHAnsi" w:cstheme="majorHAnsi"/>
          <w:spacing w:val="-10"/>
          <w:sz w:val="24"/>
          <w:szCs w:val="24"/>
          <w:lang w:val="pt-BR"/>
        </w:rPr>
      </w:pPr>
      <w:r w:rsidRPr="009301D7">
        <w:rPr>
          <w:sz w:val="24"/>
          <w:szCs w:val="24"/>
          <w:lang w:val="it-IT"/>
        </w:rPr>
        <w:t>Tháng thứ hai (T2) là tháng tiếp theo tháng T1, Tháng thứ ba (T3) là tháng tiếp theo T2, ...</w:t>
      </w:r>
    </w:p>
    <w:p w:rsidR="00F6720B" w:rsidRPr="00D641A0" w:rsidRDefault="00F6720B" w:rsidP="00B55CC8">
      <w:pPr>
        <w:pStyle w:val="ListParagraph"/>
        <w:widowControl w:val="0"/>
        <w:numPr>
          <w:ilvl w:val="1"/>
          <w:numId w:val="11"/>
        </w:numPr>
        <w:tabs>
          <w:tab w:val="left" w:pos="0"/>
        </w:tabs>
        <w:spacing w:before="120" w:line="360" w:lineRule="auto"/>
        <w:ind w:left="0" w:hanging="720"/>
        <w:jc w:val="both"/>
        <w:rPr>
          <w:rStyle w:val="MessageHeaderLabel"/>
          <w:rFonts w:asciiTheme="majorHAnsi" w:hAnsiTheme="majorHAnsi" w:cstheme="majorHAnsi"/>
          <w:sz w:val="24"/>
          <w:szCs w:val="24"/>
          <w:lang w:val="pt-BR"/>
        </w:rPr>
      </w:pPr>
      <w:r w:rsidRPr="00D641A0">
        <w:rPr>
          <w:rStyle w:val="MessageHeaderLabel"/>
          <w:rFonts w:asciiTheme="majorHAnsi" w:hAnsiTheme="majorHAnsi" w:cstheme="majorHAnsi"/>
          <w:b/>
          <w:sz w:val="24"/>
          <w:szCs w:val="24"/>
          <w:lang w:val="pt-BR"/>
        </w:rPr>
        <w:t>“TĐL mới”</w:t>
      </w:r>
      <w:r w:rsidRPr="00D641A0">
        <w:rPr>
          <w:rStyle w:val="MessageHeaderLabel"/>
          <w:rFonts w:asciiTheme="majorHAnsi" w:hAnsiTheme="majorHAnsi" w:cstheme="majorHAnsi"/>
          <w:sz w:val="24"/>
          <w:szCs w:val="24"/>
          <w:lang w:val="pt-BR"/>
        </w:rPr>
        <w:t xml:space="preserve"> là TĐL đang trong 12 tháng hoạt động đầu tiên.</w:t>
      </w:r>
    </w:p>
    <w:p w:rsidR="00F6720B" w:rsidRDefault="00F6720B" w:rsidP="00B55CC8">
      <w:pPr>
        <w:pStyle w:val="ListParagraph"/>
        <w:widowControl w:val="0"/>
        <w:numPr>
          <w:ilvl w:val="1"/>
          <w:numId w:val="11"/>
        </w:numPr>
        <w:tabs>
          <w:tab w:val="left" w:pos="0"/>
        </w:tabs>
        <w:spacing w:before="120" w:line="360" w:lineRule="auto"/>
        <w:ind w:left="0" w:hanging="720"/>
        <w:jc w:val="both"/>
        <w:rPr>
          <w:rStyle w:val="MessageHeaderLabel"/>
          <w:rFonts w:asciiTheme="majorHAnsi" w:hAnsiTheme="majorHAnsi" w:cstheme="majorHAnsi"/>
          <w:sz w:val="24"/>
          <w:szCs w:val="24"/>
          <w:lang w:val="pt-BR"/>
        </w:rPr>
      </w:pPr>
      <w:r w:rsidRPr="00D641A0">
        <w:rPr>
          <w:rStyle w:val="MessageHeaderLabel"/>
          <w:rFonts w:asciiTheme="majorHAnsi" w:hAnsiTheme="majorHAnsi" w:cstheme="majorHAnsi"/>
          <w:sz w:val="24"/>
          <w:szCs w:val="24"/>
          <w:lang w:val="pt-BR"/>
        </w:rPr>
        <w:t>“</w:t>
      </w:r>
      <w:r w:rsidRPr="00D641A0">
        <w:rPr>
          <w:rStyle w:val="MessageHeaderLabel"/>
          <w:rFonts w:asciiTheme="majorHAnsi" w:hAnsiTheme="majorHAnsi" w:cstheme="majorHAnsi"/>
          <w:b/>
          <w:sz w:val="24"/>
          <w:szCs w:val="24"/>
          <w:lang w:val="pt-BR"/>
        </w:rPr>
        <w:t>TĐL Đạt Tiêu Chuẩn Hoạt Động</w:t>
      </w:r>
      <w:r w:rsidRPr="00D641A0">
        <w:rPr>
          <w:rStyle w:val="MessageHeaderLabel"/>
          <w:rFonts w:asciiTheme="majorHAnsi" w:hAnsiTheme="majorHAnsi" w:cstheme="majorHAnsi"/>
          <w:sz w:val="24"/>
          <w:szCs w:val="24"/>
          <w:lang w:val="pt-BR"/>
        </w:rPr>
        <w:t xml:space="preserve">”: là TĐL </w:t>
      </w:r>
      <w:r w:rsidR="00ED139F">
        <w:rPr>
          <w:rStyle w:val="MessageHeaderLabel"/>
          <w:rFonts w:asciiTheme="majorHAnsi" w:hAnsiTheme="majorHAnsi" w:cstheme="majorHAnsi"/>
          <w:sz w:val="24"/>
          <w:szCs w:val="24"/>
          <w:lang w:val="pt-BR"/>
        </w:rPr>
        <w:t>thỏa các tiêu chí, điều kiện hoạt động của Công ty</w:t>
      </w:r>
      <w:r w:rsidRPr="00D641A0">
        <w:rPr>
          <w:rStyle w:val="MessageHeaderLabel"/>
          <w:rFonts w:asciiTheme="majorHAnsi" w:hAnsiTheme="majorHAnsi" w:cstheme="majorHAnsi"/>
          <w:sz w:val="24"/>
          <w:szCs w:val="24"/>
          <w:lang w:val="pt-BR"/>
        </w:rPr>
        <w:t>, không vi phạm các quy định trong Quy Chế Tổ Chức &amp; Hoạt Động Tổng Đại Lý và các Quy định khác của Công ty.</w:t>
      </w:r>
    </w:p>
    <w:p w:rsidR="00F43FA4" w:rsidRPr="009301D7" w:rsidRDefault="006971AF" w:rsidP="00B55CC8">
      <w:pPr>
        <w:pStyle w:val="ListParagraph"/>
        <w:widowControl w:val="0"/>
        <w:numPr>
          <w:ilvl w:val="1"/>
          <w:numId w:val="11"/>
        </w:numPr>
        <w:tabs>
          <w:tab w:val="left" w:pos="0"/>
        </w:tabs>
        <w:spacing w:before="120" w:line="360" w:lineRule="auto"/>
        <w:ind w:left="0" w:hanging="720"/>
        <w:jc w:val="both"/>
        <w:rPr>
          <w:rStyle w:val="MessageHeaderLabel"/>
          <w:rFonts w:asciiTheme="majorHAnsi" w:hAnsiTheme="majorHAnsi" w:cstheme="majorHAnsi"/>
          <w:b/>
          <w:sz w:val="24"/>
          <w:szCs w:val="24"/>
          <w:lang w:val="pt-BR"/>
        </w:rPr>
      </w:pPr>
      <w:r w:rsidRPr="009301D7">
        <w:rPr>
          <w:rStyle w:val="MessageHeaderLabel"/>
          <w:rFonts w:asciiTheme="majorHAnsi" w:hAnsiTheme="majorHAnsi" w:cstheme="majorHAnsi"/>
          <w:sz w:val="24"/>
          <w:szCs w:val="24"/>
          <w:lang w:val="pt-BR"/>
        </w:rPr>
        <w:br w:type="page"/>
      </w:r>
      <w:r w:rsidR="00F43FA4" w:rsidRPr="009301D7">
        <w:rPr>
          <w:rStyle w:val="MessageHeaderLabel"/>
          <w:rFonts w:asciiTheme="majorHAnsi" w:hAnsiTheme="majorHAnsi" w:cstheme="majorHAnsi"/>
          <w:b/>
          <w:sz w:val="24"/>
          <w:szCs w:val="24"/>
          <w:lang w:val="pt-BR"/>
        </w:rPr>
        <w:lastRenderedPageBreak/>
        <w:t xml:space="preserve">“Tỷ lệ Hoạt Động Trung Bình Quý Của </w:t>
      </w:r>
      <w:r w:rsidR="00DC1689" w:rsidRPr="009301D7">
        <w:rPr>
          <w:rStyle w:val="MessageHeaderLabel"/>
          <w:rFonts w:asciiTheme="majorHAnsi" w:hAnsiTheme="majorHAnsi" w:cstheme="majorHAnsi"/>
          <w:b/>
          <w:sz w:val="24"/>
          <w:szCs w:val="24"/>
          <w:lang w:val="pt-BR"/>
        </w:rPr>
        <w:t>TĐL</w:t>
      </w:r>
      <w:r w:rsidR="00F43FA4" w:rsidRPr="009301D7">
        <w:rPr>
          <w:rStyle w:val="MessageHeaderLabel"/>
          <w:rFonts w:asciiTheme="majorHAnsi" w:hAnsiTheme="majorHAnsi" w:cstheme="majorHAnsi"/>
          <w:b/>
          <w:sz w:val="24"/>
          <w:szCs w:val="24"/>
          <w:lang w:val="pt-BR"/>
        </w:rPr>
        <w:t xml:space="preserve">”: </w:t>
      </w:r>
      <w:r w:rsidR="00F43FA4" w:rsidRPr="009301D7">
        <w:rPr>
          <w:rStyle w:val="MessageHeaderLabel"/>
          <w:rFonts w:asciiTheme="majorHAnsi" w:hAnsiTheme="majorHAnsi" w:cstheme="majorHAnsi"/>
          <w:sz w:val="24"/>
          <w:szCs w:val="24"/>
          <w:lang w:val="pt-BR"/>
        </w:rPr>
        <w:t>được tính theo công thức sau</w:t>
      </w:r>
    </w:p>
    <w:tbl>
      <w:tblPr>
        <w:tblW w:w="8647" w:type="dxa"/>
        <w:tblLook w:val="04A0" w:firstRow="1" w:lastRow="0" w:firstColumn="1" w:lastColumn="0" w:noHBand="0" w:noVBand="1"/>
      </w:tblPr>
      <w:tblGrid>
        <w:gridCol w:w="5103"/>
        <w:gridCol w:w="2997"/>
        <w:gridCol w:w="547"/>
      </w:tblGrid>
      <w:tr w:rsidR="00F43FA4" w:rsidRPr="005216FF" w:rsidTr="00394E3C">
        <w:trPr>
          <w:trHeight w:val="390"/>
        </w:trPr>
        <w:tc>
          <w:tcPr>
            <w:tcW w:w="5103" w:type="dxa"/>
            <w:vMerge w:val="restart"/>
            <w:tcBorders>
              <w:top w:val="nil"/>
              <w:left w:val="nil"/>
              <w:bottom w:val="nil"/>
              <w:right w:val="nil"/>
            </w:tcBorders>
            <w:shd w:val="clear" w:color="auto" w:fill="auto"/>
            <w:noWrap/>
            <w:vAlign w:val="center"/>
            <w:hideMark/>
          </w:tcPr>
          <w:p w:rsidR="00F43FA4" w:rsidRPr="005216FF" w:rsidRDefault="00F43FA4" w:rsidP="00B55CC8">
            <w:pPr>
              <w:widowControl w:val="0"/>
              <w:jc w:val="center"/>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 xml:space="preserve">Tỷ lệ hoạt động trung bình quý của </w:t>
            </w:r>
            <w:r w:rsidR="00DC1689" w:rsidRPr="005216FF">
              <w:rPr>
                <w:rFonts w:asciiTheme="majorHAnsi" w:hAnsiTheme="majorHAnsi" w:cstheme="majorHAnsi"/>
                <w:i/>
                <w:iCs/>
                <w:color w:val="000000"/>
                <w:sz w:val="22"/>
                <w:szCs w:val="22"/>
                <w:lang w:val="pt-BR" w:eastAsia="vi-VN"/>
              </w:rPr>
              <w:t>TĐL</w:t>
            </w:r>
            <w:r w:rsidRPr="005216FF">
              <w:rPr>
                <w:rFonts w:asciiTheme="majorHAnsi" w:hAnsiTheme="majorHAnsi" w:cstheme="majorHAnsi"/>
                <w:i/>
                <w:iCs/>
                <w:color w:val="000000"/>
                <w:sz w:val="22"/>
                <w:szCs w:val="22"/>
                <w:lang w:val="vi-VN" w:eastAsia="vi-VN"/>
              </w:rPr>
              <w:t xml:space="preserve"> =</w:t>
            </w:r>
          </w:p>
        </w:tc>
        <w:tc>
          <w:tcPr>
            <w:tcW w:w="2997" w:type="dxa"/>
            <w:tcBorders>
              <w:top w:val="nil"/>
              <w:left w:val="nil"/>
              <w:bottom w:val="single" w:sz="8" w:space="0" w:color="auto"/>
              <w:right w:val="nil"/>
            </w:tcBorders>
            <w:shd w:val="clear" w:color="auto" w:fill="auto"/>
            <w:noWrap/>
            <w:vAlign w:val="bottom"/>
            <w:hideMark/>
          </w:tcPr>
          <w:p w:rsidR="00F43FA4" w:rsidRPr="005216FF" w:rsidRDefault="00F43FA4" w:rsidP="00B55CC8">
            <w:pPr>
              <w:widowControl w:val="0"/>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A</w:t>
            </w:r>
            <w:r w:rsidRPr="005216FF">
              <w:rPr>
                <w:rFonts w:asciiTheme="majorHAnsi" w:hAnsiTheme="majorHAnsi" w:cstheme="majorHAnsi"/>
                <w:i/>
                <w:iCs/>
                <w:color w:val="000000"/>
                <w:sz w:val="22"/>
                <w:szCs w:val="22"/>
                <w:vertAlign w:val="subscript"/>
                <w:lang w:val="vi-VN" w:eastAsia="vi-VN"/>
              </w:rPr>
              <w:t>Tháng 1</w:t>
            </w:r>
            <w:r w:rsidRPr="005216FF">
              <w:rPr>
                <w:rFonts w:asciiTheme="majorHAnsi" w:hAnsiTheme="majorHAnsi" w:cstheme="majorHAnsi"/>
                <w:i/>
                <w:iCs/>
                <w:color w:val="000000"/>
                <w:sz w:val="22"/>
                <w:szCs w:val="22"/>
                <w:lang w:val="vi-VN" w:eastAsia="vi-VN"/>
              </w:rPr>
              <w:t xml:space="preserve"> + A</w:t>
            </w:r>
            <w:r w:rsidRPr="005216FF">
              <w:rPr>
                <w:rFonts w:asciiTheme="majorHAnsi" w:hAnsiTheme="majorHAnsi" w:cstheme="majorHAnsi"/>
                <w:i/>
                <w:iCs/>
                <w:color w:val="000000"/>
                <w:sz w:val="22"/>
                <w:szCs w:val="22"/>
                <w:vertAlign w:val="subscript"/>
                <w:lang w:val="vi-VN" w:eastAsia="vi-VN"/>
              </w:rPr>
              <w:t>Tháng 2</w:t>
            </w:r>
            <w:r w:rsidRPr="005216FF">
              <w:rPr>
                <w:rFonts w:asciiTheme="majorHAnsi" w:hAnsiTheme="majorHAnsi" w:cstheme="majorHAnsi"/>
                <w:i/>
                <w:iCs/>
                <w:color w:val="000000"/>
                <w:sz w:val="22"/>
                <w:szCs w:val="22"/>
                <w:lang w:val="vi-VN" w:eastAsia="vi-VN"/>
              </w:rPr>
              <w:t xml:space="preserve"> + A</w:t>
            </w:r>
            <w:r w:rsidRPr="005216FF">
              <w:rPr>
                <w:rFonts w:asciiTheme="majorHAnsi" w:hAnsiTheme="majorHAnsi" w:cstheme="majorHAnsi"/>
                <w:i/>
                <w:iCs/>
                <w:color w:val="000000"/>
                <w:sz w:val="22"/>
                <w:szCs w:val="22"/>
                <w:vertAlign w:val="subscript"/>
                <w:lang w:val="vi-VN" w:eastAsia="vi-VN"/>
              </w:rPr>
              <w:t>Tháng 3</w:t>
            </w:r>
          </w:p>
        </w:tc>
        <w:tc>
          <w:tcPr>
            <w:tcW w:w="547" w:type="dxa"/>
            <w:vMerge w:val="restart"/>
            <w:tcBorders>
              <w:top w:val="nil"/>
              <w:left w:val="nil"/>
              <w:bottom w:val="nil"/>
              <w:right w:val="nil"/>
            </w:tcBorders>
            <w:shd w:val="clear" w:color="auto" w:fill="auto"/>
            <w:noWrap/>
            <w:vAlign w:val="center"/>
            <w:hideMark/>
          </w:tcPr>
          <w:p w:rsidR="00F43FA4" w:rsidRPr="005216FF" w:rsidRDefault="00F43FA4" w:rsidP="00B55CC8">
            <w:pPr>
              <w:widowControl w:val="0"/>
              <w:jc w:val="center"/>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x 2</w:t>
            </w:r>
          </w:p>
        </w:tc>
      </w:tr>
      <w:tr w:rsidR="00F43FA4" w:rsidRPr="005216FF" w:rsidTr="00394E3C">
        <w:trPr>
          <w:trHeight w:val="375"/>
        </w:trPr>
        <w:tc>
          <w:tcPr>
            <w:tcW w:w="5103" w:type="dxa"/>
            <w:vMerge/>
            <w:tcBorders>
              <w:top w:val="nil"/>
              <w:left w:val="nil"/>
              <w:bottom w:val="nil"/>
              <w:right w:val="nil"/>
            </w:tcBorders>
            <w:vAlign w:val="center"/>
            <w:hideMark/>
          </w:tcPr>
          <w:p w:rsidR="00F43FA4" w:rsidRPr="005216FF" w:rsidRDefault="00F43FA4" w:rsidP="00B55CC8">
            <w:pPr>
              <w:widowControl w:val="0"/>
              <w:rPr>
                <w:rFonts w:asciiTheme="majorHAnsi" w:hAnsiTheme="majorHAnsi" w:cstheme="majorHAnsi"/>
                <w:i/>
                <w:iCs/>
                <w:color w:val="000000"/>
                <w:sz w:val="22"/>
                <w:szCs w:val="22"/>
                <w:lang w:val="vi-VN" w:eastAsia="vi-VN"/>
              </w:rPr>
            </w:pPr>
          </w:p>
        </w:tc>
        <w:tc>
          <w:tcPr>
            <w:tcW w:w="2997" w:type="dxa"/>
            <w:tcBorders>
              <w:top w:val="nil"/>
              <w:left w:val="nil"/>
              <w:bottom w:val="nil"/>
              <w:right w:val="nil"/>
            </w:tcBorders>
            <w:shd w:val="clear" w:color="auto" w:fill="auto"/>
            <w:noWrap/>
            <w:vAlign w:val="bottom"/>
            <w:hideMark/>
          </w:tcPr>
          <w:p w:rsidR="00F43FA4" w:rsidRPr="005216FF" w:rsidRDefault="00F43FA4" w:rsidP="00B55CC8">
            <w:pPr>
              <w:widowControl w:val="0"/>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B</w:t>
            </w:r>
            <w:r w:rsidR="00FC0EB4">
              <w:rPr>
                <w:rFonts w:asciiTheme="majorHAnsi" w:hAnsiTheme="majorHAnsi" w:cstheme="majorHAnsi"/>
                <w:i/>
                <w:iCs/>
                <w:color w:val="000000"/>
                <w:sz w:val="22"/>
                <w:szCs w:val="22"/>
                <w:vertAlign w:val="subscript"/>
                <w:lang w:val="vi-VN" w:eastAsia="vi-VN"/>
              </w:rPr>
              <w:t xml:space="preserve">Tháng </w:t>
            </w:r>
            <w:r w:rsidRPr="005216FF">
              <w:rPr>
                <w:rFonts w:asciiTheme="majorHAnsi" w:hAnsiTheme="majorHAnsi" w:cstheme="majorHAnsi"/>
                <w:i/>
                <w:iCs/>
                <w:color w:val="000000"/>
                <w:sz w:val="22"/>
                <w:szCs w:val="22"/>
                <w:vertAlign w:val="subscript"/>
                <w:lang w:val="vi-VN" w:eastAsia="vi-VN"/>
              </w:rPr>
              <w:t>1</w:t>
            </w:r>
            <w:r w:rsidRPr="005216FF">
              <w:rPr>
                <w:rFonts w:asciiTheme="majorHAnsi" w:hAnsiTheme="majorHAnsi" w:cstheme="majorHAnsi"/>
                <w:i/>
                <w:iCs/>
                <w:color w:val="000000"/>
                <w:sz w:val="22"/>
                <w:szCs w:val="22"/>
                <w:lang w:val="vi-VN" w:eastAsia="vi-VN"/>
              </w:rPr>
              <w:t xml:space="preserve"> + B</w:t>
            </w:r>
            <w:r w:rsidRPr="005216FF">
              <w:rPr>
                <w:rFonts w:asciiTheme="majorHAnsi" w:hAnsiTheme="majorHAnsi" w:cstheme="majorHAnsi"/>
                <w:i/>
                <w:iCs/>
                <w:color w:val="000000"/>
                <w:sz w:val="22"/>
                <w:szCs w:val="22"/>
                <w:vertAlign w:val="subscript"/>
                <w:lang w:val="vi-VN" w:eastAsia="vi-VN"/>
              </w:rPr>
              <w:t>Tháng 2</w:t>
            </w:r>
            <w:r w:rsidRPr="005216FF">
              <w:rPr>
                <w:rFonts w:asciiTheme="majorHAnsi" w:hAnsiTheme="majorHAnsi" w:cstheme="majorHAnsi"/>
                <w:i/>
                <w:iCs/>
                <w:color w:val="000000"/>
                <w:sz w:val="22"/>
                <w:szCs w:val="22"/>
                <w:lang w:val="vi-VN" w:eastAsia="vi-VN"/>
              </w:rPr>
              <w:t xml:space="preserve"> + B</w:t>
            </w:r>
            <w:r w:rsidRPr="005216FF">
              <w:rPr>
                <w:rFonts w:asciiTheme="majorHAnsi" w:hAnsiTheme="majorHAnsi" w:cstheme="majorHAnsi"/>
                <w:i/>
                <w:iCs/>
                <w:color w:val="000000"/>
                <w:sz w:val="22"/>
                <w:szCs w:val="22"/>
                <w:vertAlign w:val="subscript"/>
                <w:lang w:val="vi-VN" w:eastAsia="vi-VN"/>
              </w:rPr>
              <w:t>Tháng 3</w:t>
            </w:r>
          </w:p>
        </w:tc>
        <w:tc>
          <w:tcPr>
            <w:tcW w:w="547" w:type="dxa"/>
            <w:vMerge/>
            <w:tcBorders>
              <w:top w:val="nil"/>
              <w:left w:val="nil"/>
              <w:bottom w:val="nil"/>
              <w:right w:val="nil"/>
            </w:tcBorders>
            <w:vAlign w:val="center"/>
            <w:hideMark/>
          </w:tcPr>
          <w:p w:rsidR="00F43FA4" w:rsidRPr="005216FF" w:rsidRDefault="00F43FA4" w:rsidP="00B55CC8">
            <w:pPr>
              <w:widowControl w:val="0"/>
              <w:rPr>
                <w:rFonts w:asciiTheme="majorHAnsi" w:hAnsiTheme="majorHAnsi" w:cstheme="majorHAnsi"/>
                <w:i/>
                <w:iCs/>
                <w:color w:val="000000"/>
                <w:sz w:val="22"/>
                <w:szCs w:val="22"/>
                <w:lang w:val="vi-VN" w:eastAsia="vi-VN"/>
              </w:rPr>
            </w:pPr>
          </w:p>
        </w:tc>
      </w:tr>
    </w:tbl>
    <w:p w:rsidR="00394E3C" w:rsidRDefault="00394E3C" w:rsidP="00B55CC8">
      <w:pPr>
        <w:pStyle w:val="ListParagraph"/>
        <w:widowControl w:val="0"/>
        <w:tabs>
          <w:tab w:val="left" w:pos="0"/>
        </w:tabs>
        <w:spacing w:before="120" w:line="360" w:lineRule="auto"/>
        <w:ind w:left="0"/>
        <w:jc w:val="both"/>
        <w:rPr>
          <w:rStyle w:val="MessageHeaderLabel"/>
          <w:rFonts w:asciiTheme="majorHAnsi" w:hAnsiTheme="majorHAnsi" w:cstheme="majorHAnsi"/>
          <w:sz w:val="24"/>
          <w:szCs w:val="24"/>
          <w:lang w:val="pt-BR"/>
        </w:rPr>
      </w:pPr>
      <w:r>
        <w:rPr>
          <w:rStyle w:val="MessageHeaderLabel"/>
          <w:rFonts w:asciiTheme="majorHAnsi" w:hAnsiTheme="majorHAnsi" w:cstheme="majorHAnsi"/>
          <w:sz w:val="24"/>
          <w:szCs w:val="24"/>
          <w:lang w:val="pt-BR"/>
        </w:rPr>
        <w:t>A là số TVBH có hoạt động trong tháng</w:t>
      </w:r>
    </w:p>
    <w:p w:rsidR="00394E3C" w:rsidRDefault="00394E3C" w:rsidP="00B55CC8">
      <w:pPr>
        <w:pStyle w:val="ListParagraph"/>
        <w:widowControl w:val="0"/>
        <w:tabs>
          <w:tab w:val="left" w:pos="0"/>
        </w:tabs>
        <w:spacing w:line="360" w:lineRule="auto"/>
        <w:ind w:left="0"/>
        <w:jc w:val="both"/>
        <w:rPr>
          <w:rStyle w:val="MessageHeaderLabel"/>
          <w:rFonts w:asciiTheme="majorHAnsi" w:hAnsiTheme="majorHAnsi" w:cstheme="majorHAnsi"/>
          <w:sz w:val="24"/>
          <w:szCs w:val="24"/>
          <w:lang w:val="pt-BR"/>
        </w:rPr>
      </w:pPr>
      <w:r>
        <w:rPr>
          <w:rStyle w:val="MessageHeaderLabel"/>
          <w:rFonts w:asciiTheme="majorHAnsi" w:hAnsiTheme="majorHAnsi" w:cstheme="majorHAnsi"/>
          <w:sz w:val="24"/>
          <w:szCs w:val="24"/>
          <w:lang w:val="pt-BR"/>
        </w:rPr>
        <w:t>B là tổng số TVBH của TĐL vào ngày đầu của tháng và ngày cuối của tháng</w:t>
      </w:r>
    </w:p>
    <w:p w:rsidR="00337A6D" w:rsidRDefault="00337A6D" w:rsidP="00B55CC8">
      <w:pPr>
        <w:pStyle w:val="ListParagraph"/>
        <w:widowControl w:val="0"/>
        <w:tabs>
          <w:tab w:val="left" w:pos="0"/>
        </w:tabs>
        <w:spacing w:line="360" w:lineRule="auto"/>
        <w:ind w:left="0"/>
        <w:jc w:val="both"/>
        <w:rPr>
          <w:rStyle w:val="MessageHeaderLabel"/>
          <w:rFonts w:asciiTheme="majorHAnsi" w:hAnsiTheme="majorHAnsi" w:cstheme="majorHAnsi"/>
          <w:sz w:val="24"/>
          <w:szCs w:val="24"/>
          <w:lang w:val="pt-BR"/>
        </w:rPr>
      </w:pPr>
      <w:r>
        <w:rPr>
          <w:rStyle w:val="MessageHeaderLabel"/>
          <w:rFonts w:asciiTheme="majorHAnsi" w:hAnsiTheme="majorHAnsi" w:cstheme="majorHAnsi"/>
          <w:sz w:val="24"/>
          <w:szCs w:val="24"/>
          <w:lang w:val="pt-BR"/>
        </w:rPr>
        <w:t>“Tháng 1, Tháng 2, Tháng 3” là các tháng trong quý</w:t>
      </w:r>
    </w:p>
    <w:p w:rsidR="00394E3C" w:rsidRDefault="00337A6D" w:rsidP="00B55CC8">
      <w:pPr>
        <w:pStyle w:val="ListParagraph"/>
        <w:widowControl w:val="0"/>
        <w:tabs>
          <w:tab w:val="left" w:pos="0"/>
        </w:tabs>
        <w:spacing w:after="120" w:line="360" w:lineRule="auto"/>
        <w:ind w:left="0"/>
        <w:jc w:val="both"/>
        <w:rPr>
          <w:rStyle w:val="MessageHeaderLabel"/>
          <w:rFonts w:asciiTheme="majorHAnsi" w:hAnsiTheme="majorHAnsi" w:cstheme="majorHAnsi"/>
          <w:sz w:val="24"/>
          <w:szCs w:val="24"/>
          <w:lang w:val="pt-BR"/>
        </w:rPr>
      </w:pPr>
      <w:r>
        <w:rPr>
          <w:rStyle w:val="MessageHeaderLabel"/>
          <w:rFonts w:asciiTheme="majorHAnsi" w:hAnsiTheme="majorHAnsi" w:cstheme="majorHAnsi"/>
          <w:sz w:val="24"/>
          <w:szCs w:val="24"/>
          <w:lang w:val="pt-BR"/>
        </w:rPr>
        <w:t>Vd: Tháng 1 TĐL B có 30 TVBH có hoạt động (số TVBH đầu tháng = 60, cuối tháng = 80), Tháng 2 có 50 TVBH có hoạt động (số TVBH đầu tháng = 80, cuối tháng = 100), Tháng 3 có 40 TVBH có hoạt động (số TVBH đầu tháng = 100, cuối tháng = 80)</w:t>
      </w:r>
    </w:p>
    <w:tbl>
      <w:tblPr>
        <w:tblpPr w:leftFromText="180" w:rightFromText="180" w:vertAnchor="text" w:horzAnchor="margin" w:tblpY="-33"/>
        <w:tblW w:w="8647" w:type="dxa"/>
        <w:tblLook w:val="04A0" w:firstRow="1" w:lastRow="0" w:firstColumn="1" w:lastColumn="0" w:noHBand="0" w:noVBand="1"/>
      </w:tblPr>
      <w:tblGrid>
        <w:gridCol w:w="4678"/>
        <w:gridCol w:w="2572"/>
        <w:gridCol w:w="547"/>
        <w:gridCol w:w="850"/>
      </w:tblGrid>
      <w:tr w:rsidR="00337A6D" w:rsidRPr="005216FF" w:rsidTr="00394E3C">
        <w:trPr>
          <w:trHeight w:val="300"/>
        </w:trPr>
        <w:tc>
          <w:tcPr>
            <w:tcW w:w="4678" w:type="dxa"/>
            <w:vMerge w:val="restart"/>
            <w:tcBorders>
              <w:top w:val="nil"/>
              <w:left w:val="nil"/>
              <w:bottom w:val="nil"/>
              <w:right w:val="nil"/>
            </w:tcBorders>
            <w:shd w:val="clear" w:color="auto" w:fill="auto"/>
            <w:noWrap/>
            <w:vAlign w:val="center"/>
            <w:hideMark/>
          </w:tcPr>
          <w:p w:rsidR="00337A6D" w:rsidRPr="005216FF" w:rsidRDefault="00337A6D" w:rsidP="00B55CC8">
            <w:pPr>
              <w:widowControl w:val="0"/>
              <w:jc w:val="center"/>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Tỷ lệ hoạt động trung bình quý 1 của TĐL B =</w:t>
            </w:r>
          </w:p>
        </w:tc>
        <w:tc>
          <w:tcPr>
            <w:tcW w:w="2572" w:type="dxa"/>
            <w:tcBorders>
              <w:top w:val="nil"/>
              <w:left w:val="nil"/>
              <w:bottom w:val="single" w:sz="8" w:space="0" w:color="auto"/>
              <w:right w:val="nil"/>
            </w:tcBorders>
            <w:shd w:val="clear" w:color="auto" w:fill="auto"/>
            <w:noWrap/>
            <w:vAlign w:val="bottom"/>
            <w:hideMark/>
          </w:tcPr>
          <w:p w:rsidR="00337A6D" w:rsidRPr="005216FF" w:rsidRDefault="00337A6D" w:rsidP="00B55CC8">
            <w:pPr>
              <w:widowControl w:val="0"/>
              <w:jc w:val="center"/>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30+50+40</w:t>
            </w:r>
          </w:p>
        </w:tc>
        <w:tc>
          <w:tcPr>
            <w:tcW w:w="547" w:type="dxa"/>
            <w:vMerge w:val="restart"/>
            <w:tcBorders>
              <w:top w:val="nil"/>
              <w:left w:val="nil"/>
              <w:bottom w:val="nil"/>
              <w:right w:val="nil"/>
            </w:tcBorders>
            <w:shd w:val="clear" w:color="auto" w:fill="auto"/>
            <w:noWrap/>
            <w:vAlign w:val="center"/>
            <w:hideMark/>
          </w:tcPr>
          <w:p w:rsidR="00337A6D" w:rsidRPr="005216FF" w:rsidRDefault="00337A6D" w:rsidP="00B55CC8">
            <w:pPr>
              <w:widowControl w:val="0"/>
              <w:jc w:val="center"/>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x 2</w:t>
            </w:r>
          </w:p>
        </w:tc>
        <w:tc>
          <w:tcPr>
            <w:tcW w:w="850" w:type="dxa"/>
            <w:vMerge w:val="restart"/>
            <w:tcBorders>
              <w:top w:val="nil"/>
              <w:left w:val="nil"/>
              <w:bottom w:val="nil"/>
              <w:right w:val="nil"/>
            </w:tcBorders>
            <w:shd w:val="clear" w:color="auto" w:fill="auto"/>
            <w:noWrap/>
            <w:vAlign w:val="center"/>
            <w:hideMark/>
          </w:tcPr>
          <w:p w:rsidR="00337A6D" w:rsidRPr="005216FF" w:rsidRDefault="00337A6D" w:rsidP="00B55CC8">
            <w:pPr>
              <w:widowControl w:val="0"/>
              <w:jc w:val="center"/>
              <w:rPr>
                <w:rFonts w:asciiTheme="majorHAnsi" w:hAnsiTheme="majorHAnsi" w:cstheme="majorHAnsi"/>
                <w:color w:val="000000"/>
                <w:sz w:val="22"/>
                <w:szCs w:val="22"/>
                <w:lang w:val="vi-VN" w:eastAsia="vi-VN"/>
              </w:rPr>
            </w:pPr>
            <w:r w:rsidRPr="005216FF">
              <w:rPr>
                <w:rFonts w:asciiTheme="majorHAnsi" w:hAnsiTheme="majorHAnsi" w:cstheme="majorHAnsi"/>
                <w:color w:val="000000"/>
                <w:sz w:val="22"/>
                <w:szCs w:val="22"/>
                <w:lang w:val="vi-VN" w:eastAsia="vi-VN"/>
              </w:rPr>
              <w:t>=</w:t>
            </w:r>
            <w:r w:rsidRPr="005216FF">
              <w:rPr>
                <w:rFonts w:asciiTheme="majorHAnsi" w:hAnsiTheme="majorHAnsi" w:cstheme="majorHAnsi"/>
                <w:color w:val="000000"/>
                <w:sz w:val="22"/>
                <w:szCs w:val="22"/>
                <w:lang w:eastAsia="vi-VN"/>
              </w:rPr>
              <w:t xml:space="preserve"> </w:t>
            </w:r>
            <w:r w:rsidRPr="005216FF">
              <w:rPr>
                <w:rFonts w:asciiTheme="majorHAnsi" w:hAnsiTheme="majorHAnsi" w:cstheme="majorHAnsi"/>
                <w:color w:val="000000"/>
                <w:sz w:val="22"/>
                <w:szCs w:val="22"/>
                <w:lang w:val="vi-VN" w:eastAsia="vi-VN"/>
              </w:rPr>
              <w:t>48%</w:t>
            </w:r>
          </w:p>
        </w:tc>
      </w:tr>
      <w:tr w:rsidR="00337A6D" w:rsidRPr="005216FF" w:rsidTr="00394E3C">
        <w:trPr>
          <w:trHeight w:val="285"/>
        </w:trPr>
        <w:tc>
          <w:tcPr>
            <w:tcW w:w="4678" w:type="dxa"/>
            <w:vMerge/>
            <w:tcBorders>
              <w:top w:val="nil"/>
              <w:left w:val="nil"/>
              <w:bottom w:val="nil"/>
              <w:right w:val="nil"/>
            </w:tcBorders>
            <w:vAlign w:val="center"/>
            <w:hideMark/>
          </w:tcPr>
          <w:p w:rsidR="00337A6D" w:rsidRPr="005216FF" w:rsidRDefault="00337A6D" w:rsidP="00B55CC8">
            <w:pPr>
              <w:widowControl w:val="0"/>
              <w:rPr>
                <w:rFonts w:asciiTheme="majorHAnsi" w:hAnsiTheme="majorHAnsi" w:cstheme="majorHAnsi"/>
                <w:i/>
                <w:iCs/>
                <w:color w:val="000000"/>
                <w:sz w:val="22"/>
                <w:szCs w:val="22"/>
                <w:lang w:val="vi-VN" w:eastAsia="vi-VN"/>
              </w:rPr>
            </w:pPr>
          </w:p>
        </w:tc>
        <w:tc>
          <w:tcPr>
            <w:tcW w:w="2572" w:type="dxa"/>
            <w:tcBorders>
              <w:top w:val="nil"/>
              <w:left w:val="nil"/>
              <w:bottom w:val="nil"/>
              <w:right w:val="nil"/>
            </w:tcBorders>
            <w:shd w:val="clear" w:color="auto" w:fill="auto"/>
            <w:noWrap/>
            <w:vAlign w:val="bottom"/>
            <w:hideMark/>
          </w:tcPr>
          <w:p w:rsidR="00337A6D" w:rsidRPr="005216FF" w:rsidRDefault="00337A6D" w:rsidP="00B55CC8">
            <w:pPr>
              <w:widowControl w:val="0"/>
              <w:rPr>
                <w:rFonts w:asciiTheme="majorHAnsi" w:hAnsiTheme="majorHAnsi" w:cstheme="majorHAnsi"/>
                <w:i/>
                <w:iCs/>
                <w:color w:val="000000"/>
                <w:sz w:val="22"/>
                <w:szCs w:val="22"/>
                <w:lang w:val="vi-VN" w:eastAsia="vi-VN"/>
              </w:rPr>
            </w:pPr>
            <w:r w:rsidRPr="005216FF">
              <w:rPr>
                <w:rFonts w:asciiTheme="majorHAnsi" w:hAnsiTheme="majorHAnsi" w:cstheme="majorHAnsi"/>
                <w:i/>
                <w:iCs/>
                <w:color w:val="000000"/>
                <w:sz w:val="22"/>
                <w:szCs w:val="22"/>
                <w:lang w:val="vi-VN" w:eastAsia="vi-VN"/>
              </w:rPr>
              <w:t>60+80+80+100+100+80</w:t>
            </w:r>
          </w:p>
        </w:tc>
        <w:tc>
          <w:tcPr>
            <w:tcW w:w="547" w:type="dxa"/>
            <w:vMerge/>
            <w:tcBorders>
              <w:top w:val="nil"/>
              <w:left w:val="nil"/>
              <w:bottom w:val="nil"/>
              <w:right w:val="nil"/>
            </w:tcBorders>
            <w:vAlign w:val="center"/>
            <w:hideMark/>
          </w:tcPr>
          <w:p w:rsidR="00337A6D" w:rsidRPr="005216FF" w:rsidRDefault="00337A6D" w:rsidP="00B55CC8">
            <w:pPr>
              <w:widowControl w:val="0"/>
              <w:rPr>
                <w:rFonts w:asciiTheme="majorHAnsi" w:hAnsiTheme="majorHAnsi" w:cstheme="majorHAnsi"/>
                <w:i/>
                <w:iCs/>
                <w:color w:val="000000"/>
                <w:sz w:val="22"/>
                <w:szCs w:val="22"/>
                <w:lang w:val="vi-VN" w:eastAsia="vi-VN"/>
              </w:rPr>
            </w:pPr>
          </w:p>
        </w:tc>
        <w:tc>
          <w:tcPr>
            <w:tcW w:w="850" w:type="dxa"/>
            <w:vMerge/>
            <w:tcBorders>
              <w:top w:val="nil"/>
              <w:left w:val="nil"/>
              <w:bottom w:val="nil"/>
              <w:right w:val="nil"/>
            </w:tcBorders>
            <w:vAlign w:val="center"/>
            <w:hideMark/>
          </w:tcPr>
          <w:p w:rsidR="00337A6D" w:rsidRPr="005216FF" w:rsidRDefault="00337A6D" w:rsidP="00B55CC8">
            <w:pPr>
              <w:widowControl w:val="0"/>
              <w:rPr>
                <w:rFonts w:asciiTheme="majorHAnsi" w:hAnsiTheme="majorHAnsi" w:cstheme="majorHAnsi"/>
                <w:color w:val="000000"/>
                <w:sz w:val="22"/>
                <w:szCs w:val="22"/>
                <w:lang w:val="vi-VN" w:eastAsia="vi-VN"/>
              </w:rPr>
            </w:pPr>
          </w:p>
        </w:tc>
      </w:tr>
    </w:tbl>
    <w:p w:rsidR="00F6720B" w:rsidRPr="00D641A0" w:rsidRDefault="00F6720B" w:rsidP="00B55CC8">
      <w:pPr>
        <w:pStyle w:val="A1"/>
        <w:widowControl w:val="0"/>
        <w:spacing w:before="240" w:after="240" w:line="240" w:lineRule="auto"/>
        <w:ind w:left="0"/>
        <w:rPr>
          <w:rFonts w:asciiTheme="majorHAnsi" w:hAnsiTheme="majorHAnsi" w:cstheme="majorHAnsi"/>
        </w:rPr>
      </w:pPr>
      <w:bookmarkStart w:id="7" w:name="_Toc408158330"/>
      <w:bookmarkStart w:id="8" w:name="_Toc409113967"/>
      <w:bookmarkStart w:id="9" w:name="_Toc448156406"/>
      <w:r w:rsidRPr="00D641A0">
        <w:rPr>
          <w:rStyle w:val="MessageHeaderLabel"/>
          <w:rFonts w:asciiTheme="majorHAnsi" w:hAnsiTheme="majorHAnsi" w:cstheme="majorHAnsi"/>
          <w:sz w:val="24"/>
        </w:rPr>
        <w:t xml:space="preserve">NỘI DUNG CỦA </w:t>
      </w:r>
      <w:r w:rsidRPr="00D641A0">
        <w:rPr>
          <w:rFonts w:asciiTheme="majorHAnsi" w:hAnsiTheme="majorHAnsi" w:cstheme="majorHAnsi"/>
        </w:rPr>
        <w:t>CHÍNH SÁCH THU NHẬP TĐL 201</w:t>
      </w:r>
      <w:bookmarkEnd w:id="7"/>
      <w:bookmarkEnd w:id="8"/>
      <w:bookmarkEnd w:id="9"/>
      <w:r w:rsidR="00C44F51">
        <w:rPr>
          <w:rFonts w:asciiTheme="majorHAnsi" w:hAnsiTheme="majorHAnsi" w:cstheme="majorHAnsi"/>
        </w:rPr>
        <w:t>7</w:t>
      </w:r>
    </w:p>
    <w:p w:rsidR="00F6720B" w:rsidRPr="00D641A0" w:rsidRDefault="00F6720B" w:rsidP="00B55CC8">
      <w:pPr>
        <w:pStyle w:val="A3"/>
        <w:widowControl w:val="0"/>
        <w:tabs>
          <w:tab w:val="left" w:pos="0"/>
        </w:tabs>
        <w:spacing w:after="240" w:line="240" w:lineRule="auto"/>
        <w:ind w:hanging="1440"/>
        <w:rPr>
          <w:rFonts w:asciiTheme="majorHAnsi" w:hAnsiTheme="majorHAnsi" w:cstheme="majorHAnsi"/>
          <w:sz w:val="24"/>
          <w:szCs w:val="24"/>
        </w:rPr>
      </w:pPr>
      <w:bookmarkStart w:id="10" w:name="_Toc408158332"/>
      <w:bookmarkStart w:id="11" w:name="_Toc409113969"/>
      <w:bookmarkStart w:id="12" w:name="_Toc448156407"/>
      <w:r w:rsidRPr="00D641A0">
        <w:rPr>
          <w:rFonts w:asciiTheme="majorHAnsi" w:hAnsiTheme="majorHAnsi" w:cstheme="majorHAnsi"/>
          <w:sz w:val="24"/>
          <w:szCs w:val="24"/>
        </w:rPr>
        <w:t>3.1</w:t>
      </w:r>
      <w:r w:rsidRPr="00D641A0">
        <w:rPr>
          <w:rFonts w:asciiTheme="majorHAnsi" w:hAnsiTheme="majorHAnsi" w:cstheme="majorHAnsi"/>
          <w:sz w:val="24"/>
          <w:szCs w:val="24"/>
        </w:rPr>
        <w:tab/>
      </w:r>
      <w:bookmarkEnd w:id="10"/>
      <w:bookmarkEnd w:id="11"/>
      <w:r w:rsidRPr="00D641A0">
        <w:rPr>
          <w:rFonts w:asciiTheme="majorHAnsi" w:hAnsiTheme="majorHAnsi" w:cstheme="majorHAnsi"/>
          <w:sz w:val="24"/>
          <w:szCs w:val="24"/>
        </w:rPr>
        <w:t>Hỗ trợ hoạt động văn phòng TĐL mới:</w:t>
      </w:r>
      <w:bookmarkEnd w:id="12"/>
    </w:p>
    <w:p w:rsidR="00F6720B" w:rsidRPr="00D641A0" w:rsidRDefault="00F6720B" w:rsidP="00B55CC8">
      <w:pPr>
        <w:pStyle w:val="ListParagraph"/>
        <w:widowControl w:val="0"/>
        <w:numPr>
          <w:ilvl w:val="0"/>
          <w:numId w:val="3"/>
        </w:numPr>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Đối tượng áp dụng:</w:t>
      </w:r>
      <w:r w:rsidRPr="00D641A0">
        <w:rPr>
          <w:rFonts w:asciiTheme="majorHAnsi" w:hAnsiTheme="majorHAnsi" w:cstheme="majorHAnsi"/>
          <w:sz w:val="24"/>
          <w:szCs w:val="24"/>
          <w:lang w:val="it-IT"/>
        </w:rPr>
        <w:t xml:space="preserve"> dành cho TĐL </w:t>
      </w:r>
      <w:r w:rsidR="00840439">
        <w:rPr>
          <w:rFonts w:asciiTheme="majorHAnsi" w:hAnsiTheme="majorHAnsi" w:cstheme="majorHAnsi"/>
          <w:sz w:val="24"/>
          <w:szCs w:val="24"/>
          <w:lang w:val="it-IT"/>
        </w:rPr>
        <w:t>mới hoạt động</w:t>
      </w:r>
    </w:p>
    <w:p w:rsidR="00F6720B" w:rsidRPr="00D641A0" w:rsidRDefault="00F6720B" w:rsidP="00B55CC8">
      <w:pPr>
        <w:pStyle w:val="ListParagraph"/>
        <w:widowControl w:val="0"/>
        <w:numPr>
          <w:ilvl w:val="0"/>
          <w:numId w:val="3"/>
        </w:numPr>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Thời điểm xét và chi trả:</w:t>
      </w:r>
      <w:r w:rsidRPr="00D641A0">
        <w:rPr>
          <w:rFonts w:asciiTheme="majorHAnsi" w:hAnsiTheme="majorHAnsi" w:cstheme="majorHAnsi"/>
          <w:sz w:val="24"/>
          <w:szCs w:val="24"/>
          <w:lang w:val="it-IT"/>
        </w:rPr>
        <w:t xml:space="preserve"> định kỳ hàng tháng, trong </w:t>
      </w:r>
      <w:r w:rsidR="00840439">
        <w:rPr>
          <w:rFonts w:asciiTheme="majorHAnsi" w:hAnsiTheme="majorHAnsi" w:cstheme="majorHAnsi"/>
          <w:sz w:val="24"/>
          <w:szCs w:val="24"/>
          <w:lang w:val="it-IT"/>
        </w:rPr>
        <w:t>12</w:t>
      </w:r>
      <w:r w:rsidRPr="00D641A0">
        <w:rPr>
          <w:rFonts w:asciiTheme="majorHAnsi" w:hAnsiTheme="majorHAnsi" w:cstheme="majorHAnsi"/>
          <w:sz w:val="24"/>
          <w:szCs w:val="24"/>
          <w:lang w:val="it-IT"/>
        </w:rPr>
        <w:t xml:space="preserve"> tháng hoạt động đầu tiên.</w:t>
      </w:r>
    </w:p>
    <w:p w:rsidR="00F6720B" w:rsidRPr="00B24B10" w:rsidRDefault="00F6720B" w:rsidP="00B55CC8">
      <w:pPr>
        <w:pStyle w:val="ListParagraph"/>
        <w:widowControl w:val="0"/>
        <w:numPr>
          <w:ilvl w:val="0"/>
          <w:numId w:val="3"/>
        </w:numPr>
        <w:spacing w:before="120" w:after="240"/>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 xml:space="preserve">Chỉ tiêu và Mức chi trả: </w:t>
      </w:r>
    </w:p>
    <w:tbl>
      <w:tblPr>
        <w:tblW w:w="74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tblGrid>
      <w:tr w:rsidR="00840439" w:rsidRPr="00F71993" w:rsidTr="00B24B10">
        <w:trPr>
          <w:trHeight w:val="552"/>
        </w:trPr>
        <w:tc>
          <w:tcPr>
            <w:tcW w:w="7445" w:type="dxa"/>
            <w:shd w:val="clear" w:color="auto" w:fill="auto"/>
          </w:tcPr>
          <w:p w:rsidR="00840439" w:rsidRPr="00D641A0" w:rsidRDefault="00840439" w:rsidP="00B55CC8">
            <w:pPr>
              <w:pStyle w:val="ListParagraph"/>
              <w:widowControl w:val="0"/>
              <w:spacing w:before="120" w:after="120"/>
              <w:ind w:left="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 xml:space="preserve">Hỗ trợ </w:t>
            </w:r>
            <w:r>
              <w:rPr>
                <w:rFonts w:asciiTheme="majorHAnsi" w:hAnsiTheme="majorHAnsi" w:cstheme="majorHAnsi"/>
                <w:sz w:val="24"/>
                <w:szCs w:val="24"/>
                <w:lang w:val="it-IT"/>
              </w:rPr>
              <w:t xml:space="preserve">hoạt động văn phòng TĐL mới </w:t>
            </w:r>
            <w:r w:rsidRPr="00D641A0">
              <w:rPr>
                <w:rFonts w:asciiTheme="majorHAnsi" w:hAnsiTheme="majorHAnsi" w:cstheme="majorHAnsi"/>
                <w:sz w:val="24"/>
                <w:szCs w:val="24"/>
                <w:lang w:val="it-IT"/>
              </w:rPr>
              <w:t xml:space="preserve">= </w:t>
            </w:r>
            <w:r>
              <w:rPr>
                <w:rFonts w:asciiTheme="majorHAnsi" w:hAnsiTheme="majorHAnsi" w:cstheme="majorHAnsi"/>
                <w:sz w:val="24"/>
                <w:szCs w:val="24"/>
                <w:lang w:val="it-IT"/>
              </w:rPr>
              <w:t>FYP phát sinh trong tháng</w:t>
            </w:r>
            <w:r w:rsidRPr="00D641A0">
              <w:rPr>
                <w:rFonts w:asciiTheme="majorHAnsi" w:hAnsiTheme="majorHAnsi" w:cstheme="majorHAnsi"/>
                <w:sz w:val="24"/>
                <w:szCs w:val="24"/>
                <w:lang w:val="it-IT"/>
              </w:rPr>
              <w:t xml:space="preserve"> x </w:t>
            </w:r>
            <w:r>
              <w:rPr>
                <w:rFonts w:asciiTheme="majorHAnsi" w:hAnsiTheme="majorHAnsi" w:cstheme="majorHAnsi"/>
                <w:sz w:val="24"/>
                <w:szCs w:val="24"/>
                <w:lang w:val="it-IT"/>
              </w:rPr>
              <w:t>5%</w:t>
            </w:r>
          </w:p>
        </w:tc>
      </w:tr>
    </w:tbl>
    <w:p w:rsidR="00F6720B" w:rsidRDefault="00F6720B" w:rsidP="00B55CC8">
      <w:pPr>
        <w:pStyle w:val="ListParagraph"/>
        <w:widowControl w:val="0"/>
        <w:numPr>
          <w:ilvl w:val="0"/>
          <w:numId w:val="13"/>
        </w:numPr>
        <w:spacing w:before="120" w:after="120" w:line="360" w:lineRule="auto"/>
        <w:ind w:left="1077" w:hanging="357"/>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 xml:space="preserve">Từ tháng thứ 01 đến tháng thứ </w:t>
      </w:r>
      <w:r w:rsidR="00840439">
        <w:rPr>
          <w:rFonts w:asciiTheme="majorHAnsi" w:hAnsiTheme="majorHAnsi" w:cstheme="majorHAnsi"/>
          <w:sz w:val="24"/>
          <w:szCs w:val="24"/>
          <w:lang w:val="it-IT"/>
        </w:rPr>
        <w:t>6</w:t>
      </w:r>
      <w:r w:rsidRPr="00840439">
        <w:rPr>
          <w:rFonts w:asciiTheme="majorHAnsi" w:hAnsiTheme="majorHAnsi" w:cstheme="majorHAnsi"/>
          <w:sz w:val="24"/>
          <w:szCs w:val="24"/>
          <w:lang w:val="it-IT"/>
        </w:rPr>
        <w:t xml:space="preserve">: </w:t>
      </w:r>
      <w:r w:rsidR="00840439">
        <w:rPr>
          <w:rFonts w:asciiTheme="majorHAnsi" w:hAnsiTheme="majorHAnsi" w:cstheme="majorHAnsi"/>
          <w:sz w:val="24"/>
          <w:szCs w:val="24"/>
          <w:lang w:val="it-IT"/>
        </w:rPr>
        <w:t>TĐL</w:t>
      </w:r>
      <w:r w:rsidR="00840439" w:rsidRPr="00840439">
        <w:rPr>
          <w:rFonts w:asciiTheme="majorHAnsi" w:hAnsiTheme="majorHAnsi" w:cstheme="majorHAnsi"/>
          <w:sz w:val="24"/>
          <w:szCs w:val="24"/>
          <w:lang w:val="it-IT"/>
        </w:rPr>
        <w:t xml:space="preserve"> được đảm bảo mức hỗ trợ tối thiểu 40 triệu đồng mỗi tháng nếu như kết quả tính 5% của FYP phát sinh trong tháng nhỏ hơn 40 triệu đồng</w:t>
      </w:r>
      <w:r w:rsidR="00912CBC">
        <w:rPr>
          <w:rFonts w:asciiTheme="majorHAnsi" w:hAnsiTheme="majorHAnsi" w:cstheme="majorHAnsi"/>
          <w:sz w:val="24"/>
          <w:szCs w:val="24"/>
          <w:lang w:val="it-IT"/>
        </w:rPr>
        <w:t>.</w:t>
      </w:r>
    </w:p>
    <w:p w:rsidR="00912CBC" w:rsidRDefault="00912CBC" w:rsidP="00B55CC8">
      <w:pPr>
        <w:pStyle w:val="ListParagraph"/>
        <w:widowControl w:val="0"/>
        <w:numPr>
          <w:ilvl w:val="0"/>
          <w:numId w:val="13"/>
        </w:numPr>
        <w:spacing w:before="120" w:after="120" w:line="360" w:lineRule="auto"/>
        <w:ind w:left="1077" w:hanging="357"/>
        <w:jc w:val="both"/>
        <w:rPr>
          <w:rFonts w:asciiTheme="majorHAnsi" w:hAnsiTheme="majorHAnsi" w:cstheme="majorHAnsi"/>
          <w:sz w:val="24"/>
          <w:szCs w:val="24"/>
          <w:lang w:val="it-IT"/>
        </w:rPr>
      </w:pPr>
      <w:r>
        <w:rPr>
          <w:rFonts w:asciiTheme="majorHAnsi" w:hAnsiTheme="majorHAnsi" w:cstheme="majorHAnsi"/>
          <w:sz w:val="24"/>
          <w:szCs w:val="24"/>
          <w:lang w:val="it-IT"/>
        </w:rPr>
        <w:t>Từ tháng thứ 07 đến tháng thứ 12: Mức hỗ trợ được chi trả dựa trên kết quả thực tế 5% của FYP phát sinh trong tháng.</w:t>
      </w:r>
    </w:p>
    <w:p w:rsidR="00BB4E81" w:rsidRDefault="00BB4E81" w:rsidP="00B55CC8">
      <w:pPr>
        <w:pStyle w:val="ListParagraph"/>
        <w:widowControl w:val="0"/>
        <w:numPr>
          <w:ilvl w:val="0"/>
          <w:numId w:val="3"/>
        </w:numPr>
        <w:spacing w:before="120" w:after="240"/>
        <w:ind w:left="720"/>
        <w:jc w:val="both"/>
        <w:rPr>
          <w:rFonts w:asciiTheme="majorHAnsi" w:hAnsiTheme="majorHAnsi" w:cstheme="majorHAnsi"/>
          <w:b/>
          <w:sz w:val="24"/>
          <w:szCs w:val="24"/>
          <w:lang w:val="it-IT"/>
        </w:rPr>
      </w:pPr>
      <w:r>
        <w:rPr>
          <w:rFonts w:asciiTheme="majorHAnsi" w:hAnsiTheme="majorHAnsi" w:cstheme="majorHAnsi"/>
          <w:b/>
          <w:sz w:val="24"/>
          <w:szCs w:val="24"/>
          <w:lang w:val="it-IT"/>
        </w:rPr>
        <w:t>Ví dụ</w:t>
      </w:r>
      <w:r w:rsidRPr="00BB4E81">
        <w:rPr>
          <w:rFonts w:asciiTheme="majorHAnsi" w:hAnsiTheme="majorHAnsi" w:cstheme="majorHAnsi"/>
          <w:b/>
          <w:sz w:val="24"/>
          <w:szCs w:val="24"/>
          <w:lang w:val="it-IT"/>
        </w:rPr>
        <w:t xml:space="preserve">: </w:t>
      </w:r>
    </w:p>
    <w:p w:rsidR="00815B22" w:rsidRDefault="00BB4E81" w:rsidP="00B55CC8">
      <w:pPr>
        <w:pStyle w:val="ListParagraph"/>
        <w:widowControl w:val="0"/>
        <w:spacing w:before="120" w:after="240"/>
        <w:jc w:val="both"/>
        <w:rPr>
          <w:rFonts w:asciiTheme="majorHAnsi" w:hAnsiTheme="majorHAnsi" w:cstheme="majorHAnsi"/>
          <w:sz w:val="24"/>
          <w:szCs w:val="24"/>
          <w:lang w:val="it-IT"/>
        </w:rPr>
      </w:pPr>
      <w:r w:rsidRPr="00BB4E81">
        <w:rPr>
          <w:rFonts w:asciiTheme="majorHAnsi" w:hAnsiTheme="majorHAnsi" w:cstheme="majorHAnsi"/>
          <w:sz w:val="24"/>
          <w:szCs w:val="24"/>
          <w:lang w:val="it-IT"/>
        </w:rPr>
        <w:t xml:space="preserve">TĐL A </w:t>
      </w:r>
      <w:r>
        <w:rPr>
          <w:rFonts w:asciiTheme="majorHAnsi" w:hAnsiTheme="majorHAnsi" w:cstheme="majorHAnsi"/>
          <w:sz w:val="24"/>
          <w:szCs w:val="24"/>
          <w:lang w:val="it-IT"/>
        </w:rPr>
        <w:t xml:space="preserve">có ngày chính thức hoạt động là 15/03/2017, như vậy tháng hoạt động thứ 01 (T1) của TĐL A </w:t>
      </w:r>
      <w:r w:rsidR="00B71E83">
        <w:rPr>
          <w:rFonts w:asciiTheme="majorHAnsi" w:hAnsiTheme="majorHAnsi" w:cstheme="majorHAnsi"/>
          <w:sz w:val="24"/>
          <w:szCs w:val="24"/>
          <w:lang w:val="it-IT"/>
        </w:rPr>
        <w:t xml:space="preserve">sẽ </w:t>
      </w:r>
      <w:r w:rsidR="00D25243">
        <w:rPr>
          <w:rFonts w:asciiTheme="majorHAnsi" w:hAnsiTheme="majorHAnsi" w:cstheme="majorHAnsi"/>
          <w:sz w:val="24"/>
          <w:szCs w:val="24"/>
          <w:lang w:val="it-IT"/>
        </w:rPr>
        <w:t xml:space="preserve">bắt đầu từ 15/03/2017 và </w:t>
      </w:r>
      <w:r>
        <w:rPr>
          <w:rFonts w:asciiTheme="majorHAnsi" w:hAnsiTheme="majorHAnsi" w:cstheme="majorHAnsi"/>
          <w:sz w:val="24"/>
          <w:szCs w:val="24"/>
          <w:lang w:val="it-IT"/>
        </w:rPr>
        <w:t xml:space="preserve">kết thúc vào 30/04/2017. </w:t>
      </w:r>
      <w:r w:rsidR="00B71E83">
        <w:rPr>
          <w:rFonts w:asciiTheme="majorHAnsi" w:hAnsiTheme="majorHAnsi" w:cstheme="majorHAnsi"/>
          <w:sz w:val="24"/>
          <w:szCs w:val="24"/>
          <w:lang w:val="it-IT"/>
        </w:rPr>
        <w:t>Giả sử t</w:t>
      </w:r>
      <w:r>
        <w:rPr>
          <w:rFonts w:asciiTheme="majorHAnsi" w:hAnsiTheme="majorHAnsi" w:cstheme="majorHAnsi"/>
          <w:sz w:val="24"/>
          <w:szCs w:val="24"/>
          <w:lang w:val="it-IT"/>
        </w:rPr>
        <w:t>háng T1</w:t>
      </w:r>
      <w:r w:rsidR="005161C3">
        <w:rPr>
          <w:rFonts w:asciiTheme="majorHAnsi" w:hAnsiTheme="majorHAnsi" w:cstheme="majorHAnsi"/>
          <w:sz w:val="24"/>
          <w:szCs w:val="24"/>
          <w:lang w:val="it-IT"/>
        </w:rPr>
        <w:t xml:space="preserve"> </w:t>
      </w:r>
      <w:r w:rsidR="00B71E83">
        <w:rPr>
          <w:rFonts w:asciiTheme="majorHAnsi" w:hAnsiTheme="majorHAnsi" w:cstheme="majorHAnsi"/>
          <w:sz w:val="24"/>
          <w:szCs w:val="24"/>
          <w:lang w:val="it-IT"/>
        </w:rPr>
        <w:t xml:space="preserve">TĐL </w:t>
      </w:r>
      <w:r w:rsidR="005161C3">
        <w:rPr>
          <w:rFonts w:asciiTheme="majorHAnsi" w:hAnsiTheme="majorHAnsi" w:cstheme="majorHAnsi"/>
          <w:sz w:val="24"/>
          <w:szCs w:val="24"/>
          <w:lang w:val="it-IT"/>
        </w:rPr>
        <w:t xml:space="preserve">đạt </w:t>
      </w:r>
      <w:r w:rsidR="00100B65">
        <w:rPr>
          <w:rFonts w:asciiTheme="majorHAnsi" w:hAnsiTheme="majorHAnsi" w:cstheme="majorHAnsi"/>
          <w:sz w:val="24"/>
          <w:szCs w:val="24"/>
          <w:lang w:val="it-IT"/>
        </w:rPr>
        <w:t>700</w:t>
      </w:r>
      <w:r w:rsidR="005161C3">
        <w:rPr>
          <w:rFonts w:asciiTheme="majorHAnsi" w:hAnsiTheme="majorHAnsi" w:cstheme="majorHAnsi"/>
          <w:sz w:val="24"/>
          <w:szCs w:val="24"/>
          <w:lang w:val="it-IT"/>
        </w:rPr>
        <w:t xml:space="preserve"> triệu </w:t>
      </w:r>
      <w:r>
        <w:rPr>
          <w:rFonts w:asciiTheme="majorHAnsi" w:hAnsiTheme="majorHAnsi" w:cstheme="majorHAnsi"/>
          <w:sz w:val="24"/>
          <w:szCs w:val="24"/>
          <w:lang w:val="it-IT"/>
        </w:rPr>
        <w:t>FYP</w:t>
      </w:r>
      <w:r w:rsidR="005161C3">
        <w:rPr>
          <w:rFonts w:asciiTheme="majorHAnsi" w:hAnsiTheme="majorHAnsi" w:cstheme="majorHAnsi"/>
          <w:sz w:val="24"/>
          <w:szCs w:val="24"/>
          <w:lang w:val="it-IT"/>
        </w:rPr>
        <w:t>,</w:t>
      </w:r>
      <w:r w:rsidR="00100B65">
        <w:rPr>
          <w:rFonts w:asciiTheme="majorHAnsi" w:hAnsiTheme="majorHAnsi" w:cstheme="majorHAnsi"/>
          <w:sz w:val="24"/>
          <w:szCs w:val="24"/>
          <w:lang w:val="it-IT"/>
        </w:rPr>
        <w:t xml:space="preserve"> 5% FYP = 5% * 700 triệu = 35 triệu, </w:t>
      </w:r>
      <w:r w:rsidR="005161C3">
        <w:rPr>
          <w:rFonts w:asciiTheme="majorHAnsi" w:hAnsiTheme="majorHAnsi" w:cstheme="majorHAnsi"/>
          <w:sz w:val="24"/>
          <w:szCs w:val="24"/>
          <w:lang w:val="it-IT"/>
        </w:rPr>
        <w:t>TĐL</w:t>
      </w:r>
      <w:r w:rsidR="00815B22" w:rsidRPr="00BB4E81">
        <w:rPr>
          <w:rFonts w:asciiTheme="majorHAnsi" w:hAnsiTheme="majorHAnsi" w:cstheme="majorHAnsi"/>
          <w:sz w:val="24"/>
          <w:szCs w:val="24"/>
          <w:lang w:val="it-IT"/>
        </w:rPr>
        <w:t xml:space="preserve"> A sẽ nhận khoản Hỗ trợ </w:t>
      </w:r>
      <w:r w:rsidR="00815B22">
        <w:rPr>
          <w:rFonts w:asciiTheme="majorHAnsi" w:hAnsiTheme="majorHAnsi" w:cstheme="majorHAnsi"/>
          <w:sz w:val="24"/>
          <w:szCs w:val="24"/>
          <w:lang w:val="it-IT"/>
        </w:rPr>
        <w:t>hoạt động văn phòng TĐL mới tháng 04</w:t>
      </w:r>
      <w:r w:rsidR="00815B22" w:rsidRPr="00BB4E81">
        <w:rPr>
          <w:rFonts w:asciiTheme="majorHAnsi" w:hAnsiTheme="majorHAnsi" w:cstheme="majorHAnsi"/>
          <w:sz w:val="24"/>
          <w:szCs w:val="24"/>
          <w:lang w:val="it-IT"/>
        </w:rPr>
        <w:t xml:space="preserve">/2017 = </w:t>
      </w:r>
      <w:r w:rsidR="00100B65">
        <w:rPr>
          <w:rFonts w:asciiTheme="majorHAnsi" w:hAnsiTheme="majorHAnsi" w:cstheme="majorHAnsi"/>
          <w:sz w:val="24"/>
          <w:szCs w:val="24"/>
          <w:lang w:val="it-IT"/>
        </w:rPr>
        <w:t xml:space="preserve">40 triệu đồng (vì </w:t>
      </w:r>
      <w:r w:rsidR="00100B65" w:rsidRPr="00840439">
        <w:rPr>
          <w:rFonts w:asciiTheme="majorHAnsi" w:hAnsiTheme="majorHAnsi" w:cstheme="majorHAnsi"/>
          <w:sz w:val="24"/>
          <w:szCs w:val="24"/>
          <w:lang w:val="it-IT"/>
        </w:rPr>
        <w:t>5% của FYP phát sinh trong tháng nhỏ hơn 40 triệu đồng</w:t>
      </w:r>
      <w:r w:rsidR="00100B65">
        <w:rPr>
          <w:rFonts w:asciiTheme="majorHAnsi" w:hAnsiTheme="majorHAnsi" w:cstheme="majorHAnsi"/>
          <w:sz w:val="24"/>
          <w:szCs w:val="24"/>
          <w:lang w:val="it-IT"/>
        </w:rPr>
        <w:t>)</w:t>
      </w:r>
    </w:p>
    <w:p w:rsidR="00815B22" w:rsidRDefault="00815B22" w:rsidP="00B55CC8">
      <w:pPr>
        <w:pStyle w:val="ListParagraph"/>
        <w:widowControl w:val="0"/>
        <w:spacing w:before="120" w:after="240"/>
        <w:jc w:val="both"/>
        <w:rPr>
          <w:rFonts w:asciiTheme="majorHAnsi" w:hAnsiTheme="majorHAnsi" w:cstheme="majorHAnsi"/>
          <w:sz w:val="24"/>
          <w:szCs w:val="24"/>
          <w:lang w:val="it-IT"/>
        </w:rPr>
      </w:pPr>
      <w:r>
        <w:rPr>
          <w:rFonts w:asciiTheme="majorHAnsi" w:hAnsiTheme="majorHAnsi" w:cstheme="majorHAnsi"/>
          <w:sz w:val="24"/>
          <w:szCs w:val="24"/>
          <w:lang w:val="it-IT"/>
        </w:rPr>
        <w:t>TĐL B</w:t>
      </w:r>
      <w:r w:rsidRPr="00BB4E81">
        <w:rPr>
          <w:rFonts w:asciiTheme="majorHAnsi" w:hAnsiTheme="majorHAnsi" w:cstheme="majorHAnsi"/>
          <w:sz w:val="24"/>
          <w:szCs w:val="24"/>
          <w:lang w:val="it-IT"/>
        </w:rPr>
        <w:t xml:space="preserve"> </w:t>
      </w:r>
      <w:r>
        <w:rPr>
          <w:rFonts w:asciiTheme="majorHAnsi" w:hAnsiTheme="majorHAnsi" w:cstheme="majorHAnsi"/>
          <w:sz w:val="24"/>
          <w:szCs w:val="24"/>
          <w:lang w:val="it-IT"/>
        </w:rPr>
        <w:t xml:space="preserve">có ngày chính thức hoạt động là 14/03/2017, như vậy tháng hoạt động thứ 01 (T1) của TĐL B </w:t>
      </w:r>
      <w:r w:rsidR="00B71E83">
        <w:rPr>
          <w:rFonts w:asciiTheme="majorHAnsi" w:hAnsiTheme="majorHAnsi" w:cstheme="majorHAnsi"/>
          <w:sz w:val="24"/>
          <w:szCs w:val="24"/>
          <w:lang w:val="it-IT"/>
        </w:rPr>
        <w:t xml:space="preserve">sẽ </w:t>
      </w:r>
      <w:r>
        <w:rPr>
          <w:rFonts w:asciiTheme="majorHAnsi" w:hAnsiTheme="majorHAnsi" w:cstheme="majorHAnsi"/>
          <w:sz w:val="24"/>
          <w:szCs w:val="24"/>
          <w:lang w:val="it-IT"/>
        </w:rPr>
        <w:t xml:space="preserve">kết thúc vào 31/03/2017. </w:t>
      </w:r>
      <w:r w:rsidR="00B71E83">
        <w:rPr>
          <w:rFonts w:asciiTheme="majorHAnsi" w:hAnsiTheme="majorHAnsi" w:cstheme="majorHAnsi"/>
          <w:sz w:val="24"/>
          <w:szCs w:val="24"/>
          <w:lang w:val="it-IT"/>
        </w:rPr>
        <w:t>Giả sử t</w:t>
      </w:r>
      <w:r w:rsidR="00100B65">
        <w:rPr>
          <w:rFonts w:asciiTheme="majorHAnsi" w:hAnsiTheme="majorHAnsi" w:cstheme="majorHAnsi"/>
          <w:sz w:val="24"/>
          <w:szCs w:val="24"/>
          <w:lang w:val="it-IT"/>
        </w:rPr>
        <w:t xml:space="preserve">háng T1 </w:t>
      </w:r>
      <w:r w:rsidR="00B71E83">
        <w:rPr>
          <w:rFonts w:asciiTheme="majorHAnsi" w:hAnsiTheme="majorHAnsi" w:cstheme="majorHAnsi"/>
          <w:sz w:val="24"/>
          <w:szCs w:val="24"/>
          <w:lang w:val="it-IT"/>
        </w:rPr>
        <w:t xml:space="preserve">TĐL </w:t>
      </w:r>
      <w:r w:rsidR="00100B65">
        <w:rPr>
          <w:rFonts w:asciiTheme="majorHAnsi" w:hAnsiTheme="majorHAnsi" w:cstheme="majorHAnsi"/>
          <w:sz w:val="24"/>
          <w:szCs w:val="24"/>
          <w:lang w:val="it-IT"/>
        </w:rPr>
        <w:t>đạt 1 tỷ</w:t>
      </w:r>
      <w:r w:rsidR="005161C3">
        <w:rPr>
          <w:rFonts w:asciiTheme="majorHAnsi" w:hAnsiTheme="majorHAnsi" w:cstheme="majorHAnsi"/>
          <w:sz w:val="24"/>
          <w:szCs w:val="24"/>
          <w:lang w:val="it-IT"/>
        </w:rPr>
        <w:t xml:space="preserve"> FYP, </w:t>
      </w:r>
      <w:r w:rsidR="00100B65">
        <w:rPr>
          <w:rFonts w:asciiTheme="majorHAnsi" w:hAnsiTheme="majorHAnsi" w:cstheme="majorHAnsi"/>
          <w:sz w:val="24"/>
          <w:szCs w:val="24"/>
          <w:lang w:val="it-IT"/>
        </w:rPr>
        <w:t xml:space="preserve">5% FYP = 5% * 1 tỷ = 50 triệu, </w:t>
      </w:r>
      <w:r>
        <w:rPr>
          <w:rFonts w:asciiTheme="majorHAnsi" w:hAnsiTheme="majorHAnsi" w:cstheme="majorHAnsi"/>
          <w:sz w:val="24"/>
          <w:szCs w:val="24"/>
          <w:lang w:val="it-IT"/>
        </w:rPr>
        <w:t>T</w:t>
      </w:r>
      <w:r w:rsidR="005161C3">
        <w:rPr>
          <w:rFonts w:asciiTheme="majorHAnsi" w:hAnsiTheme="majorHAnsi" w:cstheme="majorHAnsi"/>
          <w:sz w:val="24"/>
          <w:szCs w:val="24"/>
          <w:lang w:val="it-IT"/>
        </w:rPr>
        <w:t xml:space="preserve">ĐL </w:t>
      </w:r>
      <w:r>
        <w:rPr>
          <w:rFonts w:asciiTheme="majorHAnsi" w:hAnsiTheme="majorHAnsi" w:cstheme="majorHAnsi"/>
          <w:sz w:val="24"/>
          <w:szCs w:val="24"/>
          <w:lang w:val="it-IT"/>
        </w:rPr>
        <w:t>B</w:t>
      </w:r>
      <w:r w:rsidRPr="00BB4E81">
        <w:rPr>
          <w:rFonts w:asciiTheme="majorHAnsi" w:hAnsiTheme="majorHAnsi" w:cstheme="majorHAnsi"/>
          <w:sz w:val="24"/>
          <w:szCs w:val="24"/>
          <w:lang w:val="it-IT"/>
        </w:rPr>
        <w:t xml:space="preserve"> sẽ nhận khoản Hỗ trợ </w:t>
      </w:r>
      <w:r>
        <w:rPr>
          <w:rFonts w:asciiTheme="majorHAnsi" w:hAnsiTheme="majorHAnsi" w:cstheme="majorHAnsi"/>
          <w:sz w:val="24"/>
          <w:szCs w:val="24"/>
          <w:lang w:val="it-IT"/>
        </w:rPr>
        <w:t>hoạt động văn phòng TĐL mới tháng 03</w:t>
      </w:r>
      <w:r w:rsidRPr="00BB4E81">
        <w:rPr>
          <w:rFonts w:asciiTheme="majorHAnsi" w:hAnsiTheme="majorHAnsi" w:cstheme="majorHAnsi"/>
          <w:sz w:val="24"/>
          <w:szCs w:val="24"/>
          <w:lang w:val="it-IT"/>
        </w:rPr>
        <w:t xml:space="preserve">/2017 = </w:t>
      </w:r>
      <w:r>
        <w:rPr>
          <w:rFonts w:asciiTheme="majorHAnsi" w:hAnsiTheme="majorHAnsi" w:cstheme="majorHAnsi"/>
          <w:sz w:val="24"/>
          <w:szCs w:val="24"/>
          <w:lang w:val="it-IT"/>
        </w:rPr>
        <w:t>50 triệu đồng.</w:t>
      </w:r>
    </w:p>
    <w:p w:rsidR="00F6720B" w:rsidRPr="00D641A0" w:rsidRDefault="00F6720B" w:rsidP="00B55CC8">
      <w:pPr>
        <w:pStyle w:val="A3"/>
        <w:widowControl w:val="0"/>
        <w:numPr>
          <w:ilvl w:val="1"/>
          <w:numId w:val="14"/>
        </w:numPr>
        <w:tabs>
          <w:tab w:val="left" w:pos="630"/>
        </w:tabs>
        <w:spacing w:after="240" w:line="240" w:lineRule="auto"/>
        <w:ind w:left="0" w:hanging="720"/>
        <w:rPr>
          <w:rFonts w:asciiTheme="majorHAnsi" w:hAnsiTheme="majorHAnsi" w:cstheme="majorHAnsi"/>
          <w:b w:val="0"/>
          <w:sz w:val="24"/>
          <w:szCs w:val="24"/>
        </w:rPr>
      </w:pPr>
      <w:bookmarkStart w:id="13" w:name="_Toc408158333"/>
      <w:bookmarkStart w:id="14" w:name="_Toc409113970"/>
      <w:bookmarkStart w:id="15" w:name="_Toc448156408"/>
      <w:r w:rsidRPr="00D641A0">
        <w:rPr>
          <w:rFonts w:asciiTheme="majorHAnsi" w:hAnsiTheme="majorHAnsi" w:cstheme="majorHAnsi"/>
          <w:sz w:val="24"/>
          <w:szCs w:val="24"/>
        </w:rPr>
        <w:lastRenderedPageBreak/>
        <w:t>Hỗ trợ phát triển kinh doanh cơ bản:</w:t>
      </w:r>
      <w:bookmarkEnd w:id="13"/>
      <w:bookmarkEnd w:id="14"/>
      <w:bookmarkEnd w:id="15"/>
      <w:r w:rsidRPr="00D641A0">
        <w:rPr>
          <w:rFonts w:asciiTheme="majorHAnsi" w:hAnsiTheme="majorHAnsi" w:cstheme="majorHAnsi"/>
          <w:b w:val="0"/>
          <w:sz w:val="24"/>
          <w:szCs w:val="24"/>
        </w:rPr>
        <w:t xml:space="preserve"> </w:t>
      </w:r>
    </w:p>
    <w:p w:rsidR="00F6720B" w:rsidRPr="00D641A0" w:rsidRDefault="00F6720B" w:rsidP="00B55CC8">
      <w:pPr>
        <w:pStyle w:val="ListParagraph"/>
        <w:widowControl w:val="0"/>
        <w:numPr>
          <w:ilvl w:val="0"/>
          <w:numId w:val="4"/>
        </w:numPr>
        <w:spacing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Đối tượng áp dụng:</w:t>
      </w:r>
      <w:r w:rsidRPr="00D641A0">
        <w:rPr>
          <w:rFonts w:asciiTheme="majorHAnsi" w:hAnsiTheme="majorHAnsi" w:cstheme="majorHAnsi"/>
          <w:sz w:val="24"/>
          <w:szCs w:val="24"/>
          <w:lang w:val="it-IT"/>
        </w:rPr>
        <w:t xml:space="preserve"> dành cho TĐL</w:t>
      </w:r>
    </w:p>
    <w:p w:rsidR="00F6720B" w:rsidRPr="00D641A0" w:rsidRDefault="00F6720B" w:rsidP="00B55CC8">
      <w:pPr>
        <w:pStyle w:val="ListParagraph"/>
        <w:widowControl w:val="0"/>
        <w:numPr>
          <w:ilvl w:val="0"/>
          <w:numId w:val="4"/>
        </w:numPr>
        <w:spacing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Thời điểm xét thưởng và chi trả:</w:t>
      </w:r>
      <w:r w:rsidRPr="00D641A0">
        <w:rPr>
          <w:rFonts w:asciiTheme="majorHAnsi" w:hAnsiTheme="majorHAnsi" w:cstheme="majorHAnsi"/>
          <w:sz w:val="24"/>
          <w:szCs w:val="24"/>
          <w:lang w:val="it-IT"/>
        </w:rPr>
        <w:t xml:space="preserve"> định kỳ hàng tháng.</w:t>
      </w:r>
    </w:p>
    <w:p w:rsidR="00F6720B" w:rsidRPr="00D641A0" w:rsidRDefault="00F6720B" w:rsidP="00B55CC8">
      <w:pPr>
        <w:pStyle w:val="ListParagraph"/>
        <w:widowControl w:val="0"/>
        <w:numPr>
          <w:ilvl w:val="0"/>
          <w:numId w:val="4"/>
        </w:numPr>
        <w:spacing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Chỉ tiêu và Mức thưởng:</w:t>
      </w:r>
      <w:r w:rsidRPr="00D641A0">
        <w:rPr>
          <w:rFonts w:asciiTheme="majorHAnsi" w:hAnsiTheme="majorHAnsi" w:cstheme="majorHAnsi"/>
          <w:sz w:val="24"/>
          <w:szCs w:val="24"/>
          <w:lang w:val="it-IT"/>
        </w:rPr>
        <w:t xml:space="preserve"> TĐL sẽ được hỗ trợ phát triển kinh doanh theo mức như sau: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F6720B" w:rsidRPr="00F71993" w:rsidTr="00141152">
        <w:tc>
          <w:tcPr>
            <w:tcW w:w="8529" w:type="dxa"/>
            <w:shd w:val="clear" w:color="auto" w:fill="auto"/>
          </w:tcPr>
          <w:p w:rsidR="00F6720B" w:rsidRPr="00D641A0" w:rsidRDefault="00F6720B" w:rsidP="00B55CC8">
            <w:pPr>
              <w:pStyle w:val="ListParagraph"/>
              <w:widowControl w:val="0"/>
              <w:spacing w:before="120" w:after="120"/>
              <w:ind w:left="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Hỗ trợ phát triển kinh doanh cơ bản = Phần FYP tương ứng x Tỷ lệ thưởng</w:t>
            </w:r>
          </w:p>
        </w:tc>
      </w:tr>
    </w:tbl>
    <w:p w:rsidR="00F6720B" w:rsidRPr="009170C7" w:rsidRDefault="00F6720B" w:rsidP="00B55CC8">
      <w:pPr>
        <w:pStyle w:val="ListParagraph"/>
        <w:widowControl w:val="0"/>
        <w:spacing w:before="240" w:after="120" w:line="360" w:lineRule="auto"/>
        <w:jc w:val="both"/>
        <w:rPr>
          <w:rFonts w:asciiTheme="majorHAnsi" w:hAnsiTheme="majorHAnsi" w:cstheme="majorHAnsi"/>
          <w:b/>
          <w:sz w:val="24"/>
          <w:szCs w:val="24"/>
          <w:lang w:val="it-IT"/>
        </w:rPr>
      </w:pPr>
      <w:r w:rsidRPr="00D641A0">
        <w:rPr>
          <w:rFonts w:asciiTheme="majorHAnsi" w:hAnsiTheme="majorHAnsi" w:cstheme="majorHAnsi"/>
          <w:b/>
          <w:sz w:val="24"/>
          <w:szCs w:val="24"/>
          <w:u w:val="single"/>
          <w:lang w:val="it-IT"/>
        </w:rPr>
        <w:t xml:space="preserve">Bảng 01: </w:t>
      </w:r>
      <w:r w:rsidRPr="009170C7">
        <w:rPr>
          <w:rFonts w:asciiTheme="majorHAnsi" w:hAnsiTheme="majorHAnsi" w:cstheme="majorHAnsi"/>
          <w:b/>
          <w:sz w:val="24"/>
          <w:szCs w:val="24"/>
          <w:lang w:val="it-IT"/>
        </w:rPr>
        <w:t>Chỉ tiêu Doanh số FYP trong tháng, Tỷ lệ duy trì hợp đồng 2 năm và Tỷ lệ hỗ trợ dành cho Tổng Đại Lý đạt tiêu chuẩn hoạt động và không vi phạm pháp chế</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8"/>
        <w:gridCol w:w="1672"/>
        <w:gridCol w:w="2520"/>
        <w:gridCol w:w="1800"/>
      </w:tblGrid>
      <w:tr w:rsidR="00F6720B" w:rsidRPr="00D641A0" w:rsidTr="00141152">
        <w:trPr>
          <w:trHeight w:val="696"/>
        </w:trPr>
        <w:tc>
          <w:tcPr>
            <w:tcW w:w="3368" w:type="dxa"/>
            <w:vMerge w:val="restart"/>
            <w:vAlign w:val="center"/>
          </w:tcPr>
          <w:p w:rsidR="00F6720B" w:rsidRPr="00D641A0" w:rsidRDefault="00F6720B" w:rsidP="00B55CC8">
            <w:pPr>
              <w:widowControl w:val="0"/>
              <w:spacing w:before="120" w:after="120"/>
              <w:ind w:left="-738" w:firstLine="738"/>
              <w:jc w:val="center"/>
              <w:rPr>
                <w:rFonts w:asciiTheme="majorHAnsi" w:hAnsiTheme="majorHAnsi" w:cstheme="majorHAnsi"/>
                <w:b/>
                <w:color w:val="000000"/>
                <w:sz w:val="24"/>
                <w:szCs w:val="24"/>
                <w:lang w:val="it-IT"/>
              </w:rPr>
            </w:pPr>
            <w:r w:rsidRPr="00D641A0">
              <w:rPr>
                <w:rFonts w:asciiTheme="majorHAnsi" w:hAnsiTheme="majorHAnsi" w:cstheme="majorHAnsi"/>
                <w:b/>
                <w:color w:val="000000"/>
                <w:sz w:val="24"/>
                <w:szCs w:val="24"/>
                <w:lang w:val="it-IT"/>
              </w:rPr>
              <w:t xml:space="preserve">FYP của TĐL trong tháng </w:t>
            </w:r>
          </w:p>
          <w:p w:rsidR="00F6720B" w:rsidRPr="00D641A0" w:rsidRDefault="00F6720B" w:rsidP="00B55CC8">
            <w:pPr>
              <w:widowControl w:val="0"/>
              <w:spacing w:before="120" w:after="120"/>
              <w:jc w:val="center"/>
              <w:rPr>
                <w:rFonts w:asciiTheme="majorHAnsi" w:hAnsiTheme="majorHAnsi" w:cstheme="majorHAnsi"/>
                <w:b/>
                <w:i/>
                <w:color w:val="000000"/>
                <w:sz w:val="24"/>
                <w:szCs w:val="24"/>
              </w:rPr>
            </w:pPr>
            <w:r w:rsidRPr="00D641A0">
              <w:rPr>
                <w:rFonts w:asciiTheme="majorHAnsi" w:hAnsiTheme="majorHAnsi" w:cstheme="majorHAnsi"/>
                <w:b/>
                <w:i/>
                <w:color w:val="000000"/>
                <w:sz w:val="24"/>
                <w:szCs w:val="24"/>
              </w:rPr>
              <w:t>(đồng)</w:t>
            </w:r>
          </w:p>
        </w:tc>
        <w:tc>
          <w:tcPr>
            <w:tcW w:w="5992" w:type="dxa"/>
            <w:gridSpan w:val="3"/>
            <w:noWrap/>
            <w:vAlign w:val="center"/>
            <w:hideMark/>
          </w:tcPr>
          <w:p w:rsidR="00F6720B" w:rsidRPr="00D641A0" w:rsidRDefault="00F6720B" w:rsidP="00B55CC8">
            <w:pPr>
              <w:widowControl w:val="0"/>
              <w:spacing w:before="120" w:after="120"/>
              <w:jc w:val="center"/>
              <w:rPr>
                <w:rFonts w:asciiTheme="majorHAnsi" w:hAnsiTheme="majorHAnsi" w:cstheme="majorHAnsi"/>
                <w:b/>
                <w:color w:val="000000"/>
                <w:sz w:val="24"/>
                <w:szCs w:val="24"/>
              </w:rPr>
            </w:pPr>
            <w:r w:rsidRPr="00D641A0">
              <w:rPr>
                <w:rFonts w:asciiTheme="majorHAnsi" w:hAnsiTheme="majorHAnsi" w:cstheme="majorHAnsi"/>
                <w:b/>
                <w:color w:val="000000"/>
                <w:sz w:val="24"/>
                <w:szCs w:val="24"/>
              </w:rPr>
              <w:t>Tỷ lệ duy trì hợp đồng 2 năm của TĐL</w:t>
            </w:r>
          </w:p>
        </w:tc>
      </w:tr>
      <w:tr w:rsidR="00F6720B" w:rsidRPr="00D641A0" w:rsidTr="00141152">
        <w:trPr>
          <w:trHeight w:val="323"/>
        </w:trPr>
        <w:tc>
          <w:tcPr>
            <w:tcW w:w="3368" w:type="dxa"/>
            <w:vMerge/>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Dưới 80%</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Từ 80% đến dưới 95%</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Từ 95% trở lên</w:t>
            </w:r>
          </w:p>
        </w:tc>
      </w:tr>
      <w:tr w:rsidR="00F6720B" w:rsidRPr="00D641A0" w:rsidTr="00141152">
        <w:trPr>
          <w:trHeight w:val="323"/>
        </w:trPr>
        <w:tc>
          <w:tcPr>
            <w:tcW w:w="3368" w:type="dxa"/>
            <w:vMerge/>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p>
        </w:tc>
        <w:tc>
          <w:tcPr>
            <w:tcW w:w="5992" w:type="dxa"/>
            <w:gridSpan w:val="3"/>
            <w:noWrap/>
            <w:vAlign w:val="center"/>
            <w:hideMark/>
          </w:tcPr>
          <w:p w:rsidR="00F6720B" w:rsidRPr="00D641A0" w:rsidRDefault="00F6720B" w:rsidP="00B55CC8">
            <w:pPr>
              <w:widowControl w:val="0"/>
              <w:spacing w:before="120" w:after="120"/>
              <w:jc w:val="center"/>
              <w:rPr>
                <w:rFonts w:asciiTheme="majorHAnsi" w:hAnsiTheme="majorHAnsi" w:cstheme="majorHAnsi"/>
                <w:b/>
                <w:color w:val="000000"/>
                <w:sz w:val="24"/>
                <w:szCs w:val="24"/>
              </w:rPr>
            </w:pPr>
            <w:r w:rsidRPr="00D641A0">
              <w:rPr>
                <w:rFonts w:asciiTheme="majorHAnsi" w:hAnsiTheme="majorHAnsi" w:cstheme="majorHAnsi"/>
                <w:b/>
                <w:color w:val="000000"/>
                <w:sz w:val="24"/>
                <w:szCs w:val="24"/>
              </w:rPr>
              <w:t xml:space="preserve">Tỷ lệ hỗ trợ </w:t>
            </w:r>
            <w:r w:rsidRPr="00D641A0">
              <w:rPr>
                <w:rFonts w:asciiTheme="majorHAnsi" w:hAnsiTheme="majorHAnsi" w:cstheme="majorHAnsi"/>
                <w:b/>
                <w:i/>
                <w:color w:val="000000"/>
                <w:sz w:val="24"/>
                <w:szCs w:val="24"/>
              </w:rPr>
              <w:t>(% phần FYP tương ứng)</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đến 1,0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10</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12</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1,0 tỷ đến 1,5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11</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14</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1,5 tỷ đến 2,0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12</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14</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15</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2,0 tỷ đến 2,5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16</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17</w:t>
            </w:r>
          </w:p>
        </w:tc>
      </w:tr>
      <w:tr w:rsidR="00F6720B" w:rsidRPr="00D641A0" w:rsidTr="00141152">
        <w:trPr>
          <w:trHeight w:val="300"/>
        </w:trPr>
        <w:tc>
          <w:tcPr>
            <w:tcW w:w="3368"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2,5 tỷ</w:t>
            </w:r>
          </w:p>
        </w:tc>
        <w:tc>
          <w:tcPr>
            <w:tcW w:w="1672"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14</w:t>
            </w:r>
          </w:p>
        </w:tc>
        <w:tc>
          <w:tcPr>
            <w:tcW w:w="2520"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18</w:t>
            </w:r>
          </w:p>
        </w:tc>
        <w:tc>
          <w:tcPr>
            <w:tcW w:w="1800"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20</w:t>
            </w:r>
          </w:p>
        </w:tc>
      </w:tr>
    </w:tbl>
    <w:p w:rsidR="00F6720B" w:rsidRPr="00D641A0" w:rsidRDefault="00F6720B" w:rsidP="00843D81">
      <w:pPr>
        <w:widowControl w:val="0"/>
        <w:spacing w:before="240" w:after="120" w:line="360" w:lineRule="auto"/>
        <w:ind w:left="720"/>
        <w:rPr>
          <w:rFonts w:asciiTheme="majorHAnsi" w:hAnsiTheme="majorHAnsi" w:cstheme="majorHAnsi"/>
          <w:b/>
          <w:sz w:val="24"/>
          <w:szCs w:val="24"/>
          <w:u w:val="single"/>
          <w:lang w:val="it-IT"/>
        </w:rPr>
      </w:pPr>
      <w:r w:rsidRPr="00D641A0">
        <w:rPr>
          <w:rFonts w:asciiTheme="majorHAnsi" w:hAnsiTheme="majorHAnsi" w:cstheme="majorHAnsi"/>
          <w:b/>
          <w:sz w:val="24"/>
          <w:szCs w:val="24"/>
          <w:u w:val="single"/>
          <w:lang w:val="it-IT"/>
        </w:rPr>
        <w:t xml:space="preserve">Bảng 02: </w:t>
      </w:r>
      <w:r w:rsidRPr="009170C7">
        <w:rPr>
          <w:rFonts w:asciiTheme="majorHAnsi" w:hAnsiTheme="majorHAnsi" w:cstheme="majorHAnsi"/>
          <w:b/>
          <w:sz w:val="24"/>
          <w:szCs w:val="24"/>
          <w:lang w:val="it-IT"/>
        </w:rPr>
        <w:t>Chỉ tiêu Doanh số FYP trong tháng, Tỷ lệ duy trì hợp đồng 2 năm và Tỷ lệ hỗ trợ dành cho Tổng Đại Lý không đạt tiêu chuẩn hoạt động và/hoặc có vi phạm pháp chế</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8"/>
        <w:gridCol w:w="1672"/>
        <w:gridCol w:w="2520"/>
        <w:gridCol w:w="1800"/>
      </w:tblGrid>
      <w:tr w:rsidR="00F6720B" w:rsidRPr="00D641A0" w:rsidTr="00141152">
        <w:trPr>
          <w:trHeight w:val="696"/>
        </w:trPr>
        <w:tc>
          <w:tcPr>
            <w:tcW w:w="3368" w:type="dxa"/>
            <w:vMerge w:val="restart"/>
            <w:vAlign w:val="center"/>
          </w:tcPr>
          <w:p w:rsidR="00F6720B" w:rsidRPr="00D641A0" w:rsidRDefault="00F6720B" w:rsidP="00B55CC8">
            <w:pPr>
              <w:widowControl w:val="0"/>
              <w:spacing w:before="120" w:after="120"/>
              <w:jc w:val="center"/>
              <w:rPr>
                <w:rFonts w:asciiTheme="majorHAnsi" w:hAnsiTheme="majorHAnsi" w:cstheme="majorHAnsi"/>
                <w:b/>
                <w:color w:val="000000"/>
                <w:sz w:val="24"/>
                <w:szCs w:val="24"/>
                <w:lang w:val="it-IT"/>
              </w:rPr>
            </w:pPr>
            <w:r w:rsidRPr="00D641A0">
              <w:rPr>
                <w:rFonts w:asciiTheme="majorHAnsi" w:hAnsiTheme="majorHAnsi" w:cstheme="majorHAnsi"/>
                <w:b/>
                <w:color w:val="000000"/>
                <w:sz w:val="24"/>
                <w:szCs w:val="24"/>
                <w:lang w:val="it-IT"/>
              </w:rPr>
              <w:t xml:space="preserve">FYP của TĐL trong tháng </w:t>
            </w:r>
          </w:p>
          <w:p w:rsidR="00F6720B" w:rsidRPr="00D641A0" w:rsidRDefault="00F6720B" w:rsidP="00B55CC8">
            <w:pPr>
              <w:widowControl w:val="0"/>
              <w:spacing w:before="120" w:after="120"/>
              <w:jc w:val="center"/>
              <w:rPr>
                <w:rFonts w:asciiTheme="majorHAnsi" w:hAnsiTheme="majorHAnsi" w:cstheme="majorHAnsi"/>
                <w:b/>
                <w:i/>
                <w:color w:val="000000"/>
                <w:sz w:val="24"/>
                <w:szCs w:val="24"/>
              </w:rPr>
            </w:pPr>
            <w:r w:rsidRPr="00D641A0">
              <w:rPr>
                <w:rFonts w:asciiTheme="majorHAnsi" w:hAnsiTheme="majorHAnsi" w:cstheme="majorHAnsi"/>
                <w:b/>
                <w:i/>
                <w:color w:val="000000"/>
                <w:sz w:val="24"/>
                <w:szCs w:val="24"/>
              </w:rPr>
              <w:t>(đồng)</w:t>
            </w:r>
          </w:p>
        </w:tc>
        <w:tc>
          <w:tcPr>
            <w:tcW w:w="5992" w:type="dxa"/>
            <w:gridSpan w:val="3"/>
            <w:noWrap/>
            <w:vAlign w:val="center"/>
            <w:hideMark/>
          </w:tcPr>
          <w:p w:rsidR="00F6720B" w:rsidRPr="00D641A0" w:rsidRDefault="00F6720B" w:rsidP="00B55CC8">
            <w:pPr>
              <w:widowControl w:val="0"/>
              <w:spacing w:before="120" w:after="120"/>
              <w:jc w:val="center"/>
              <w:rPr>
                <w:rFonts w:asciiTheme="majorHAnsi" w:hAnsiTheme="majorHAnsi" w:cstheme="majorHAnsi"/>
                <w:b/>
                <w:color w:val="000000"/>
                <w:sz w:val="24"/>
                <w:szCs w:val="24"/>
              </w:rPr>
            </w:pPr>
            <w:r w:rsidRPr="00D641A0">
              <w:rPr>
                <w:rFonts w:asciiTheme="majorHAnsi" w:hAnsiTheme="majorHAnsi" w:cstheme="majorHAnsi"/>
                <w:b/>
                <w:color w:val="000000"/>
                <w:sz w:val="24"/>
                <w:szCs w:val="24"/>
              </w:rPr>
              <w:t>Tỷ lệ duy trì hợp đồng 2 năm của TĐL</w:t>
            </w:r>
          </w:p>
        </w:tc>
      </w:tr>
      <w:tr w:rsidR="00F6720B" w:rsidRPr="00D641A0" w:rsidTr="00141152">
        <w:trPr>
          <w:trHeight w:val="323"/>
        </w:trPr>
        <w:tc>
          <w:tcPr>
            <w:tcW w:w="3368" w:type="dxa"/>
            <w:vMerge/>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Dưới 80%</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Từ 80% đến dưới 95%</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từ 95% trở lên</w:t>
            </w:r>
          </w:p>
        </w:tc>
      </w:tr>
      <w:tr w:rsidR="00F6720B" w:rsidRPr="00D641A0" w:rsidTr="00141152">
        <w:trPr>
          <w:trHeight w:val="323"/>
        </w:trPr>
        <w:tc>
          <w:tcPr>
            <w:tcW w:w="3368" w:type="dxa"/>
            <w:vMerge/>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p>
        </w:tc>
        <w:tc>
          <w:tcPr>
            <w:tcW w:w="5992" w:type="dxa"/>
            <w:gridSpan w:val="3"/>
            <w:noWrap/>
            <w:vAlign w:val="center"/>
            <w:hideMark/>
          </w:tcPr>
          <w:p w:rsidR="00F6720B" w:rsidRPr="00D641A0" w:rsidRDefault="00F6720B" w:rsidP="00B55CC8">
            <w:pPr>
              <w:widowControl w:val="0"/>
              <w:spacing w:before="120" w:after="120"/>
              <w:jc w:val="center"/>
              <w:rPr>
                <w:rFonts w:asciiTheme="majorHAnsi" w:hAnsiTheme="majorHAnsi" w:cstheme="majorHAnsi"/>
                <w:b/>
                <w:color w:val="000000"/>
                <w:sz w:val="24"/>
                <w:szCs w:val="24"/>
              </w:rPr>
            </w:pPr>
            <w:r w:rsidRPr="00D641A0">
              <w:rPr>
                <w:rFonts w:asciiTheme="majorHAnsi" w:hAnsiTheme="majorHAnsi" w:cstheme="majorHAnsi"/>
                <w:b/>
                <w:color w:val="000000"/>
                <w:sz w:val="24"/>
                <w:szCs w:val="24"/>
              </w:rPr>
              <w:t xml:space="preserve">Tỷ lệ hỗ trợ </w:t>
            </w:r>
            <w:r w:rsidRPr="00D641A0">
              <w:rPr>
                <w:rFonts w:asciiTheme="majorHAnsi" w:hAnsiTheme="majorHAnsi" w:cstheme="majorHAnsi"/>
                <w:b/>
                <w:i/>
                <w:color w:val="000000"/>
                <w:sz w:val="24"/>
                <w:szCs w:val="24"/>
              </w:rPr>
              <w:t>(% phần FYP tương ứng)</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đến 1,0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9</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11</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12</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1,0 tỷ đến 1,5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10</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12</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1,5 tỷ đến 2,0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11</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14</w:t>
            </w:r>
          </w:p>
        </w:tc>
      </w:tr>
      <w:tr w:rsidR="00F6720B" w:rsidRPr="00D641A0" w:rsidTr="00141152">
        <w:trPr>
          <w:trHeight w:val="300"/>
        </w:trPr>
        <w:tc>
          <w:tcPr>
            <w:tcW w:w="3368"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2,0 tỷ đến 2,5 tỷ</w:t>
            </w:r>
          </w:p>
        </w:tc>
        <w:tc>
          <w:tcPr>
            <w:tcW w:w="1672"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12</w:t>
            </w:r>
          </w:p>
        </w:tc>
        <w:tc>
          <w:tcPr>
            <w:tcW w:w="252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15</w:t>
            </w:r>
          </w:p>
        </w:tc>
        <w:tc>
          <w:tcPr>
            <w:tcW w:w="1800" w:type="dxa"/>
            <w:noWrap/>
            <w:vAlign w:val="center"/>
            <w:hideMark/>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16</w:t>
            </w:r>
          </w:p>
        </w:tc>
      </w:tr>
      <w:tr w:rsidR="00F6720B" w:rsidRPr="00D641A0" w:rsidTr="00141152">
        <w:trPr>
          <w:trHeight w:val="300"/>
        </w:trPr>
        <w:tc>
          <w:tcPr>
            <w:tcW w:w="3368"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Phần trên 2,5 tỷ</w:t>
            </w:r>
          </w:p>
        </w:tc>
        <w:tc>
          <w:tcPr>
            <w:tcW w:w="1672"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13</w:t>
            </w:r>
          </w:p>
        </w:tc>
        <w:tc>
          <w:tcPr>
            <w:tcW w:w="2520"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17</w:t>
            </w:r>
          </w:p>
        </w:tc>
        <w:tc>
          <w:tcPr>
            <w:tcW w:w="1800" w:type="dxa"/>
            <w:noWrap/>
            <w:vAlign w:val="center"/>
          </w:tcPr>
          <w:p w:rsidR="00F6720B" w:rsidRPr="00D641A0" w:rsidRDefault="00F6720B" w:rsidP="00B55CC8">
            <w:pPr>
              <w:widowControl w:val="0"/>
              <w:spacing w:before="120" w:after="120"/>
              <w:jc w:val="center"/>
              <w:rPr>
                <w:rFonts w:asciiTheme="majorHAnsi" w:hAnsiTheme="majorHAnsi" w:cstheme="majorHAnsi"/>
                <w:color w:val="000000"/>
                <w:sz w:val="24"/>
                <w:szCs w:val="24"/>
              </w:rPr>
            </w:pPr>
            <w:r w:rsidRPr="00D641A0">
              <w:rPr>
                <w:rFonts w:asciiTheme="majorHAnsi" w:hAnsiTheme="majorHAnsi" w:cstheme="majorHAnsi"/>
                <w:color w:val="000000"/>
                <w:sz w:val="24"/>
                <w:szCs w:val="24"/>
              </w:rPr>
              <w:t>19</w:t>
            </w:r>
          </w:p>
        </w:tc>
      </w:tr>
    </w:tbl>
    <w:p w:rsidR="006971AF" w:rsidRDefault="006971AF" w:rsidP="00B55CC8">
      <w:pPr>
        <w:pStyle w:val="ListParagraph"/>
        <w:widowControl w:val="0"/>
        <w:spacing w:before="240" w:after="120"/>
        <w:jc w:val="both"/>
        <w:rPr>
          <w:rFonts w:asciiTheme="majorHAnsi" w:hAnsiTheme="majorHAnsi" w:cstheme="majorHAnsi"/>
          <w:b/>
          <w:sz w:val="24"/>
          <w:szCs w:val="24"/>
          <w:lang w:val="it-IT"/>
        </w:rPr>
      </w:pPr>
    </w:p>
    <w:p w:rsidR="00F6720B" w:rsidRPr="00D641A0" w:rsidRDefault="006971AF" w:rsidP="00B55CC8">
      <w:pPr>
        <w:pStyle w:val="ListParagraph"/>
        <w:widowControl w:val="0"/>
        <w:numPr>
          <w:ilvl w:val="0"/>
          <w:numId w:val="4"/>
        </w:numPr>
        <w:spacing w:before="240"/>
        <w:ind w:left="720"/>
        <w:jc w:val="both"/>
        <w:rPr>
          <w:rFonts w:asciiTheme="majorHAnsi" w:hAnsiTheme="majorHAnsi" w:cstheme="majorHAnsi"/>
          <w:b/>
          <w:sz w:val="24"/>
          <w:szCs w:val="24"/>
          <w:lang w:val="it-IT"/>
        </w:rPr>
      </w:pPr>
      <w:r>
        <w:rPr>
          <w:rFonts w:asciiTheme="majorHAnsi" w:hAnsiTheme="majorHAnsi" w:cstheme="majorHAnsi"/>
          <w:b/>
          <w:sz w:val="24"/>
          <w:szCs w:val="24"/>
          <w:lang w:val="it-IT"/>
        </w:rPr>
        <w:t>Lưu ý:</w:t>
      </w:r>
    </w:p>
    <w:p w:rsidR="00F6720B" w:rsidRPr="00D641A0" w:rsidRDefault="00F6720B" w:rsidP="00B55CC8">
      <w:pPr>
        <w:pStyle w:val="ListParagraph"/>
        <w:widowControl w:val="0"/>
        <w:numPr>
          <w:ilvl w:val="0"/>
          <w:numId w:val="15"/>
        </w:numPr>
        <w:spacing w:before="120" w:line="360" w:lineRule="auto"/>
        <w:ind w:left="1077" w:hanging="357"/>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TĐL mới hoạt động chưa có Tỷ lệ duy trì hợp đồng được áp dụng mức Hỗ trợ tương ứng với Tỷ lệ duy trì hợp đồng từ 95% trở lên</w:t>
      </w:r>
    </w:p>
    <w:p w:rsidR="00E00FBF" w:rsidRPr="0054590B" w:rsidRDefault="00F6720B" w:rsidP="00B55CC8">
      <w:pPr>
        <w:pStyle w:val="ListParagraph"/>
        <w:widowControl w:val="0"/>
        <w:numPr>
          <w:ilvl w:val="0"/>
          <w:numId w:val="4"/>
        </w:numPr>
        <w:spacing w:before="120"/>
        <w:ind w:left="720"/>
        <w:jc w:val="both"/>
        <w:rPr>
          <w:rFonts w:asciiTheme="majorHAnsi" w:hAnsiTheme="majorHAnsi" w:cstheme="majorHAnsi"/>
          <w:b/>
          <w:sz w:val="24"/>
          <w:szCs w:val="24"/>
          <w:lang w:val="it-IT"/>
        </w:rPr>
      </w:pPr>
      <w:r w:rsidRPr="0054590B">
        <w:rPr>
          <w:rFonts w:asciiTheme="majorHAnsi" w:hAnsiTheme="majorHAnsi" w:cstheme="majorHAnsi"/>
          <w:b/>
          <w:sz w:val="24"/>
          <w:szCs w:val="24"/>
          <w:lang w:val="it-IT"/>
        </w:rPr>
        <w:t xml:space="preserve">Ví dụ: </w:t>
      </w:r>
    </w:p>
    <w:p w:rsidR="00F6720B" w:rsidRPr="00E00FBF" w:rsidRDefault="00F6720B" w:rsidP="00B55CC8">
      <w:pPr>
        <w:pStyle w:val="ListParagraph"/>
        <w:widowControl w:val="0"/>
        <w:spacing w:before="120" w:line="360" w:lineRule="auto"/>
        <w:jc w:val="both"/>
        <w:rPr>
          <w:rFonts w:asciiTheme="majorHAnsi" w:hAnsiTheme="majorHAnsi" w:cstheme="majorHAnsi"/>
          <w:sz w:val="24"/>
          <w:szCs w:val="24"/>
          <w:lang w:val="it-IT"/>
        </w:rPr>
      </w:pPr>
      <w:r w:rsidRPr="00E00FBF">
        <w:rPr>
          <w:rFonts w:asciiTheme="majorHAnsi" w:hAnsiTheme="majorHAnsi" w:cstheme="majorHAnsi"/>
          <w:sz w:val="24"/>
          <w:szCs w:val="24"/>
          <w:lang w:val="it-IT"/>
        </w:rPr>
        <w:t>TĐL A đạt tiêu chuẩn hoạt động và không vi phạm pháp chế. Tháng 08/2017 đạt 1,7 tỷ FYP, Tỷ lệ duy trì hợp đồng 2 năm tại thời điểm cuối tháng 08/2017 đạt 87%, Tổng Đại Lý A sẽ nhận khoản Hỗ trợ phát triển kinh doanh cơ bản của tháng 08/2017 = (1 tỷ * 12%) + (500 triệu * 13%) + (200 triệu * 14%) = 213 triệu</w:t>
      </w:r>
    </w:p>
    <w:p w:rsidR="00F6720B" w:rsidRPr="00D641A0" w:rsidRDefault="00F6720B" w:rsidP="00B55CC8">
      <w:pPr>
        <w:pStyle w:val="A3"/>
        <w:widowControl w:val="0"/>
        <w:spacing w:after="240" w:line="240" w:lineRule="auto"/>
        <w:ind w:left="0"/>
        <w:rPr>
          <w:rFonts w:asciiTheme="majorHAnsi" w:hAnsiTheme="majorHAnsi" w:cstheme="majorHAnsi"/>
          <w:sz w:val="24"/>
          <w:szCs w:val="24"/>
        </w:rPr>
      </w:pPr>
      <w:bookmarkStart w:id="16" w:name="_Toc448156409"/>
      <w:bookmarkStart w:id="17" w:name="_Toc409113971"/>
      <w:r w:rsidRPr="00D641A0">
        <w:rPr>
          <w:rFonts w:asciiTheme="majorHAnsi" w:hAnsiTheme="majorHAnsi" w:cstheme="majorHAnsi"/>
          <w:sz w:val="24"/>
          <w:szCs w:val="24"/>
        </w:rPr>
        <w:t>3.3</w:t>
      </w:r>
      <w:r w:rsidRPr="00D641A0">
        <w:rPr>
          <w:rFonts w:asciiTheme="majorHAnsi" w:hAnsiTheme="majorHAnsi" w:cstheme="majorHAnsi"/>
          <w:sz w:val="24"/>
          <w:szCs w:val="24"/>
        </w:rPr>
        <w:tab/>
        <w:t>Hỗ trợ phát triển văn phòng TĐL khu vực nội thị Thành phố Hồ Chí Minh và Hà Nội:</w:t>
      </w:r>
      <w:bookmarkEnd w:id="16"/>
    </w:p>
    <w:p w:rsidR="00F6720B" w:rsidRPr="00D641A0" w:rsidRDefault="00F6720B" w:rsidP="00B55CC8">
      <w:pPr>
        <w:pStyle w:val="ListParagraph"/>
        <w:widowControl w:val="0"/>
        <w:numPr>
          <w:ilvl w:val="0"/>
          <w:numId w:val="6"/>
        </w:numPr>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Đối tượng áp dụng:</w:t>
      </w:r>
      <w:r w:rsidRPr="00D641A0">
        <w:rPr>
          <w:rFonts w:asciiTheme="majorHAnsi" w:hAnsiTheme="majorHAnsi" w:cstheme="majorHAnsi"/>
          <w:sz w:val="24"/>
          <w:szCs w:val="24"/>
          <w:lang w:val="it-IT"/>
        </w:rPr>
        <w:t xml:space="preserve"> dành cho </w:t>
      </w:r>
      <w:r w:rsidR="003C6E4D">
        <w:rPr>
          <w:rFonts w:asciiTheme="majorHAnsi" w:hAnsiTheme="majorHAnsi" w:cstheme="majorHAnsi"/>
          <w:sz w:val="24"/>
          <w:szCs w:val="24"/>
          <w:lang w:val="it-IT"/>
        </w:rPr>
        <w:t>TĐL</w:t>
      </w:r>
      <w:r w:rsidRPr="00D641A0">
        <w:rPr>
          <w:rFonts w:asciiTheme="majorHAnsi" w:hAnsiTheme="majorHAnsi" w:cstheme="majorHAnsi"/>
          <w:sz w:val="24"/>
          <w:szCs w:val="24"/>
          <w:lang w:val="it-IT"/>
        </w:rPr>
        <w:t xml:space="preserve"> có văn phòng thuộc khu vực nội thị Thành phố Hồ Chí Minh và Hà Nội:</w:t>
      </w:r>
    </w:p>
    <w:p w:rsidR="00F6720B" w:rsidRPr="00D641A0" w:rsidRDefault="00F6720B" w:rsidP="00B55CC8">
      <w:pPr>
        <w:pStyle w:val="ListParagraph"/>
        <w:widowControl w:val="0"/>
        <w:numPr>
          <w:ilvl w:val="0"/>
          <w:numId w:val="10"/>
        </w:numPr>
        <w:spacing w:line="360" w:lineRule="auto"/>
        <w:ind w:left="108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TP.HCM: Quận 1, 2, 3, 4, 5, 6, 7, 8, 10, 11, Bình Thạnh, Phú Nhuận, Tân Bình, Tân Phú</w:t>
      </w:r>
      <w:r w:rsidR="00C44F51">
        <w:rPr>
          <w:rFonts w:asciiTheme="majorHAnsi" w:hAnsiTheme="majorHAnsi" w:cstheme="majorHAnsi"/>
          <w:sz w:val="24"/>
          <w:szCs w:val="24"/>
          <w:lang w:val="it-IT"/>
        </w:rPr>
        <w:t>, 12, Thủ Đức, Gò Vấp, Bình Tân</w:t>
      </w:r>
    </w:p>
    <w:p w:rsidR="00F6720B" w:rsidRPr="00D641A0" w:rsidRDefault="00F6720B" w:rsidP="00B55CC8">
      <w:pPr>
        <w:pStyle w:val="ListParagraph"/>
        <w:widowControl w:val="0"/>
        <w:numPr>
          <w:ilvl w:val="0"/>
          <w:numId w:val="10"/>
        </w:numPr>
        <w:spacing w:line="360" w:lineRule="auto"/>
        <w:ind w:left="108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Hà Nội: Quận Hoàn Kiếm, Đống Đa, Ba Đình, Hà Đông, Gia Lâm, Hoàng Mai, Hai Bà Trưng, Cầu Giấy, Từ Liêm</w:t>
      </w:r>
      <w:r w:rsidR="00C44F51">
        <w:rPr>
          <w:rFonts w:asciiTheme="majorHAnsi" w:hAnsiTheme="majorHAnsi" w:cstheme="majorHAnsi"/>
          <w:sz w:val="24"/>
          <w:szCs w:val="24"/>
          <w:lang w:val="it-IT"/>
        </w:rPr>
        <w:t>, Tây Hồ, Long Biên, Thanh Xuân</w:t>
      </w:r>
    </w:p>
    <w:p w:rsidR="00F6720B" w:rsidRPr="00D641A0" w:rsidRDefault="00F6720B" w:rsidP="00B55CC8">
      <w:pPr>
        <w:pStyle w:val="ListParagraph"/>
        <w:widowControl w:val="0"/>
        <w:numPr>
          <w:ilvl w:val="0"/>
          <w:numId w:val="6"/>
        </w:numPr>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Thời điểm xét thưởng và chi trả:</w:t>
      </w:r>
      <w:r w:rsidR="00C623EB">
        <w:rPr>
          <w:rFonts w:asciiTheme="majorHAnsi" w:hAnsiTheme="majorHAnsi" w:cstheme="majorHAnsi"/>
          <w:sz w:val="24"/>
          <w:szCs w:val="24"/>
          <w:lang w:val="it-IT"/>
        </w:rPr>
        <w:t xml:space="preserve"> định kỳ hàng tháng</w:t>
      </w:r>
    </w:p>
    <w:p w:rsidR="00F6720B" w:rsidRPr="00D641A0" w:rsidRDefault="00F6720B" w:rsidP="00B55CC8">
      <w:pPr>
        <w:pStyle w:val="ListParagraph"/>
        <w:widowControl w:val="0"/>
        <w:numPr>
          <w:ilvl w:val="0"/>
          <w:numId w:val="6"/>
        </w:numPr>
        <w:spacing w:before="120" w:after="240"/>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 xml:space="preserve">Chỉ tiêu và Mức thưởng: </w:t>
      </w:r>
      <w:r w:rsidRPr="00D641A0">
        <w:rPr>
          <w:rFonts w:asciiTheme="majorHAnsi" w:hAnsiTheme="majorHAnsi" w:cstheme="majorHAnsi"/>
          <w:sz w:val="24"/>
          <w:szCs w:val="24"/>
          <w:lang w:val="it-IT"/>
        </w:rPr>
        <w:t xml:space="preserve">TĐL sẽ được hỗ trợ theo mức như sau: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F6720B" w:rsidRPr="00F71993" w:rsidTr="00141152">
        <w:tc>
          <w:tcPr>
            <w:tcW w:w="8529" w:type="dxa"/>
            <w:shd w:val="clear" w:color="auto" w:fill="auto"/>
          </w:tcPr>
          <w:p w:rsidR="00F6720B" w:rsidRPr="00D641A0" w:rsidRDefault="00F6720B" w:rsidP="00B55CC8">
            <w:pPr>
              <w:pStyle w:val="ListParagraph"/>
              <w:widowControl w:val="0"/>
              <w:spacing w:before="120" w:after="120"/>
              <w:ind w:left="0"/>
              <w:jc w:val="center"/>
              <w:rPr>
                <w:rFonts w:asciiTheme="majorHAnsi" w:hAnsiTheme="majorHAnsi" w:cstheme="majorHAnsi"/>
                <w:sz w:val="24"/>
                <w:szCs w:val="24"/>
                <w:lang w:val="it-IT"/>
              </w:rPr>
            </w:pPr>
            <w:r w:rsidRPr="00D641A0">
              <w:rPr>
                <w:rFonts w:asciiTheme="majorHAnsi" w:hAnsiTheme="majorHAnsi" w:cstheme="majorHAnsi"/>
                <w:sz w:val="24"/>
                <w:szCs w:val="24"/>
                <w:lang w:val="it-IT"/>
              </w:rPr>
              <w:t>Hỗ trợ phát triển văn phòng TĐL khu vực nội thị TP. Hồ Chí Minh và Hà Nội = FYP phát sinh trong tháng x 1%</w:t>
            </w:r>
          </w:p>
        </w:tc>
      </w:tr>
    </w:tbl>
    <w:p w:rsidR="00F6720B" w:rsidRPr="00D641A0" w:rsidRDefault="00F6720B" w:rsidP="00B55CC8">
      <w:pPr>
        <w:pStyle w:val="A3"/>
        <w:widowControl w:val="0"/>
        <w:spacing w:after="240" w:line="240" w:lineRule="auto"/>
        <w:ind w:left="0"/>
        <w:rPr>
          <w:rFonts w:asciiTheme="majorHAnsi" w:hAnsiTheme="majorHAnsi" w:cstheme="majorHAnsi"/>
          <w:b w:val="0"/>
          <w:sz w:val="24"/>
          <w:szCs w:val="24"/>
        </w:rPr>
      </w:pPr>
      <w:bookmarkStart w:id="18" w:name="_Toc448156410"/>
      <w:r w:rsidRPr="00D641A0">
        <w:rPr>
          <w:rFonts w:asciiTheme="majorHAnsi" w:hAnsiTheme="majorHAnsi" w:cstheme="majorHAnsi"/>
          <w:sz w:val="24"/>
          <w:szCs w:val="24"/>
        </w:rPr>
        <w:t>3.4</w:t>
      </w:r>
      <w:r w:rsidRPr="00D641A0">
        <w:rPr>
          <w:rFonts w:asciiTheme="majorHAnsi" w:hAnsiTheme="majorHAnsi" w:cstheme="majorHAnsi"/>
          <w:sz w:val="24"/>
          <w:szCs w:val="24"/>
        </w:rPr>
        <w:tab/>
        <w:t>Thưởng tăng trưởng doanh số quý:</w:t>
      </w:r>
      <w:bookmarkEnd w:id="17"/>
      <w:bookmarkEnd w:id="18"/>
    </w:p>
    <w:p w:rsidR="00F6720B" w:rsidRPr="00D641A0" w:rsidRDefault="00F6720B" w:rsidP="00B55CC8">
      <w:pPr>
        <w:pStyle w:val="ListParagraph"/>
        <w:widowControl w:val="0"/>
        <w:numPr>
          <w:ilvl w:val="0"/>
          <w:numId w:val="5"/>
        </w:numPr>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Đối tượng áp dụng:</w:t>
      </w:r>
      <w:r w:rsidRPr="00D641A0">
        <w:rPr>
          <w:rFonts w:asciiTheme="majorHAnsi" w:hAnsiTheme="majorHAnsi" w:cstheme="majorHAnsi"/>
          <w:sz w:val="24"/>
          <w:szCs w:val="24"/>
          <w:lang w:val="it-IT"/>
        </w:rPr>
        <w:t xml:space="preserve"> dành cho tất cả TĐL</w:t>
      </w:r>
    </w:p>
    <w:p w:rsidR="00F6720B" w:rsidRPr="00D641A0" w:rsidRDefault="00F6720B" w:rsidP="00B55CC8">
      <w:pPr>
        <w:pStyle w:val="ListParagraph"/>
        <w:widowControl w:val="0"/>
        <w:numPr>
          <w:ilvl w:val="0"/>
          <w:numId w:val="5"/>
        </w:numPr>
        <w:tabs>
          <w:tab w:val="left" w:pos="720"/>
        </w:tabs>
        <w:spacing w:before="120" w:after="120"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Thời điểm xét thưởng và chi trả:</w:t>
      </w:r>
      <w:r w:rsidRPr="00D641A0">
        <w:rPr>
          <w:rFonts w:asciiTheme="majorHAnsi" w:hAnsiTheme="majorHAnsi" w:cstheme="majorHAnsi"/>
          <w:sz w:val="24"/>
          <w:szCs w:val="24"/>
          <w:lang w:val="it-IT"/>
        </w:rPr>
        <w:t xml:space="preserve"> định kỳ hàng qu</w:t>
      </w:r>
      <w:r w:rsidR="00C623EB">
        <w:rPr>
          <w:rFonts w:asciiTheme="majorHAnsi" w:hAnsiTheme="majorHAnsi" w:cstheme="majorHAnsi"/>
          <w:sz w:val="24"/>
          <w:szCs w:val="24"/>
          <w:lang w:val="it-IT"/>
        </w:rPr>
        <w:t>ý, cuối tháng cuối cùng của quý</w:t>
      </w:r>
    </w:p>
    <w:tbl>
      <w:tblPr>
        <w:tblpPr w:leftFromText="180" w:rightFromText="180" w:vertAnchor="text" w:horzAnchor="margin" w:tblpXSpec="center" w:tblpY="1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8"/>
      </w:tblGrid>
      <w:tr w:rsidR="006971AF" w:rsidRPr="00F71993" w:rsidTr="006971AF">
        <w:tc>
          <w:tcPr>
            <w:tcW w:w="7508" w:type="dxa"/>
            <w:shd w:val="clear" w:color="auto" w:fill="auto"/>
          </w:tcPr>
          <w:p w:rsidR="006971AF" w:rsidRPr="00D641A0" w:rsidRDefault="006971AF" w:rsidP="00B55CC8">
            <w:pPr>
              <w:pStyle w:val="ListParagraph"/>
              <w:widowControl w:val="0"/>
              <w:tabs>
                <w:tab w:val="left" w:pos="720"/>
              </w:tabs>
              <w:ind w:left="0"/>
              <w:jc w:val="center"/>
              <w:rPr>
                <w:rFonts w:asciiTheme="majorHAnsi" w:hAnsiTheme="majorHAnsi" w:cstheme="majorHAnsi"/>
                <w:sz w:val="24"/>
                <w:szCs w:val="24"/>
                <w:lang w:val="it-IT"/>
              </w:rPr>
            </w:pPr>
            <w:r w:rsidRPr="00D641A0">
              <w:rPr>
                <w:rFonts w:asciiTheme="majorHAnsi" w:hAnsiTheme="majorHAnsi" w:cstheme="majorHAnsi"/>
                <w:sz w:val="24"/>
                <w:szCs w:val="24"/>
                <w:lang w:val="it-IT"/>
              </w:rPr>
              <w:t>Thưởng tăng trưởng doanh số quý =</w:t>
            </w:r>
          </w:p>
          <w:p w:rsidR="006971AF" w:rsidRPr="00D641A0" w:rsidRDefault="006971AF" w:rsidP="00B55CC8">
            <w:pPr>
              <w:pStyle w:val="ListParagraph"/>
              <w:widowControl w:val="0"/>
              <w:tabs>
                <w:tab w:val="left" w:pos="720"/>
              </w:tabs>
              <w:ind w:left="0"/>
              <w:jc w:val="center"/>
              <w:rPr>
                <w:rFonts w:asciiTheme="majorHAnsi" w:hAnsiTheme="majorHAnsi" w:cstheme="majorHAnsi"/>
                <w:sz w:val="24"/>
                <w:szCs w:val="24"/>
                <w:lang w:val="it-IT"/>
              </w:rPr>
            </w:pPr>
            <w:r w:rsidRPr="00D641A0">
              <w:rPr>
                <w:rFonts w:asciiTheme="majorHAnsi" w:hAnsiTheme="majorHAnsi" w:cstheme="majorHAnsi"/>
                <w:sz w:val="24"/>
                <w:szCs w:val="24"/>
                <w:lang w:val="it-IT"/>
              </w:rPr>
              <w:t>Tổng FYP của TĐL trong quý hiện tại x Tỷ lệ thưởng</w:t>
            </w:r>
          </w:p>
        </w:tc>
      </w:tr>
    </w:tbl>
    <w:p w:rsidR="00F6720B" w:rsidRPr="00D641A0" w:rsidRDefault="00F6720B" w:rsidP="00B55CC8">
      <w:pPr>
        <w:pStyle w:val="ListParagraph"/>
        <w:widowControl w:val="0"/>
        <w:numPr>
          <w:ilvl w:val="0"/>
          <w:numId w:val="5"/>
        </w:numPr>
        <w:tabs>
          <w:tab w:val="left" w:pos="720"/>
        </w:tabs>
        <w:spacing w:line="360" w:lineRule="auto"/>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 xml:space="preserve">Chỉ tiêu và Mức thưởng: </w:t>
      </w:r>
      <w:r w:rsidR="009B7349">
        <w:rPr>
          <w:rFonts w:asciiTheme="majorHAnsi" w:hAnsiTheme="majorHAnsi" w:cstheme="majorHAnsi"/>
          <w:sz w:val="24"/>
          <w:szCs w:val="24"/>
          <w:lang w:val="it-IT"/>
        </w:rPr>
        <w:t>TĐL</w:t>
      </w:r>
      <w:r w:rsidRPr="00D641A0">
        <w:rPr>
          <w:rFonts w:asciiTheme="majorHAnsi" w:hAnsiTheme="majorHAnsi" w:cstheme="majorHAnsi"/>
          <w:sz w:val="24"/>
          <w:szCs w:val="24"/>
          <w:lang w:val="it-IT"/>
        </w:rPr>
        <w:t xml:space="preserve"> đạt chỉ tiêu về </w:t>
      </w:r>
      <w:r w:rsidR="009B7349">
        <w:rPr>
          <w:rFonts w:asciiTheme="majorHAnsi" w:hAnsiTheme="majorHAnsi" w:cstheme="majorHAnsi"/>
          <w:sz w:val="24"/>
          <w:szCs w:val="24"/>
          <w:lang w:val="it-IT"/>
        </w:rPr>
        <w:t xml:space="preserve">(1) </w:t>
      </w:r>
      <w:r w:rsidRPr="00D641A0">
        <w:rPr>
          <w:rFonts w:asciiTheme="majorHAnsi" w:hAnsiTheme="majorHAnsi" w:cstheme="majorHAnsi"/>
          <w:sz w:val="24"/>
          <w:szCs w:val="24"/>
          <w:lang w:val="it-IT"/>
        </w:rPr>
        <w:t>tăng trưởng</w:t>
      </w:r>
      <w:r w:rsidR="009B7349">
        <w:rPr>
          <w:rFonts w:asciiTheme="majorHAnsi" w:hAnsiTheme="majorHAnsi" w:cstheme="majorHAnsi"/>
          <w:sz w:val="24"/>
          <w:szCs w:val="24"/>
          <w:lang w:val="it-IT"/>
        </w:rPr>
        <w:t xml:space="preserve"> doanh thu FYP, (2) Tỷ lệ TVBH có hoạt động và (3) Tỷ lệ TVBH mới có hoạt động trên tổng số Quản lý TVBH, </w:t>
      </w:r>
      <w:r w:rsidRPr="00D641A0">
        <w:rPr>
          <w:rFonts w:asciiTheme="majorHAnsi" w:hAnsiTheme="majorHAnsi" w:cstheme="majorHAnsi"/>
          <w:sz w:val="24"/>
          <w:szCs w:val="24"/>
          <w:lang w:val="it-IT"/>
        </w:rPr>
        <w:t xml:space="preserve">sẽ được thưởng tăng trưởng doanh số quý theo mức như sau: </w:t>
      </w:r>
    </w:p>
    <w:p w:rsidR="00B55CC8" w:rsidRDefault="00B55CC8" w:rsidP="00B55CC8">
      <w:pPr>
        <w:widowControl w:val="0"/>
        <w:spacing w:before="240" w:after="160" w:line="259" w:lineRule="auto"/>
        <w:rPr>
          <w:rFonts w:asciiTheme="majorHAnsi" w:hAnsiTheme="majorHAnsi" w:cstheme="majorHAnsi"/>
          <w:b/>
          <w:sz w:val="24"/>
          <w:szCs w:val="24"/>
          <w:u w:val="single"/>
          <w:lang w:val="it-IT"/>
        </w:rPr>
      </w:pPr>
    </w:p>
    <w:p w:rsidR="00B55CC8" w:rsidRDefault="00B55CC8" w:rsidP="00B55CC8">
      <w:pPr>
        <w:widowControl w:val="0"/>
        <w:spacing w:before="240" w:after="160" w:line="259" w:lineRule="auto"/>
        <w:rPr>
          <w:rFonts w:asciiTheme="majorHAnsi" w:hAnsiTheme="majorHAnsi" w:cstheme="majorHAnsi"/>
          <w:b/>
          <w:sz w:val="24"/>
          <w:szCs w:val="24"/>
          <w:u w:val="single"/>
          <w:lang w:val="it-IT"/>
        </w:rPr>
      </w:pPr>
    </w:p>
    <w:p w:rsidR="00F6720B" w:rsidRPr="009170C7" w:rsidRDefault="00F6720B" w:rsidP="00B55CC8">
      <w:pPr>
        <w:widowControl w:val="0"/>
        <w:spacing w:before="240" w:after="160" w:line="259" w:lineRule="auto"/>
        <w:rPr>
          <w:rFonts w:asciiTheme="majorHAnsi" w:hAnsiTheme="majorHAnsi" w:cstheme="majorHAnsi"/>
          <w:b/>
          <w:sz w:val="24"/>
          <w:szCs w:val="24"/>
          <w:lang w:val="it-IT"/>
        </w:rPr>
      </w:pPr>
      <w:r w:rsidRPr="00D641A0">
        <w:rPr>
          <w:rFonts w:asciiTheme="majorHAnsi" w:hAnsiTheme="majorHAnsi" w:cstheme="majorHAnsi"/>
          <w:b/>
          <w:sz w:val="24"/>
          <w:szCs w:val="24"/>
          <w:u w:val="single"/>
          <w:lang w:val="it-IT"/>
        </w:rPr>
        <w:lastRenderedPageBreak/>
        <w:t xml:space="preserve">Bảng 03: </w:t>
      </w:r>
      <w:r w:rsidRPr="009170C7">
        <w:rPr>
          <w:rFonts w:asciiTheme="majorHAnsi" w:hAnsiTheme="majorHAnsi" w:cstheme="majorHAnsi"/>
          <w:b/>
          <w:sz w:val="24"/>
          <w:szCs w:val="24"/>
          <w:lang w:val="it-IT"/>
        </w:rPr>
        <w:t>Chỉ tiêu về tăng trưởng và Tỷ lệ thưởng</w:t>
      </w:r>
    </w:p>
    <w:tbl>
      <w:tblPr>
        <w:tblStyle w:val="TableGrid"/>
        <w:tblW w:w="0" w:type="auto"/>
        <w:tblInd w:w="607" w:type="dxa"/>
        <w:tblLook w:val="04A0" w:firstRow="1" w:lastRow="0" w:firstColumn="1" w:lastColumn="0" w:noHBand="0" w:noVBand="1"/>
      </w:tblPr>
      <w:tblGrid>
        <w:gridCol w:w="1427"/>
        <w:gridCol w:w="1363"/>
        <w:gridCol w:w="1363"/>
        <w:gridCol w:w="1362"/>
        <w:gridCol w:w="1394"/>
        <w:gridCol w:w="1394"/>
      </w:tblGrid>
      <w:tr w:rsidR="00C623EB" w:rsidRPr="00F71993" w:rsidTr="00B55CC8">
        <w:tc>
          <w:tcPr>
            <w:tcW w:w="1427" w:type="dxa"/>
            <w:vMerge w:val="restart"/>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b/>
                <w:sz w:val="24"/>
                <w:szCs w:val="24"/>
                <w:lang w:val="pt-BR"/>
              </w:rPr>
            </w:pPr>
            <w:r w:rsidRPr="00B24B10">
              <w:rPr>
                <w:rStyle w:val="MessageHeaderLabel"/>
                <w:rFonts w:asciiTheme="majorHAnsi" w:hAnsiTheme="majorHAnsi" w:cstheme="majorHAnsi"/>
                <w:b/>
                <w:sz w:val="24"/>
                <w:szCs w:val="24"/>
                <w:lang w:val="pt-BR"/>
              </w:rPr>
              <w:t xml:space="preserve">Tổng FYP của TĐL trong quý hiện tại </w:t>
            </w:r>
            <w:r w:rsidRPr="00B24B10">
              <w:rPr>
                <w:rStyle w:val="MessageHeaderLabel"/>
                <w:rFonts w:asciiTheme="majorHAnsi" w:hAnsiTheme="majorHAnsi" w:cstheme="majorHAnsi"/>
                <w:b/>
                <w:i/>
                <w:sz w:val="24"/>
                <w:szCs w:val="24"/>
                <w:lang w:val="pt-BR"/>
              </w:rPr>
              <w:t>(đồng)</w:t>
            </w:r>
          </w:p>
        </w:tc>
        <w:tc>
          <w:tcPr>
            <w:tcW w:w="6876" w:type="dxa"/>
            <w:gridSpan w:val="5"/>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b/>
                <w:sz w:val="24"/>
                <w:szCs w:val="24"/>
                <w:lang w:val="pt-BR"/>
              </w:rPr>
            </w:pPr>
            <w:r w:rsidRPr="00B24B10">
              <w:rPr>
                <w:rStyle w:val="MessageHeaderLabel"/>
                <w:rFonts w:asciiTheme="majorHAnsi" w:hAnsiTheme="majorHAnsi" w:cstheme="majorHAnsi"/>
                <w:b/>
                <w:sz w:val="24"/>
                <w:szCs w:val="24"/>
                <w:lang w:val="pt-BR"/>
              </w:rPr>
              <w:t>Tỷ lệ tăng trưởng FYP quý hiện tại so với FYP quý cùng kỳ năm trước của TĐL</w:t>
            </w:r>
          </w:p>
        </w:tc>
      </w:tr>
      <w:tr w:rsidR="00C623EB" w:rsidRPr="00B24B10" w:rsidTr="00B55CC8">
        <w:trPr>
          <w:trHeight w:val="825"/>
        </w:trPr>
        <w:tc>
          <w:tcPr>
            <w:tcW w:w="1427" w:type="dxa"/>
            <w:vMerge/>
          </w:tcPr>
          <w:p w:rsidR="00C623EB" w:rsidRPr="00B24B10" w:rsidRDefault="00C623EB" w:rsidP="00B55CC8">
            <w:pPr>
              <w:widowControl w:val="0"/>
              <w:spacing w:before="120" w:after="120" w:line="360" w:lineRule="auto"/>
              <w:jc w:val="both"/>
              <w:rPr>
                <w:rStyle w:val="MessageHeaderLabel"/>
                <w:rFonts w:asciiTheme="majorHAnsi" w:hAnsiTheme="majorHAnsi" w:cstheme="majorHAnsi"/>
                <w:sz w:val="24"/>
                <w:szCs w:val="24"/>
                <w:lang w:val="pt-BR"/>
              </w:rPr>
            </w:pP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15% đến</w:t>
            </w:r>
          </w:p>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dưới 30%</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30% đến</w:t>
            </w:r>
          </w:p>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dưới 50%</w:t>
            </w:r>
          </w:p>
        </w:tc>
        <w:tc>
          <w:tcPr>
            <w:tcW w:w="1362"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50% đến</w:t>
            </w:r>
          </w:p>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dưới 70%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70% đến</w:t>
            </w:r>
          </w:p>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dưới 100%</w:t>
            </w:r>
          </w:p>
        </w:tc>
        <w:tc>
          <w:tcPr>
            <w:tcW w:w="1394" w:type="dxa"/>
            <w:vAlign w:val="center"/>
          </w:tcPr>
          <w:p w:rsidR="00C623EB" w:rsidRPr="00B24B10" w:rsidRDefault="00C623EB" w:rsidP="00B55CC8">
            <w:pPr>
              <w:widowControl w:val="0"/>
              <w:spacing w:before="120" w:after="120" w:line="360" w:lineRule="auto"/>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100% trở lên</w:t>
            </w:r>
          </w:p>
        </w:tc>
      </w:tr>
      <w:tr w:rsidR="00C623EB" w:rsidRPr="00F71993" w:rsidTr="00B55CC8">
        <w:trPr>
          <w:trHeight w:val="444"/>
        </w:trPr>
        <w:tc>
          <w:tcPr>
            <w:tcW w:w="1427" w:type="dxa"/>
            <w:vMerge/>
          </w:tcPr>
          <w:p w:rsidR="00C623EB" w:rsidRPr="00B24B10" w:rsidRDefault="00C623EB" w:rsidP="00B55CC8">
            <w:pPr>
              <w:widowControl w:val="0"/>
              <w:spacing w:before="120" w:after="120" w:line="360" w:lineRule="auto"/>
              <w:jc w:val="both"/>
              <w:rPr>
                <w:rStyle w:val="MessageHeaderLabel"/>
                <w:rFonts w:asciiTheme="majorHAnsi" w:hAnsiTheme="majorHAnsi" w:cstheme="majorHAnsi"/>
                <w:sz w:val="24"/>
                <w:szCs w:val="24"/>
                <w:lang w:val="pt-BR"/>
              </w:rPr>
            </w:pPr>
          </w:p>
        </w:tc>
        <w:tc>
          <w:tcPr>
            <w:tcW w:w="6876" w:type="dxa"/>
            <w:gridSpan w:val="5"/>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 xml:space="preserve">Tỷ lệ thưởng </w:t>
            </w:r>
            <w:r w:rsidRPr="00B24B10">
              <w:rPr>
                <w:rStyle w:val="MessageHeaderLabel"/>
                <w:rFonts w:asciiTheme="majorHAnsi" w:hAnsiTheme="majorHAnsi" w:cstheme="majorHAnsi"/>
                <w:i/>
                <w:sz w:val="24"/>
                <w:szCs w:val="24"/>
                <w:lang w:val="pt-BR"/>
              </w:rPr>
              <w:t>(% FYP quý hiện tại)</w:t>
            </w:r>
          </w:p>
        </w:tc>
      </w:tr>
      <w:tr w:rsidR="00C623EB" w:rsidRPr="00B24B10" w:rsidTr="00B55CC8">
        <w:tc>
          <w:tcPr>
            <w:tcW w:w="1427" w:type="dxa"/>
            <w:vAlign w:val="center"/>
          </w:tcPr>
          <w:p w:rsidR="00C623EB" w:rsidRPr="00B24B10" w:rsidRDefault="00C623EB" w:rsidP="00B55CC8">
            <w:pPr>
              <w:widowControl w:val="0"/>
              <w:spacing w:before="120" w:after="120" w:line="360" w:lineRule="auto"/>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Dưới 2,5 tỷ</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0</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1,5</w:t>
            </w:r>
          </w:p>
        </w:tc>
        <w:tc>
          <w:tcPr>
            <w:tcW w:w="1362"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3,0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4,0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5,0</w:t>
            </w:r>
          </w:p>
        </w:tc>
      </w:tr>
      <w:tr w:rsidR="00C623EB" w:rsidRPr="00B24B10" w:rsidTr="00B55CC8">
        <w:trPr>
          <w:trHeight w:val="794"/>
        </w:trPr>
        <w:tc>
          <w:tcPr>
            <w:tcW w:w="1427" w:type="dxa"/>
            <w:vAlign w:val="center"/>
          </w:tcPr>
          <w:p w:rsidR="00C623EB" w:rsidRPr="00B24B10" w:rsidRDefault="00C623EB" w:rsidP="00B55CC8">
            <w:pPr>
              <w:widowControl w:val="0"/>
              <w:spacing w:before="120" w:after="120" w:line="360" w:lineRule="auto"/>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2,5 tỷ đến dưới 5,0 tỷ</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1,0</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2,0</w:t>
            </w:r>
          </w:p>
        </w:tc>
        <w:tc>
          <w:tcPr>
            <w:tcW w:w="1362"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4,0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6,0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8,0</w:t>
            </w:r>
          </w:p>
        </w:tc>
      </w:tr>
      <w:tr w:rsidR="00C623EB" w:rsidRPr="00B24B10" w:rsidTr="00B55CC8">
        <w:trPr>
          <w:trHeight w:val="787"/>
        </w:trPr>
        <w:tc>
          <w:tcPr>
            <w:tcW w:w="1427" w:type="dxa"/>
            <w:vAlign w:val="center"/>
          </w:tcPr>
          <w:p w:rsidR="00C623EB" w:rsidRPr="00B24B10" w:rsidRDefault="00C623EB" w:rsidP="00B55CC8">
            <w:pPr>
              <w:widowControl w:val="0"/>
              <w:spacing w:before="120" w:after="120" w:line="360" w:lineRule="auto"/>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5,0 tỷ đến dưới 7,0 tỷ</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2,0</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4,0</w:t>
            </w:r>
          </w:p>
        </w:tc>
        <w:tc>
          <w:tcPr>
            <w:tcW w:w="1362"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6,0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8,0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10,0</w:t>
            </w:r>
          </w:p>
        </w:tc>
      </w:tr>
      <w:tr w:rsidR="00C623EB" w:rsidRPr="00B24B10" w:rsidTr="00B55CC8">
        <w:trPr>
          <w:trHeight w:val="376"/>
        </w:trPr>
        <w:tc>
          <w:tcPr>
            <w:tcW w:w="1427" w:type="dxa"/>
            <w:vAlign w:val="center"/>
          </w:tcPr>
          <w:p w:rsidR="00C623EB" w:rsidRPr="00B24B10" w:rsidRDefault="00C623EB" w:rsidP="00B55CC8">
            <w:pPr>
              <w:widowControl w:val="0"/>
              <w:spacing w:before="120" w:after="120" w:line="360" w:lineRule="auto"/>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Từ 7,0 tỷ trở lên</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3,0</w:t>
            </w:r>
          </w:p>
        </w:tc>
        <w:tc>
          <w:tcPr>
            <w:tcW w:w="1363"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5,0</w:t>
            </w:r>
          </w:p>
        </w:tc>
        <w:tc>
          <w:tcPr>
            <w:tcW w:w="1362"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7,0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9,0</w:t>
            </w:r>
          </w:p>
        </w:tc>
        <w:tc>
          <w:tcPr>
            <w:tcW w:w="1394" w:type="dxa"/>
            <w:vAlign w:val="center"/>
          </w:tcPr>
          <w:p w:rsidR="00C623EB" w:rsidRPr="00B24B10" w:rsidRDefault="00C623EB" w:rsidP="00B55CC8">
            <w:pPr>
              <w:widowControl w:val="0"/>
              <w:spacing w:before="120" w:after="120" w:line="360" w:lineRule="auto"/>
              <w:jc w:val="center"/>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12,0</w:t>
            </w:r>
          </w:p>
        </w:tc>
      </w:tr>
    </w:tbl>
    <w:p w:rsidR="009B7349" w:rsidRPr="00B24B10" w:rsidRDefault="002642FD" w:rsidP="00B55CC8">
      <w:pPr>
        <w:pStyle w:val="ListParagraph"/>
        <w:widowControl w:val="0"/>
        <w:spacing w:before="240" w:after="240"/>
        <w:jc w:val="both"/>
        <w:rPr>
          <w:rFonts w:asciiTheme="majorHAnsi" w:hAnsiTheme="majorHAnsi" w:cstheme="majorHAnsi"/>
          <w:b/>
          <w:sz w:val="24"/>
          <w:szCs w:val="24"/>
          <w:u w:val="single"/>
          <w:lang w:val="it-IT"/>
        </w:rPr>
      </w:pPr>
      <w:r w:rsidRPr="00B24B10">
        <w:rPr>
          <w:rFonts w:asciiTheme="majorHAnsi" w:hAnsiTheme="majorHAnsi" w:cstheme="majorHAnsi"/>
          <w:b/>
          <w:sz w:val="24"/>
          <w:szCs w:val="24"/>
          <w:u w:val="single"/>
          <w:lang w:val="it-IT"/>
        </w:rPr>
        <w:t>Điều kiện 1:</w:t>
      </w:r>
    </w:p>
    <w:p w:rsidR="002642FD" w:rsidRPr="00B24B10" w:rsidRDefault="002642FD" w:rsidP="00B55CC8">
      <w:pPr>
        <w:pStyle w:val="ListParagraph"/>
        <w:widowControl w:val="0"/>
        <w:numPr>
          <w:ilvl w:val="1"/>
          <w:numId w:val="24"/>
        </w:numPr>
        <w:spacing w:before="120" w:line="360" w:lineRule="auto"/>
        <w:ind w:left="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 xml:space="preserve">TĐL nhận được 100% khoản thưởng tăng trưởng như bảng trên nếu TĐL đồng thời đạt được chỉ tiêu tối thiểu: </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w:t>
      </w:r>
      <w:r w:rsidRPr="00B24B10">
        <w:rPr>
          <w:rStyle w:val="MessageHeaderLabel"/>
          <w:rFonts w:asciiTheme="majorHAnsi" w:hAnsiTheme="majorHAnsi" w:cstheme="majorHAnsi"/>
          <w:sz w:val="24"/>
          <w:szCs w:val="24"/>
          <w:lang w:val="pt-BR"/>
        </w:rPr>
        <w:tab/>
        <w:t>Tỷ lệ Hoạt Động Trung Bình Quý Của TĐL: 25%</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w:t>
      </w:r>
      <w:r w:rsidRPr="00B24B10">
        <w:rPr>
          <w:rStyle w:val="MessageHeaderLabel"/>
          <w:rFonts w:asciiTheme="majorHAnsi" w:hAnsiTheme="majorHAnsi" w:cstheme="majorHAnsi"/>
          <w:sz w:val="24"/>
          <w:szCs w:val="24"/>
          <w:lang w:val="pt-BR"/>
        </w:rPr>
        <w:tab/>
        <w:t>Tỷ lệ số TVBH mới có hoạt động trên số Quản lý TVBH: 02</w:t>
      </w:r>
    </w:p>
    <w:p w:rsidR="002642FD" w:rsidRPr="00B24B10" w:rsidRDefault="002642FD" w:rsidP="00B55CC8">
      <w:pPr>
        <w:pStyle w:val="ListParagraph"/>
        <w:widowControl w:val="0"/>
        <w:numPr>
          <w:ilvl w:val="1"/>
          <w:numId w:val="24"/>
        </w:numPr>
        <w:spacing w:line="360" w:lineRule="auto"/>
        <w:ind w:left="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TĐL nhận được 75% khoản thưởng tăng trưởng như bảng trên nếu TĐL chỉ đạt được 01 trong 02 chỉ tiêu tối thiểu:</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w:t>
      </w:r>
      <w:r w:rsidRPr="00B24B10">
        <w:rPr>
          <w:rStyle w:val="MessageHeaderLabel"/>
          <w:rFonts w:asciiTheme="majorHAnsi" w:hAnsiTheme="majorHAnsi" w:cstheme="majorHAnsi"/>
          <w:sz w:val="24"/>
          <w:szCs w:val="24"/>
          <w:lang w:val="pt-BR"/>
        </w:rPr>
        <w:tab/>
        <w:t>Tỷ lệ Hoạt Động Trung Bình Quý Của TĐL: 25%</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w:t>
      </w:r>
      <w:r w:rsidRPr="00B24B10">
        <w:rPr>
          <w:rStyle w:val="MessageHeaderLabel"/>
          <w:rFonts w:asciiTheme="majorHAnsi" w:hAnsiTheme="majorHAnsi" w:cstheme="majorHAnsi"/>
          <w:sz w:val="24"/>
          <w:szCs w:val="24"/>
          <w:lang w:val="pt-BR"/>
        </w:rPr>
        <w:tab/>
        <w:t>Tỷ lệ số TVBH mới có hoạt động trên số Quản lý TVBH: 02</w:t>
      </w:r>
    </w:p>
    <w:p w:rsidR="002642FD" w:rsidRPr="00B24B10" w:rsidRDefault="002642FD" w:rsidP="00B55CC8">
      <w:pPr>
        <w:pStyle w:val="ListParagraph"/>
        <w:widowControl w:val="0"/>
        <w:numPr>
          <w:ilvl w:val="1"/>
          <w:numId w:val="24"/>
        </w:numPr>
        <w:spacing w:line="360" w:lineRule="auto"/>
        <w:ind w:left="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TĐL nhận được 50% khoản thưởng tăng trưởng như bảng trên nếu TĐL không đạt đồng thời cả 02 chỉ tiêu tối thiểu:</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(1)</w:t>
      </w:r>
      <w:r w:rsidRPr="00B24B10">
        <w:rPr>
          <w:rStyle w:val="MessageHeaderLabel"/>
          <w:rFonts w:asciiTheme="majorHAnsi" w:hAnsiTheme="majorHAnsi" w:cstheme="majorHAnsi"/>
          <w:sz w:val="24"/>
          <w:szCs w:val="24"/>
          <w:lang w:val="pt-BR"/>
        </w:rPr>
        <w:tab/>
        <w:t>Tỷ lệ Hoạt Động Trung Bình Quý Của TĐL: 25%</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w:t>
      </w:r>
      <w:r w:rsidRPr="00B24B10">
        <w:rPr>
          <w:rStyle w:val="MessageHeaderLabel"/>
          <w:rFonts w:asciiTheme="majorHAnsi" w:hAnsiTheme="majorHAnsi" w:cstheme="majorHAnsi"/>
          <w:sz w:val="24"/>
          <w:szCs w:val="24"/>
          <w:lang w:val="pt-BR"/>
        </w:rPr>
        <w:tab/>
        <w:t>Tỷ lệ số TVBH mới có hoạt động trên số Quản lý TVBH: 02</w:t>
      </w:r>
    </w:p>
    <w:p w:rsidR="002642FD" w:rsidRPr="00B24B10" w:rsidRDefault="002642FD" w:rsidP="00B55CC8">
      <w:pPr>
        <w:pStyle w:val="ListParagraph"/>
        <w:widowControl w:val="0"/>
        <w:numPr>
          <w:ilvl w:val="1"/>
          <w:numId w:val="24"/>
        </w:numPr>
        <w:spacing w:line="360" w:lineRule="auto"/>
        <w:ind w:left="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 xml:space="preserve">TĐL nhận được 125% khoản thưởng tăng trưởng như bảng trên nếu TĐL đồng thời đạt được mức chỉ tiêu: </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lastRenderedPageBreak/>
        <w:t>(1)</w:t>
      </w:r>
      <w:r w:rsidRPr="00B24B10">
        <w:rPr>
          <w:rStyle w:val="MessageHeaderLabel"/>
          <w:rFonts w:asciiTheme="majorHAnsi" w:hAnsiTheme="majorHAnsi" w:cstheme="majorHAnsi"/>
          <w:sz w:val="24"/>
          <w:szCs w:val="24"/>
          <w:lang w:val="pt-BR"/>
        </w:rPr>
        <w:tab/>
        <w:t>Tỷ lệ Hoạt Động Trung Bình Quý Của TĐL: 35%</w:t>
      </w:r>
    </w:p>
    <w:p w:rsidR="00B24B10" w:rsidRDefault="002642FD" w:rsidP="00B55CC8">
      <w:pPr>
        <w:widowControl w:val="0"/>
        <w:tabs>
          <w:tab w:val="left" w:pos="1080"/>
        </w:tabs>
        <w:spacing w:line="360" w:lineRule="auto"/>
        <w:ind w:firstLine="72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(2)</w:t>
      </w:r>
      <w:r w:rsidRPr="00B24B10">
        <w:rPr>
          <w:rStyle w:val="MessageHeaderLabel"/>
          <w:rFonts w:asciiTheme="majorHAnsi" w:hAnsiTheme="majorHAnsi" w:cstheme="majorHAnsi"/>
          <w:sz w:val="24"/>
          <w:szCs w:val="24"/>
          <w:lang w:val="pt-BR"/>
        </w:rPr>
        <w:tab/>
        <w:t>Tỷ lệ số TVBH mới có hoạt động trên số Quản lý TVBH: 03</w:t>
      </w:r>
    </w:p>
    <w:p w:rsidR="002642FD" w:rsidRPr="00B24B10" w:rsidRDefault="002642FD" w:rsidP="00B55CC8">
      <w:pPr>
        <w:widowControl w:val="0"/>
        <w:tabs>
          <w:tab w:val="left" w:pos="1080"/>
        </w:tabs>
        <w:spacing w:line="360" w:lineRule="auto"/>
        <w:ind w:firstLine="720"/>
        <w:jc w:val="both"/>
        <w:rPr>
          <w:rStyle w:val="MessageHeaderLabel"/>
          <w:rFonts w:asciiTheme="majorHAnsi" w:hAnsiTheme="majorHAnsi" w:cstheme="majorHAnsi"/>
          <w:b/>
          <w:sz w:val="24"/>
          <w:szCs w:val="24"/>
          <w:u w:val="single"/>
          <w:lang w:val="pt-BR"/>
        </w:rPr>
      </w:pPr>
      <w:r w:rsidRPr="00B24B10">
        <w:rPr>
          <w:rStyle w:val="MessageHeaderLabel"/>
          <w:rFonts w:asciiTheme="majorHAnsi" w:hAnsiTheme="majorHAnsi" w:cstheme="majorHAnsi"/>
          <w:b/>
          <w:sz w:val="24"/>
          <w:szCs w:val="24"/>
          <w:u w:val="single"/>
          <w:lang w:val="pt-BR"/>
        </w:rPr>
        <w:t>Điều kiện 2:</w:t>
      </w:r>
    </w:p>
    <w:p w:rsidR="002642FD" w:rsidRPr="00B24B10" w:rsidRDefault="002642FD" w:rsidP="00B55CC8">
      <w:pPr>
        <w:widowControl w:val="0"/>
        <w:spacing w:before="120" w:after="120" w:line="360" w:lineRule="auto"/>
        <w:ind w:left="360"/>
        <w:jc w:val="both"/>
        <w:rPr>
          <w:rStyle w:val="MessageHeaderLabel"/>
          <w:rFonts w:asciiTheme="majorHAnsi" w:hAnsiTheme="majorHAnsi" w:cstheme="majorHAnsi"/>
          <w:sz w:val="24"/>
          <w:szCs w:val="24"/>
          <w:lang w:val="pt-BR"/>
        </w:rPr>
      </w:pPr>
      <w:r w:rsidRPr="00B24B10">
        <w:rPr>
          <w:rStyle w:val="MessageHeaderLabel"/>
          <w:rFonts w:asciiTheme="majorHAnsi" w:hAnsiTheme="majorHAnsi" w:cstheme="majorHAnsi"/>
          <w:sz w:val="24"/>
          <w:szCs w:val="24"/>
          <w:lang w:val="pt-BR"/>
        </w:rPr>
        <w:t xml:space="preserve">Khoản tiền thưởng tăng trưởng doanh số quý cuối cùng mà mỗi văn phòng GA nhận được phụ thuộc vào điều kiện về Tỷ lệ duy trì Hợp đồng năm 2 của toàn văn phòng vào tháng cuối quý, được tính trên tỷ lệ phần trăm của kết quả sau khi áp dụng “Điều kiện 1” như sau: </w:t>
      </w:r>
    </w:p>
    <w:p w:rsidR="002642FD" w:rsidRPr="00B24B10" w:rsidRDefault="002642FD" w:rsidP="00B55CC8">
      <w:pPr>
        <w:pStyle w:val="ListParagraph"/>
        <w:widowControl w:val="0"/>
        <w:numPr>
          <w:ilvl w:val="0"/>
          <w:numId w:val="25"/>
        </w:numPr>
        <w:spacing w:before="120" w:after="120" w:line="360" w:lineRule="auto"/>
        <w:jc w:val="both"/>
        <w:rPr>
          <w:rStyle w:val="MessageHeaderLabel"/>
          <w:rFonts w:asciiTheme="majorHAnsi" w:hAnsiTheme="majorHAnsi" w:cstheme="majorHAnsi"/>
          <w:b/>
          <w:i/>
          <w:sz w:val="24"/>
          <w:szCs w:val="24"/>
          <w:lang w:val="pt-BR"/>
        </w:rPr>
      </w:pPr>
      <w:r w:rsidRPr="00B24B10">
        <w:rPr>
          <w:rStyle w:val="MessageHeaderLabel"/>
          <w:rFonts w:asciiTheme="majorHAnsi" w:hAnsiTheme="majorHAnsi" w:cstheme="majorHAnsi"/>
          <w:b/>
          <w:i/>
          <w:sz w:val="24"/>
          <w:szCs w:val="24"/>
          <w:lang w:val="pt-BR"/>
        </w:rPr>
        <w:t>Tỷ lệ duy trì Hợp đồng năm 2 đạt từ 70% trở lên: Nhận 100% khoản thưởng;</w:t>
      </w:r>
    </w:p>
    <w:p w:rsidR="002642FD" w:rsidRPr="00B24B10" w:rsidRDefault="002642FD" w:rsidP="00B55CC8">
      <w:pPr>
        <w:pStyle w:val="ListParagraph"/>
        <w:widowControl w:val="0"/>
        <w:numPr>
          <w:ilvl w:val="0"/>
          <w:numId w:val="25"/>
        </w:numPr>
        <w:spacing w:before="120" w:after="120" w:line="360" w:lineRule="auto"/>
        <w:jc w:val="both"/>
        <w:rPr>
          <w:rStyle w:val="MessageHeaderLabel"/>
          <w:rFonts w:asciiTheme="majorHAnsi" w:hAnsiTheme="majorHAnsi" w:cstheme="majorHAnsi"/>
          <w:b/>
          <w:i/>
          <w:sz w:val="24"/>
          <w:szCs w:val="24"/>
          <w:lang w:val="pt-BR"/>
        </w:rPr>
      </w:pPr>
      <w:r w:rsidRPr="00B24B10">
        <w:rPr>
          <w:rStyle w:val="MessageHeaderLabel"/>
          <w:rFonts w:asciiTheme="majorHAnsi" w:hAnsiTheme="majorHAnsi" w:cstheme="majorHAnsi"/>
          <w:b/>
          <w:i/>
          <w:sz w:val="24"/>
          <w:szCs w:val="24"/>
          <w:lang w:val="pt-BR"/>
        </w:rPr>
        <w:t>Tỷ lệ duy trì Hợp đồng năm 2 đạt từ 60% đến dưới 70%: Nhận 75% khoản thưởng;</w:t>
      </w:r>
    </w:p>
    <w:p w:rsidR="002642FD" w:rsidRPr="00B24B10" w:rsidRDefault="002642FD" w:rsidP="00B55CC8">
      <w:pPr>
        <w:pStyle w:val="ListParagraph"/>
        <w:widowControl w:val="0"/>
        <w:numPr>
          <w:ilvl w:val="0"/>
          <w:numId w:val="25"/>
        </w:numPr>
        <w:spacing w:before="120" w:after="120" w:line="360" w:lineRule="auto"/>
        <w:jc w:val="both"/>
        <w:rPr>
          <w:rStyle w:val="MessageHeaderLabel"/>
          <w:rFonts w:asciiTheme="majorHAnsi" w:hAnsiTheme="majorHAnsi" w:cstheme="majorHAnsi"/>
          <w:b/>
          <w:i/>
          <w:sz w:val="24"/>
          <w:szCs w:val="24"/>
          <w:lang w:val="pt-BR"/>
        </w:rPr>
      </w:pPr>
      <w:r w:rsidRPr="00B24B10">
        <w:rPr>
          <w:rStyle w:val="MessageHeaderLabel"/>
          <w:rFonts w:asciiTheme="majorHAnsi" w:hAnsiTheme="majorHAnsi" w:cstheme="majorHAnsi"/>
          <w:b/>
          <w:i/>
          <w:sz w:val="24"/>
          <w:szCs w:val="24"/>
          <w:lang w:val="pt-BR"/>
        </w:rPr>
        <w:t>Tỷ lệ duy trì Hợp đồng năm 2 đạt từ 50% đến dưới 60%: Nhận 50% khoản thưởng;</w:t>
      </w:r>
    </w:p>
    <w:p w:rsidR="002642FD" w:rsidRPr="00B24B10" w:rsidRDefault="002642FD" w:rsidP="00B55CC8">
      <w:pPr>
        <w:pStyle w:val="ListParagraph"/>
        <w:widowControl w:val="0"/>
        <w:numPr>
          <w:ilvl w:val="0"/>
          <w:numId w:val="25"/>
        </w:numPr>
        <w:spacing w:before="120" w:after="120" w:line="360" w:lineRule="auto"/>
        <w:jc w:val="both"/>
        <w:rPr>
          <w:rStyle w:val="MessageHeaderLabel"/>
          <w:rFonts w:asciiTheme="majorHAnsi" w:hAnsiTheme="majorHAnsi" w:cstheme="majorHAnsi"/>
          <w:b/>
          <w:i/>
          <w:sz w:val="24"/>
          <w:szCs w:val="24"/>
          <w:lang w:val="pt-BR"/>
        </w:rPr>
      </w:pPr>
      <w:r w:rsidRPr="00B24B10">
        <w:rPr>
          <w:rStyle w:val="MessageHeaderLabel"/>
          <w:rFonts w:asciiTheme="majorHAnsi" w:hAnsiTheme="majorHAnsi" w:cstheme="majorHAnsi"/>
          <w:b/>
          <w:i/>
          <w:sz w:val="24"/>
          <w:szCs w:val="24"/>
          <w:lang w:val="pt-BR"/>
        </w:rPr>
        <w:t>Tỷ lệ duy trì Hợp đồng năm 2 đạt dưới 50%: Không nhận thưởng.</w:t>
      </w:r>
    </w:p>
    <w:p w:rsidR="00F6720B" w:rsidRPr="002642FD" w:rsidRDefault="00F6720B" w:rsidP="00B55CC8">
      <w:pPr>
        <w:pStyle w:val="ListParagraph"/>
        <w:widowControl w:val="0"/>
        <w:numPr>
          <w:ilvl w:val="0"/>
          <w:numId w:val="5"/>
        </w:numPr>
        <w:ind w:left="72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Lưu ý:</w:t>
      </w:r>
    </w:p>
    <w:p w:rsidR="002642FD" w:rsidRPr="002642FD" w:rsidRDefault="002642FD" w:rsidP="00B55CC8">
      <w:pPr>
        <w:pStyle w:val="ListParagraph"/>
        <w:widowControl w:val="0"/>
        <w:jc w:val="both"/>
        <w:rPr>
          <w:rFonts w:asciiTheme="majorHAnsi" w:hAnsiTheme="majorHAnsi" w:cstheme="majorHAnsi"/>
          <w:sz w:val="24"/>
          <w:szCs w:val="24"/>
          <w:lang w:val="it-IT"/>
        </w:rPr>
      </w:pP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“Tổng FYP của quý cùng kỳ năm trước” là tổng FYP của quý cùng kỳ năm trước, nếu có, của tất cả các Tư vấn bảo hiểm và Quản lý tư vấn bảo hiểm (bao gồm cá nhân Giám Đốc Tổng đại lý) trực thuộc văn phòng Tổng Đại Lý tại thời điểm đầu quý hiện tại (ngày đầu tiên của quý hiện tại).</w:t>
      </w: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“Tổng FYP của quý cùng kỳ năm trước” được tính vào đầu quý hiện tại và giữ nguyên không thay đổi trong suốt quý, bất kể trong quý hiện tại TĐL có phát sinh thêm (tuyển mới, chuyển đến...) hoặc có phát sinh giảm (nghỉ việc, chuyển đi...) số lượng Tư vấn bảo hiểm và Quản lý tư vấn bảo hiểm.</w:t>
      </w: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Quý hoạt động thứ 01 và Quý hoạt động thứ 02: Nếu “Tổng FYP của quý cùng kỳ năm trước” dưới 1 tỷ (hoặc TĐL mới hoạt động chưa có FYP quá khứ để so sánh), Tỷ lệ tăng trưởng sẽ được tính dựa trên mức tối thiểu 1,0 tỷ FYP và chỉ xét mức Tỷ lệ tăng trưởng “Từ 15% đến dưới 30%”, “Từ 30% đến dưới 50%” và “Từ 50% đến dưới 70%” (nếu có tăng trưởng).</w:t>
      </w: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Quý hoạt động thứ 03 trở đi: Nếu “Tổng FYP của quý cùng kỳ năm trước” dưới 1,5 tỷ (hoặc TĐL mới hoạt động chưa có FYP quá khứ để so sánh), Tỷ lệ tăng trưởng sẽ được tính dựa trên mức tối thiểu 1,5 tỷ FYP và chỉ xét mức Tỷ lệ tăng trưởng “Từ 15% đến dưới 30%”, “Từ 30% đến dưới 50%” và “Từ 50% đến dưới 70%” (nếu có tăng trưởng).</w:t>
      </w: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 xml:space="preserve">Nếu tính tới thời điểm cuối quý xét thưởng, TĐL đang ở tháng hoạt động thứ 02, thì sẽ xét tính đây là Quý hoạt động đầu tiên của TĐL để xét tính thưởng Tăng trưởng doanh số quý và chỉ tiêu để so sánh mức tăng trưởng sẽ được tính tỷ lệ cho 02 tháng hoạt động. </w:t>
      </w:r>
    </w:p>
    <w:p w:rsidR="002642FD" w:rsidRP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lastRenderedPageBreak/>
        <w:t xml:space="preserve">Nếu tính tới thời điểm cuối quý xét thưởng, TĐL đang ở tháng hoạt động thứ 01, thì Quý tiếp theo mới tính là Quý hoạt động đầu tiên của TĐL để xét tính thưởng Tăng trưởng doanh số quý. </w:t>
      </w:r>
    </w:p>
    <w:p w:rsidR="002642FD" w:rsidRDefault="002642FD" w:rsidP="00B55CC8">
      <w:pPr>
        <w:pStyle w:val="ListParagraph"/>
        <w:widowControl w:val="0"/>
        <w:numPr>
          <w:ilvl w:val="0"/>
          <w:numId w:val="29"/>
        </w:numPr>
        <w:spacing w:before="240" w:after="240" w:line="360" w:lineRule="auto"/>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Tỷ lệ số TVBH mới có hoạt động trên số Quản lý TVB</w:t>
      </w:r>
      <w:r w:rsidR="00B24B10">
        <w:rPr>
          <w:rStyle w:val="MessageHeaderLabel"/>
          <w:rFonts w:asciiTheme="majorHAnsi" w:hAnsiTheme="majorHAnsi" w:cstheme="majorHAnsi"/>
          <w:sz w:val="24"/>
          <w:szCs w:val="24"/>
          <w:lang w:val="pt-BR"/>
        </w:rPr>
        <w:t>H: được tính theo công thức sau</w:t>
      </w:r>
    </w:p>
    <w:p w:rsidR="00B24B10" w:rsidRPr="002642FD" w:rsidRDefault="00B24B10" w:rsidP="00B55CC8">
      <w:pPr>
        <w:pStyle w:val="ListParagraph"/>
        <w:widowControl w:val="0"/>
        <w:spacing w:before="240" w:after="240" w:line="360" w:lineRule="auto"/>
        <w:jc w:val="both"/>
        <w:rPr>
          <w:rStyle w:val="MessageHeaderLabel"/>
          <w:rFonts w:asciiTheme="majorHAnsi" w:hAnsiTheme="majorHAnsi" w:cstheme="majorHAnsi"/>
          <w:sz w:val="24"/>
          <w:szCs w:val="24"/>
          <w:lang w:val="pt-BR"/>
        </w:rPr>
      </w:pPr>
      <w:r w:rsidRPr="002642FD">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6F1C4DFF" wp14:editId="2BE91996">
                <wp:simplePos x="0" y="0"/>
                <wp:positionH relativeFrom="margin">
                  <wp:posOffset>459105</wp:posOffset>
                </wp:positionH>
                <wp:positionV relativeFrom="paragraph">
                  <wp:posOffset>78800</wp:posOffset>
                </wp:positionV>
                <wp:extent cx="4794637" cy="447675"/>
                <wp:effectExtent l="0" t="0" r="25400" b="28575"/>
                <wp:wrapNone/>
                <wp:docPr id="10" name="Rectangle 10"/>
                <wp:cNvGraphicFramePr/>
                <a:graphic xmlns:a="http://schemas.openxmlformats.org/drawingml/2006/main">
                  <a:graphicData uri="http://schemas.microsoft.com/office/word/2010/wordprocessingShape">
                    <wps:wsp>
                      <wps:cNvSpPr/>
                      <wps:spPr>
                        <a:xfrm>
                          <a:off x="0" y="0"/>
                          <a:ext cx="4794637" cy="44767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42FD" w:rsidRPr="009170C7" w:rsidRDefault="002642FD" w:rsidP="002642FD">
                            <w:pPr>
                              <w:tabs>
                                <w:tab w:val="left" w:pos="1080"/>
                              </w:tabs>
                              <w:jc w:val="center"/>
                              <w:rPr>
                                <w:rStyle w:val="MessageHeaderLabel"/>
                                <w:rFonts w:asciiTheme="majorHAnsi" w:hAnsiTheme="majorHAnsi" w:cstheme="majorHAnsi"/>
                                <w:color w:val="404040" w:themeColor="text1" w:themeTint="BF"/>
                                <w:sz w:val="24"/>
                                <w:szCs w:val="24"/>
                                <w:lang w:val="pt-BR"/>
                              </w:rPr>
                            </w:pPr>
                            <w:r w:rsidRPr="009170C7">
                              <w:rPr>
                                <w:rStyle w:val="MessageHeaderLabel"/>
                                <w:rFonts w:asciiTheme="majorHAnsi" w:hAnsiTheme="majorHAnsi" w:cstheme="majorHAnsi"/>
                                <w:color w:val="404040" w:themeColor="text1" w:themeTint="BF"/>
                                <w:sz w:val="24"/>
                                <w:szCs w:val="24"/>
                                <w:lang w:val="pt-BR"/>
                              </w:rPr>
                              <w:t xml:space="preserve">Tỷ lệ TVBH mới có hoạt động trên số QL TVBH = </w:t>
                            </w:r>
                          </w:p>
                          <w:p w:rsidR="002642FD" w:rsidRPr="009170C7" w:rsidRDefault="002642FD" w:rsidP="002642FD">
                            <w:pPr>
                              <w:tabs>
                                <w:tab w:val="left" w:pos="1080"/>
                              </w:tabs>
                              <w:jc w:val="center"/>
                              <w:rPr>
                                <w:rStyle w:val="MessageHeaderLabel"/>
                                <w:rFonts w:asciiTheme="majorHAnsi" w:hAnsiTheme="majorHAnsi" w:cstheme="majorHAnsi"/>
                                <w:color w:val="404040" w:themeColor="text1" w:themeTint="BF"/>
                                <w:sz w:val="24"/>
                                <w:szCs w:val="24"/>
                                <w:lang w:val="pt-BR"/>
                              </w:rPr>
                            </w:pPr>
                            <w:r w:rsidRPr="009170C7">
                              <w:rPr>
                                <w:rStyle w:val="MessageHeaderLabel"/>
                                <w:rFonts w:asciiTheme="majorHAnsi" w:hAnsiTheme="majorHAnsi" w:cstheme="majorHAnsi"/>
                                <w:color w:val="404040" w:themeColor="text1" w:themeTint="BF"/>
                                <w:sz w:val="24"/>
                                <w:szCs w:val="24"/>
                                <w:lang w:val="pt-BR"/>
                              </w:rPr>
                              <w:t>Số TVBH mới có hoạt động trong quý / Tổng số QL TVBH</w:t>
                            </w:r>
                          </w:p>
                          <w:p w:rsidR="002642FD" w:rsidRPr="00243841" w:rsidRDefault="002642FD" w:rsidP="002642FD">
                            <w:pPr>
                              <w:jc w:val="center"/>
                              <w:rPr>
                                <w:rFonts w:ascii="Arial" w:hAnsi="Arial" w:cs="Arial"/>
                                <w:sz w:val="21"/>
                                <w:szCs w:val="21"/>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C4DFF" id="Rectangle 10" o:spid="_x0000_s1026" style="position:absolute;left:0;text-align:left;margin-left:36.15pt;margin-top:6.2pt;width:377.5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" filled="f" strokecolor="#747070 [1614]" strokeweight="1pt">
                <v:textbox>
                  <w:txbxContent>
                    <w:p w:rsidR="002642FD" w:rsidRPr="009170C7" w:rsidRDefault="002642FD" w:rsidP="002642FD">
                      <w:pPr>
                        <w:tabs>
                          <w:tab w:val="left" w:pos="1080"/>
                        </w:tabs>
                        <w:jc w:val="center"/>
                        <w:rPr>
                          <w:rStyle w:val="MessageHeaderLabel"/>
                          <w:rFonts w:asciiTheme="majorHAnsi" w:hAnsiTheme="majorHAnsi" w:cstheme="majorHAnsi"/>
                          <w:color w:val="404040" w:themeColor="text1" w:themeTint="BF"/>
                          <w:sz w:val="24"/>
                          <w:szCs w:val="24"/>
                          <w:lang w:val="pt-BR"/>
                        </w:rPr>
                      </w:pPr>
                      <w:r w:rsidRPr="009170C7">
                        <w:rPr>
                          <w:rStyle w:val="MessageHeaderLabel"/>
                          <w:rFonts w:asciiTheme="majorHAnsi" w:hAnsiTheme="majorHAnsi" w:cstheme="majorHAnsi"/>
                          <w:color w:val="404040" w:themeColor="text1" w:themeTint="BF"/>
                          <w:sz w:val="24"/>
                          <w:szCs w:val="24"/>
                          <w:lang w:val="pt-BR"/>
                        </w:rPr>
                        <w:t xml:space="preserve">Tỷ lệ TVBH mới có hoạt động trên số QL TVBH = </w:t>
                      </w:r>
                    </w:p>
                    <w:p w:rsidR="002642FD" w:rsidRPr="009170C7" w:rsidRDefault="002642FD" w:rsidP="002642FD">
                      <w:pPr>
                        <w:tabs>
                          <w:tab w:val="left" w:pos="1080"/>
                        </w:tabs>
                        <w:jc w:val="center"/>
                        <w:rPr>
                          <w:rStyle w:val="MessageHeaderLabel"/>
                          <w:rFonts w:asciiTheme="majorHAnsi" w:hAnsiTheme="majorHAnsi" w:cstheme="majorHAnsi"/>
                          <w:color w:val="404040" w:themeColor="text1" w:themeTint="BF"/>
                          <w:sz w:val="24"/>
                          <w:szCs w:val="24"/>
                          <w:lang w:val="pt-BR"/>
                        </w:rPr>
                      </w:pPr>
                      <w:r w:rsidRPr="009170C7">
                        <w:rPr>
                          <w:rStyle w:val="MessageHeaderLabel"/>
                          <w:rFonts w:asciiTheme="majorHAnsi" w:hAnsiTheme="majorHAnsi" w:cstheme="majorHAnsi"/>
                          <w:color w:val="404040" w:themeColor="text1" w:themeTint="BF"/>
                          <w:sz w:val="24"/>
                          <w:szCs w:val="24"/>
                          <w:lang w:val="pt-BR"/>
                        </w:rPr>
                        <w:t>Số TVBH mới có hoạt động trong quý / Tổng số QL TVBH</w:t>
                      </w:r>
                    </w:p>
                    <w:p w:rsidR="002642FD" w:rsidRPr="00243841" w:rsidRDefault="002642FD" w:rsidP="002642FD">
                      <w:pPr>
                        <w:jc w:val="center"/>
                        <w:rPr>
                          <w:rFonts w:ascii="Arial" w:hAnsi="Arial" w:cs="Arial"/>
                          <w:sz w:val="21"/>
                          <w:szCs w:val="21"/>
                          <w:lang w:val="pt-BR"/>
                        </w:rPr>
                      </w:pPr>
                    </w:p>
                  </w:txbxContent>
                </v:textbox>
                <w10:wrap anchorx="margin"/>
              </v:rect>
            </w:pict>
          </mc:Fallback>
        </mc:AlternateContent>
      </w:r>
    </w:p>
    <w:p w:rsidR="00B24B10" w:rsidRDefault="00B24B10" w:rsidP="00B55CC8">
      <w:pPr>
        <w:pStyle w:val="ListParagraph"/>
        <w:widowControl w:val="0"/>
        <w:spacing w:before="120" w:after="240" w:line="360" w:lineRule="auto"/>
        <w:ind w:left="714"/>
        <w:jc w:val="both"/>
        <w:rPr>
          <w:rStyle w:val="MessageHeaderLabel"/>
          <w:rFonts w:asciiTheme="majorHAnsi" w:hAnsiTheme="majorHAnsi" w:cstheme="majorHAnsi"/>
          <w:sz w:val="24"/>
          <w:szCs w:val="24"/>
          <w:lang w:val="pt-BR"/>
        </w:rPr>
      </w:pPr>
    </w:p>
    <w:p w:rsidR="002642FD" w:rsidRPr="002642FD" w:rsidRDefault="002642FD" w:rsidP="00B55CC8">
      <w:pPr>
        <w:pStyle w:val="ListParagraph"/>
        <w:widowControl w:val="0"/>
        <w:numPr>
          <w:ilvl w:val="0"/>
          <w:numId w:val="29"/>
        </w:numPr>
        <w:spacing w:before="120" w:after="120" w:line="360" w:lineRule="auto"/>
        <w:ind w:left="714" w:hanging="357"/>
        <w:jc w:val="both"/>
        <w:rPr>
          <w:rStyle w:val="MessageHeaderLabel"/>
          <w:rFonts w:asciiTheme="majorHAnsi" w:hAnsiTheme="majorHAnsi" w:cstheme="majorHAnsi"/>
          <w:sz w:val="24"/>
          <w:szCs w:val="24"/>
          <w:lang w:val="pt-BR"/>
        </w:rPr>
      </w:pPr>
      <w:r w:rsidRPr="002642FD">
        <w:rPr>
          <w:rStyle w:val="MessageHeaderLabel"/>
          <w:rFonts w:asciiTheme="majorHAnsi" w:hAnsiTheme="majorHAnsi" w:cstheme="majorHAnsi"/>
          <w:sz w:val="24"/>
          <w:szCs w:val="24"/>
          <w:lang w:val="pt-BR"/>
        </w:rPr>
        <w:t>Tháng hoạt động đầu tiên T1 của TVBH kết thúc trong quý nào thì tính TVBH mới có hoạt động cho quý đó.</w:t>
      </w:r>
    </w:p>
    <w:p w:rsidR="002642FD" w:rsidRPr="002642FD" w:rsidRDefault="002642FD" w:rsidP="00B55CC8">
      <w:pPr>
        <w:pStyle w:val="ListParagraph"/>
        <w:widowControl w:val="0"/>
        <w:numPr>
          <w:ilvl w:val="0"/>
          <w:numId w:val="29"/>
        </w:numPr>
        <w:spacing w:before="120" w:after="120" w:line="360" w:lineRule="auto"/>
        <w:ind w:left="714" w:hanging="357"/>
        <w:jc w:val="both"/>
        <w:rPr>
          <w:rFonts w:asciiTheme="majorHAnsi" w:hAnsiTheme="majorHAnsi" w:cstheme="majorHAnsi"/>
          <w:sz w:val="24"/>
          <w:szCs w:val="24"/>
          <w:lang w:val="it-IT"/>
        </w:rPr>
      </w:pPr>
      <w:r w:rsidRPr="002642FD">
        <w:rPr>
          <w:rFonts w:asciiTheme="majorHAnsi" w:hAnsiTheme="majorHAnsi" w:cstheme="majorHAnsi"/>
          <w:sz w:val="24"/>
          <w:szCs w:val="24"/>
          <w:lang w:val="it-IT"/>
        </w:rPr>
        <w:t>Tổng số Quản lý TVBH: là tổng số Quản lý TVBH, bao gồm Trưởng Ban Kinh Doanh Cấp Cao (SB), Trưởng Ban Kinh Doanh (BM), Trưởng Nhóm Kinh Doanh Cấp cao (SM), Trưởng Nhóm Kinh Doanh (UM), Tiền Trưởng Nhóm Kinh Doanh (US).  Quản lý TVBH phải có hợp đồng Quản lý TVBH với GVL còn hiệu lực tại thời điểm cuối quý, và không vi phạm quy định của Công ty.</w:t>
      </w:r>
    </w:p>
    <w:p w:rsidR="00F6720B" w:rsidRPr="00D641A0" w:rsidRDefault="00F6720B" w:rsidP="00B55CC8">
      <w:pPr>
        <w:pStyle w:val="A3"/>
        <w:widowControl w:val="0"/>
        <w:numPr>
          <w:ilvl w:val="1"/>
          <w:numId w:val="8"/>
        </w:numPr>
        <w:spacing w:before="120" w:after="240" w:line="240" w:lineRule="auto"/>
        <w:ind w:left="0"/>
        <w:rPr>
          <w:rFonts w:asciiTheme="majorHAnsi" w:hAnsiTheme="majorHAnsi" w:cstheme="majorHAnsi"/>
          <w:sz w:val="24"/>
          <w:szCs w:val="24"/>
        </w:rPr>
      </w:pPr>
      <w:r w:rsidRPr="00D641A0">
        <w:rPr>
          <w:rFonts w:asciiTheme="majorHAnsi" w:hAnsiTheme="majorHAnsi" w:cstheme="majorHAnsi"/>
          <w:sz w:val="24"/>
          <w:szCs w:val="24"/>
        </w:rPr>
        <w:t>Thưởng hoạt động dài hạn</w:t>
      </w:r>
    </w:p>
    <w:p w:rsidR="00F6720B" w:rsidRPr="00D641A0" w:rsidRDefault="00F6720B" w:rsidP="00B55CC8">
      <w:pPr>
        <w:pStyle w:val="ListParagraph"/>
        <w:widowControl w:val="0"/>
        <w:numPr>
          <w:ilvl w:val="0"/>
          <w:numId w:val="9"/>
        </w:numPr>
        <w:tabs>
          <w:tab w:val="left" w:pos="720"/>
        </w:tabs>
        <w:spacing w:before="120" w:after="120" w:line="360" w:lineRule="auto"/>
        <w:ind w:hanging="216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Đối tượng áp dụng:</w:t>
      </w:r>
      <w:r w:rsidRPr="00D641A0">
        <w:rPr>
          <w:rFonts w:asciiTheme="majorHAnsi" w:hAnsiTheme="majorHAnsi" w:cstheme="majorHAnsi"/>
          <w:sz w:val="24"/>
          <w:szCs w:val="24"/>
          <w:lang w:val="it-IT"/>
        </w:rPr>
        <w:t xml:space="preserve"> dành cho tất cả TĐL</w:t>
      </w:r>
    </w:p>
    <w:p w:rsidR="00F6720B" w:rsidRPr="00D641A0" w:rsidRDefault="00F6720B" w:rsidP="00B55CC8">
      <w:pPr>
        <w:pStyle w:val="ListParagraph"/>
        <w:widowControl w:val="0"/>
        <w:numPr>
          <w:ilvl w:val="0"/>
          <w:numId w:val="9"/>
        </w:numPr>
        <w:tabs>
          <w:tab w:val="left" w:pos="720"/>
        </w:tabs>
        <w:spacing w:before="120" w:after="120" w:line="360" w:lineRule="auto"/>
        <w:ind w:hanging="216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 xml:space="preserve">Thời điểm xét thưởng: </w:t>
      </w:r>
      <w:r w:rsidRPr="00D641A0">
        <w:rPr>
          <w:rFonts w:asciiTheme="majorHAnsi" w:hAnsiTheme="majorHAnsi" w:cstheme="majorHAnsi"/>
          <w:sz w:val="24"/>
          <w:szCs w:val="24"/>
          <w:lang w:val="it-IT"/>
        </w:rPr>
        <w:t>định kỳ hàng năm, cuối tháng 12</w:t>
      </w:r>
      <w:r w:rsidR="004203BA">
        <w:rPr>
          <w:rFonts w:asciiTheme="majorHAnsi" w:hAnsiTheme="majorHAnsi" w:cstheme="majorHAnsi"/>
          <w:sz w:val="24"/>
          <w:szCs w:val="24"/>
          <w:lang w:val="it-IT"/>
        </w:rPr>
        <w:t xml:space="preserve"> năm dương lịch</w:t>
      </w:r>
    </w:p>
    <w:p w:rsidR="00F6720B" w:rsidRPr="00D641A0" w:rsidRDefault="00F6720B" w:rsidP="00B55CC8">
      <w:pPr>
        <w:pStyle w:val="ListParagraph"/>
        <w:widowControl w:val="0"/>
        <w:numPr>
          <w:ilvl w:val="0"/>
          <w:numId w:val="9"/>
        </w:numPr>
        <w:tabs>
          <w:tab w:val="left" w:pos="720"/>
        </w:tabs>
        <w:spacing w:before="120" w:after="120" w:line="360" w:lineRule="auto"/>
        <w:ind w:hanging="2160"/>
        <w:jc w:val="both"/>
        <w:rPr>
          <w:rFonts w:asciiTheme="majorHAnsi" w:hAnsiTheme="majorHAnsi" w:cstheme="majorHAnsi"/>
          <w:sz w:val="24"/>
          <w:szCs w:val="24"/>
          <w:lang w:val="it-IT"/>
        </w:rPr>
      </w:pPr>
      <w:r w:rsidRPr="00D641A0">
        <w:rPr>
          <w:rFonts w:asciiTheme="majorHAnsi" w:hAnsiTheme="majorHAnsi" w:cstheme="majorHAnsi"/>
          <w:b/>
          <w:sz w:val="24"/>
          <w:szCs w:val="24"/>
          <w:lang w:val="it-IT"/>
        </w:rPr>
        <w:t>Mức hỗ trợ:</w:t>
      </w:r>
      <w:r w:rsidRPr="00D641A0">
        <w:rPr>
          <w:rFonts w:asciiTheme="majorHAnsi" w:hAnsiTheme="majorHAnsi" w:cstheme="majorHAnsi"/>
          <w:sz w:val="24"/>
          <w:szCs w:val="24"/>
          <w:lang w:val="it-IT"/>
        </w:rPr>
        <w:t xml:space="preserve"> </w:t>
      </w:r>
    </w:p>
    <w:p w:rsidR="00F6720B" w:rsidRPr="00D641A0" w:rsidRDefault="00F6720B" w:rsidP="00B55CC8">
      <w:pPr>
        <w:pStyle w:val="ListParagraph"/>
        <w:widowControl w:val="0"/>
        <w:spacing w:line="360" w:lineRule="auto"/>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TĐL sẽ được tích lũy khoản thưởng hoạt động dài hạn vào mỗi cuối năm nếu như Tỷ lệ duy trì hợp đồng 02 năm tại thời điểm cuối năm đạt tối thiểu 80%.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F6720B" w:rsidRPr="00F71993" w:rsidTr="00141152">
        <w:tc>
          <w:tcPr>
            <w:tcW w:w="8529" w:type="dxa"/>
            <w:shd w:val="clear" w:color="auto" w:fill="auto"/>
          </w:tcPr>
          <w:p w:rsidR="00F6720B" w:rsidRPr="00D641A0" w:rsidRDefault="00F6720B" w:rsidP="00B55CC8">
            <w:pPr>
              <w:pStyle w:val="ListParagraph"/>
              <w:widowControl w:val="0"/>
              <w:spacing w:before="120" w:after="120"/>
              <w:ind w:left="0"/>
              <w:jc w:val="center"/>
              <w:rPr>
                <w:rFonts w:asciiTheme="majorHAnsi" w:hAnsiTheme="majorHAnsi" w:cstheme="majorHAnsi"/>
                <w:sz w:val="24"/>
                <w:szCs w:val="24"/>
                <w:lang w:val="it-IT"/>
              </w:rPr>
            </w:pPr>
            <w:r w:rsidRPr="00D641A0">
              <w:rPr>
                <w:rFonts w:asciiTheme="majorHAnsi" w:hAnsiTheme="majorHAnsi" w:cstheme="majorHAnsi"/>
                <w:sz w:val="24"/>
                <w:szCs w:val="24"/>
                <w:lang w:val="it-IT"/>
              </w:rPr>
              <w:t>Thưởng hoạt động dài hạn = Tổng Khoản Hỗ trợ phát triển kinh doanh cơ bản phát sinh trong năm x 15%</w:t>
            </w:r>
          </w:p>
        </w:tc>
      </w:tr>
    </w:tbl>
    <w:p w:rsidR="00F6720B" w:rsidRPr="00D641A0" w:rsidRDefault="00F6720B" w:rsidP="00B55CC8">
      <w:pPr>
        <w:pStyle w:val="ListParagraph"/>
        <w:widowControl w:val="0"/>
        <w:numPr>
          <w:ilvl w:val="0"/>
          <w:numId w:val="9"/>
        </w:numPr>
        <w:spacing w:before="240" w:after="120"/>
        <w:ind w:left="720"/>
        <w:jc w:val="both"/>
        <w:rPr>
          <w:rFonts w:asciiTheme="majorHAnsi" w:hAnsiTheme="majorHAnsi" w:cstheme="majorHAnsi"/>
          <w:b/>
          <w:sz w:val="24"/>
          <w:szCs w:val="24"/>
          <w:lang w:val="it-IT"/>
        </w:rPr>
      </w:pPr>
      <w:r w:rsidRPr="00D641A0">
        <w:rPr>
          <w:rFonts w:asciiTheme="majorHAnsi" w:hAnsiTheme="majorHAnsi" w:cstheme="majorHAnsi"/>
          <w:b/>
          <w:sz w:val="24"/>
          <w:szCs w:val="24"/>
          <w:lang w:val="it-IT"/>
        </w:rPr>
        <w:t xml:space="preserve">Thời điểm thanh toán: </w:t>
      </w:r>
    </w:p>
    <w:p w:rsidR="00F6720B" w:rsidRPr="00D641A0" w:rsidRDefault="00F6720B" w:rsidP="00B55CC8">
      <w:pPr>
        <w:pStyle w:val="ListParagraph"/>
        <w:widowControl w:val="0"/>
        <w:spacing w:line="360" w:lineRule="auto"/>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Thưởng hoạt động dài hạn được tích lũy trong năm N</w:t>
      </w:r>
      <w:r w:rsidR="00DB0249">
        <w:rPr>
          <w:rFonts w:asciiTheme="majorHAnsi" w:hAnsiTheme="majorHAnsi" w:cstheme="majorHAnsi"/>
          <w:sz w:val="24"/>
          <w:szCs w:val="24"/>
          <w:lang w:val="it-IT"/>
        </w:rPr>
        <w:t xml:space="preserve"> (năm dương lịch)</w:t>
      </w:r>
      <w:r w:rsidRPr="00D641A0">
        <w:rPr>
          <w:rFonts w:asciiTheme="majorHAnsi" w:hAnsiTheme="majorHAnsi" w:cstheme="majorHAnsi"/>
          <w:sz w:val="24"/>
          <w:szCs w:val="24"/>
          <w:lang w:val="it-IT"/>
        </w:rPr>
        <w:t xml:space="preserve">, sẽ được bắt đầu thanh toán sau hơn 01 năm kể từ năm tích lũy, chia thành 3 đợt thanh toán: </w:t>
      </w:r>
    </w:p>
    <w:p w:rsidR="00F6720B" w:rsidRPr="00D641A0" w:rsidRDefault="00F6720B" w:rsidP="00B55CC8">
      <w:pPr>
        <w:pStyle w:val="ListParagraph"/>
        <w:widowControl w:val="0"/>
        <w:numPr>
          <w:ilvl w:val="0"/>
          <w:numId w:val="16"/>
        </w:numPr>
        <w:spacing w:line="360" w:lineRule="auto"/>
        <w:ind w:left="108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Đợt 1 thanh toán 25%, vào kỳ thu nhập tháng 04 của năm N+2</w:t>
      </w:r>
    </w:p>
    <w:p w:rsidR="00F6720B" w:rsidRPr="00D641A0" w:rsidRDefault="00F6720B" w:rsidP="00B55CC8">
      <w:pPr>
        <w:pStyle w:val="ListParagraph"/>
        <w:widowControl w:val="0"/>
        <w:numPr>
          <w:ilvl w:val="0"/>
          <w:numId w:val="16"/>
        </w:numPr>
        <w:spacing w:line="360" w:lineRule="auto"/>
        <w:ind w:left="108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Đợt 2 thanh toán 25%, vào kỳ thu nhập tháng 04 của năm N+3</w:t>
      </w:r>
    </w:p>
    <w:p w:rsidR="00F6720B" w:rsidRPr="00D641A0" w:rsidRDefault="00F6720B" w:rsidP="00B55CC8">
      <w:pPr>
        <w:pStyle w:val="ListParagraph"/>
        <w:widowControl w:val="0"/>
        <w:numPr>
          <w:ilvl w:val="0"/>
          <w:numId w:val="16"/>
        </w:numPr>
        <w:spacing w:line="360" w:lineRule="auto"/>
        <w:ind w:left="1080"/>
        <w:jc w:val="both"/>
        <w:rPr>
          <w:rFonts w:asciiTheme="majorHAnsi" w:hAnsiTheme="majorHAnsi" w:cstheme="majorHAnsi"/>
          <w:sz w:val="24"/>
          <w:szCs w:val="24"/>
          <w:lang w:val="it-IT"/>
        </w:rPr>
      </w:pPr>
      <w:r w:rsidRPr="00D641A0">
        <w:rPr>
          <w:rFonts w:asciiTheme="majorHAnsi" w:hAnsiTheme="majorHAnsi" w:cstheme="majorHAnsi"/>
          <w:sz w:val="24"/>
          <w:szCs w:val="24"/>
          <w:lang w:val="it-IT"/>
        </w:rPr>
        <w:t>Đợt 3 thanh toán 50%, vào kỳ thu nhập tháng 04 của năm N+4</w:t>
      </w:r>
    </w:p>
    <w:p w:rsidR="00F6720B" w:rsidRPr="00D641A0" w:rsidRDefault="00F6720B" w:rsidP="00B55CC8">
      <w:pPr>
        <w:pStyle w:val="ListParagraph"/>
        <w:widowControl w:val="0"/>
        <w:numPr>
          <w:ilvl w:val="0"/>
          <w:numId w:val="9"/>
        </w:numPr>
        <w:ind w:left="720"/>
        <w:jc w:val="both"/>
        <w:rPr>
          <w:rFonts w:asciiTheme="majorHAnsi" w:hAnsiTheme="majorHAnsi" w:cstheme="majorHAnsi"/>
          <w:b/>
          <w:sz w:val="24"/>
          <w:szCs w:val="24"/>
          <w:lang w:val="it-IT"/>
        </w:rPr>
      </w:pPr>
      <w:r w:rsidRPr="00D641A0">
        <w:rPr>
          <w:rFonts w:asciiTheme="majorHAnsi" w:hAnsiTheme="majorHAnsi" w:cstheme="majorHAnsi"/>
          <w:b/>
          <w:sz w:val="24"/>
          <w:szCs w:val="24"/>
          <w:lang w:val="it-IT"/>
        </w:rPr>
        <w:t>Lưu ý:</w:t>
      </w:r>
    </w:p>
    <w:p w:rsidR="00E13BDE" w:rsidRPr="009170C7" w:rsidRDefault="00F6720B" w:rsidP="00B55CC8">
      <w:pPr>
        <w:pStyle w:val="ListParagraph"/>
        <w:widowControl w:val="0"/>
        <w:numPr>
          <w:ilvl w:val="0"/>
          <w:numId w:val="17"/>
        </w:numPr>
        <w:ind w:left="1080"/>
        <w:jc w:val="both"/>
        <w:rPr>
          <w:rFonts w:asciiTheme="majorHAnsi" w:hAnsiTheme="majorHAnsi" w:cstheme="majorHAnsi"/>
          <w:sz w:val="24"/>
          <w:szCs w:val="24"/>
          <w:lang w:val="pt-BR"/>
        </w:rPr>
      </w:pPr>
      <w:r w:rsidRPr="009170C7">
        <w:rPr>
          <w:rFonts w:asciiTheme="majorHAnsi" w:hAnsiTheme="majorHAnsi" w:cstheme="majorHAnsi"/>
          <w:sz w:val="24"/>
          <w:szCs w:val="24"/>
          <w:lang w:val="it-IT"/>
        </w:rPr>
        <w:t xml:space="preserve">Điều kiện nhận thưởng: Hợp đồng TĐL vẫn còn hiệu lực tại thời điểm chi trả </w:t>
      </w:r>
    </w:p>
    <w:sectPr w:rsidR="00E13BDE" w:rsidRPr="009170C7" w:rsidSect="00C81776">
      <w:footerReference w:type="even" r:id="rId8"/>
      <w:footerReference w:type="default" r:id="rId9"/>
      <w:pgSz w:w="11907" w:h="16840" w:code="9"/>
      <w:pgMar w:top="1440" w:right="1134" w:bottom="1440"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CD" w:rsidRDefault="002562CD">
      <w:r>
        <w:separator/>
      </w:r>
    </w:p>
  </w:endnote>
  <w:endnote w:type="continuationSeparator" w:id="0">
    <w:p w:rsidR="002562CD" w:rsidRDefault="0025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FB" w:rsidRDefault="002F3C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D77FB" w:rsidRDefault="00256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FB" w:rsidRDefault="002F3CA0" w:rsidP="005216FF">
    <w:pPr>
      <w:pStyle w:val="Footer"/>
      <w:framePr w:wrap="around" w:vAnchor="text" w:hAnchor="margin" w:xAlign="center" w:y="1"/>
      <w:pBdr>
        <w:top w:val="single" w:sz="4" w:space="1" w:color="auto"/>
      </w:pBdr>
    </w:pPr>
    <w:r>
      <w:rPr>
        <w:rStyle w:val="PageNumber"/>
      </w:rPr>
      <w:fldChar w:fldCharType="begin"/>
    </w:r>
    <w:r>
      <w:rPr>
        <w:rStyle w:val="PageNumber"/>
      </w:rPr>
      <w:instrText xml:space="preserve">PAGE  </w:instrText>
    </w:r>
    <w:r>
      <w:rPr>
        <w:rStyle w:val="PageNumber"/>
      </w:rPr>
      <w:fldChar w:fldCharType="separate"/>
    </w:r>
    <w:r w:rsidR="00843D81">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CD" w:rsidRDefault="002562CD">
      <w:r>
        <w:separator/>
      </w:r>
    </w:p>
  </w:footnote>
  <w:footnote w:type="continuationSeparator" w:id="0">
    <w:p w:rsidR="002562CD" w:rsidRDefault="002562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37E4"/>
    <w:multiLevelType w:val="hybridMultilevel"/>
    <w:tmpl w:val="A5A66F58"/>
    <w:lvl w:ilvl="0" w:tplc="042A0001">
      <w:start w:val="1"/>
      <w:numFmt w:val="bullet"/>
      <w:lvlText w:val=""/>
      <w:lvlJc w:val="left"/>
      <w:pPr>
        <w:ind w:left="1428" w:hanging="360"/>
      </w:pPr>
      <w:rPr>
        <w:rFonts w:ascii="Symbol" w:hAnsi="Symbol" w:hint="default"/>
      </w:rPr>
    </w:lvl>
    <w:lvl w:ilvl="1" w:tplc="042A0003" w:tentative="1">
      <w:start w:val="1"/>
      <w:numFmt w:val="bullet"/>
      <w:lvlText w:val="o"/>
      <w:lvlJc w:val="left"/>
      <w:pPr>
        <w:ind w:left="2148" w:hanging="360"/>
      </w:pPr>
      <w:rPr>
        <w:rFonts w:ascii="Courier New" w:hAnsi="Courier New" w:cs="Courier New" w:hint="default"/>
      </w:rPr>
    </w:lvl>
    <w:lvl w:ilvl="2" w:tplc="042A0005" w:tentative="1">
      <w:start w:val="1"/>
      <w:numFmt w:val="bullet"/>
      <w:lvlText w:val=""/>
      <w:lvlJc w:val="left"/>
      <w:pPr>
        <w:ind w:left="2868" w:hanging="360"/>
      </w:pPr>
      <w:rPr>
        <w:rFonts w:ascii="Wingdings" w:hAnsi="Wingdings" w:hint="default"/>
      </w:rPr>
    </w:lvl>
    <w:lvl w:ilvl="3" w:tplc="042A0001" w:tentative="1">
      <w:start w:val="1"/>
      <w:numFmt w:val="bullet"/>
      <w:lvlText w:val=""/>
      <w:lvlJc w:val="left"/>
      <w:pPr>
        <w:ind w:left="3588" w:hanging="360"/>
      </w:pPr>
      <w:rPr>
        <w:rFonts w:ascii="Symbol" w:hAnsi="Symbol" w:hint="default"/>
      </w:rPr>
    </w:lvl>
    <w:lvl w:ilvl="4" w:tplc="042A0003" w:tentative="1">
      <w:start w:val="1"/>
      <w:numFmt w:val="bullet"/>
      <w:lvlText w:val="o"/>
      <w:lvlJc w:val="left"/>
      <w:pPr>
        <w:ind w:left="4308" w:hanging="360"/>
      </w:pPr>
      <w:rPr>
        <w:rFonts w:ascii="Courier New" w:hAnsi="Courier New" w:cs="Courier New" w:hint="default"/>
      </w:rPr>
    </w:lvl>
    <w:lvl w:ilvl="5" w:tplc="042A0005" w:tentative="1">
      <w:start w:val="1"/>
      <w:numFmt w:val="bullet"/>
      <w:lvlText w:val=""/>
      <w:lvlJc w:val="left"/>
      <w:pPr>
        <w:ind w:left="5028" w:hanging="360"/>
      </w:pPr>
      <w:rPr>
        <w:rFonts w:ascii="Wingdings" w:hAnsi="Wingdings" w:hint="default"/>
      </w:rPr>
    </w:lvl>
    <w:lvl w:ilvl="6" w:tplc="042A0001" w:tentative="1">
      <w:start w:val="1"/>
      <w:numFmt w:val="bullet"/>
      <w:lvlText w:val=""/>
      <w:lvlJc w:val="left"/>
      <w:pPr>
        <w:ind w:left="5748" w:hanging="360"/>
      </w:pPr>
      <w:rPr>
        <w:rFonts w:ascii="Symbol" w:hAnsi="Symbol" w:hint="default"/>
      </w:rPr>
    </w:lvl>
    <w:lvl w:ilvl="7" w:tplc="042A0003" w:tentative="1">
      <w:start w:val="1"/>
      <w:numFmt w:val="bullet"/>
      <w:lvlText w:val="o"/>
      <w:lvlJc w:val="left"/>
      <w:pPr>
        <w:ind w:left="6468" w:hanging="360"/>
      </w:pPr>
      <w:rPr>
        <w:rFonts w:ascii="Courier New" w:hAnsi="Courier New" w:cs="Courier New" w:hint="default"/>
      </w:rPr>
    </w:lvl>
    <w:lvl w:ilvl="8" w:tplc="042A0005" w:tentative="1">
      <w:start w:val="1"/>
      <w:numFmt w:val="bullet"/>
      <w:lvlText w:val=""/>
      <w:lvlJc w:val="left"/>
      <w:pPr>
        <w:ind w:left="7188" w:hanging="360"/>
      </w:pPr>
      <w:rPr>
        <w:rFonts w:ascii="Wingdings" w:hAnsi="Wingdings" w:hint="default"/>
      </w:rPr>
    </w:lvl>
  </w:abstractNum>
  <w:abstractNum w:abstractNumId="1" w15:restartNumberingAfterBreak="0">
    <w:nsid w:val="0D5A59D2"/>
    <w:multiLevelType w:val="hybridMultilevel"/>
    <w:tmpl w:val="4386F888"/>
    <w:lvl w:ilvl="0" w:tplc="B9B602E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76CF9"/>
    <w:multiLevelType w:val="multilevel"/>
    <w:tmpl w:val="E7BA69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717B6D"/>
    <w:multiLevelType w:val="hybridMultilevel"/>
    <w:tmpl w:val="7D20AB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613386"/>
    <w:multiLevelType w:val="hybridMultilevel"/>
    <w:tmpl w:val="CE260B76"/>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C545E3"/>
    <w:multiLevelType w:val="hybridMultilevel"/>
    <w:tmpl w:val="B09257E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C62218F"/>
    <w:multiLevelType w:val="hybridMultilevel"/>
    <w:tmpl w:val="5A781E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16417"/>
    <w:multiLevelType w:val="hybridMultilevel"/>
    <w:tmpl w:val="C0CE378E"/>
    <w:lvl w:ilvl="0" w:tplc="B888E762">
      <w:start w:val="1"/>
      <w:numFmt w:val="lowerRoman"/>
      <w:lvlText w:val="(%1)"/>
      <w:lvlJc w:val="left"/>
      <w:pPr>
        <w:ind w:left="2160" w:hanging="720"/>
      </w:pPr>
      <w:rPr>
        <w:rFonts w:hint="default"/>
        <w:b/>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21B60B22"/>
    <w:multiLevelType w:val="multilevel"/>
    <w:tmpl w:val="A9E082EE"/>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D42C08"/>
    <w:multiLevelType w:val="hybridMultilevel"/>
    <w:tmpl w:val="C3A655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306F4235"/>
    <w:multiLevelType w:val="multilevel"/>
    <w:tmpl w:val="2DCC5D76"/>
    <w:lvl w:ilvl="0">
      <w:start w:val="1"/>
      <w:numFmt w:val="upperRoman"/>
      <w:pStyle w:val="A1"/>
      <w:lvlText w:val="%1."/>
      <w:lvlJc w:val="left"/>
      <w:pPr>
        <w:ind w:left="1080" w:hanging="72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E65B21"/>
    <w:multiLevelType w:val="hybridMultilevel"/>
    <w:tmpl w:val="3DBE0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16D59"/>
    <w:multiLevelType w:val="hybridMultilevel"/>
    <w:tmpl w:val="1FEC2ACC"/>
    <w:lvl w:ilvl="0" w:tplc="3B3AB3B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49005BC"/>
    <w:multiLevelType w:val="hybridMultilevel"/>
    <w:tmpl w:val="68CA956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48650000"/>
    <w:multiLevelType w:val="hybridMultilevel"/>
    <w:tmpl w:val="5A1C6EC2"/>
    <w:lvl w:ilvl="0" w:tplc="B78035E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4D7E2E99"/>
    <w:multiLevelType w:val="hybridMultilevel"/>
    <w:tmpl w:val="B0B82F02"/>
    <w:lvl w:ilvl="0" w:tplc="B9B602E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9C3135"/>
    <w:multiLevelType w:val="hybridMultilevel"/>
    <w:tmpl w:val="D22A51C2"/>
    <w:lvl w:ilvl="0" w:tplc="0409000D">
      <w:start w:val="1"/>
      <w:numFmt w:val="bullet"/>
      <w:lvlText w:val=""/>
      <w:lvlJc w:val="left"/>
      <w:pPr>
        <w:ind w:left="1440" w:hanging="72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F54A1B"/>
    <w:multiLevelType w:val="hybridMultilevel"/>
    <w:tmpl w:val="B0B82F02"/>
    <w:lvl w:ilvl="0" w:tplc="B9B602E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C831F4"/>
    <w:multiLevelType w:val="hybridMultilevel"/>
    <w:tmpl w:val="A2F2A3F6"/>
    <w:lvl w:ilvl="0" w:tplc="C422E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5A606F26"/>
    <w:multiLevelType w:val="hybridMultilevel"/>
    <w:tmpl w:val="ACF4B9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03771AD"/>
    <w:multiLevelType w:val="hybridMultilevel"/>
    <w:tmpl w:val="8CE49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520F77"/>
    <w:multiLevelType w:val="hybridMultilevel"/>
    <w:tmpl w:val="679C4E4C"/>
    <w:lvl w:ilvl="0" w:tplc="4F9EE52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6457296B"/>
    <w:multiLevelType w:val="hybridMultilevel"/>
    <w:tmpl w:val="745A13E4"/>
    <w:lvl w:ilvl="0" w:tplc="2D86F73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66744C7A"/>
    <w:multiLevelType w:val="hybridMultilevel"/>
    <w:tmpl w:val="5B64A886"/>
    <w:lvl w:ilvl="0" w:tplc="0409000B">
      <w:start w:val="1"/>
      <w:numFmt w:val="bullet"/>
      <w:lvlText w:val=""/>
      <w:lvlJc w:val="left"/>
      <w:pPr>
        <w:ind w:left="1440" w:hanging="72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A95285"/>
    <w:multiLevelType w:val="hybridMultilevel"/>
    <w:tmpl w:val="FC54B2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F3D3C4D"/>
    <w:multiLevelType w:val="multilevel"/>
    <w:tmpl w:val="0CE4D3EC"/>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7856916"/>
    <w:multiLevelType w:val="hybridMultilevel"/>
    <w:tmpl w:val="85D0F8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9D36EE7"/>
    <w:multiLevelType w:val="hybridMultilevel"/>
    <w:tmpl w:val="DDB4FF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B233372"/>
    <w:multiLevelType w:val="hybridMultilevel"/>
    <w:tmpl w:val="B0B82F02"/>
    <w:lvl w:ilvl="0" w:tplc="B9B602E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3A4958"/>
    <w:multiLevelType w:val="hybridMultilevel"/>
    <w:tmpl w:val="F4028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5"/>
  </w:num>
  <w:num w:numId="4">
    <w:abstractNumId w:val="17"/>
  </w:num>
  <w:num w:numId="5">
    <w:abstractNumId w:val="1"/>
  </w:num>
  <w:num w:numId="6">
    <w:abstractNumId w:val="28"/>
  </w:num>
  <w:num w:numId="7">
    <w:abstractNumId w:val="13"/>
  </w:num>
  <w:num w:numId="8">
    <w:abstractNumId w:val="25"/>
  </w:num>
  <w:num w:numId="9">
    <w:abstractNumId w:val="7"/>
  </w:num>
  <w:num w:numId="10">
    <w:abstractNumId w:val="0"/>
  </w:num>
  <w:num w:numId="11">
    <w:abstractNumId w:val="8"/>
  </w:num>
  <w:num w:numId="12">
    <w:abstractNumId w:val="3"/>
  </w:num>
  <w:num w:numId="13">
    <w:abstractNumId w:val="26"/>
  </w:num>
  <w:num w:numId="14">
    <w:abstractNumId w:val="10"/>
    <w:lvlOverride w:ilvl="0">
      <w:startOverride w:val="3"/>
    </w:lvlOverride>
    <w:lvlOverride w:ilvl="1">
      <w:startOverride w:val="2"/>
    </w:lvlOverride>
  </w:num>
  <w:num w:numId="15">
    <w:abstractNumId w:val="9"/>
  </w:num>
  <w:num w:numId="16">
    <w:abstractNumId w:val="27"/>
  </w:num>
  <w:num w:numId="17">
    <w:abstractNumId w:val="24"/>
  </w:num>
  <w:num w:numId="18">
    <w:abstractNumId w:val="5"/>
  </w:num>
  <w:num w:numId="19">
    <w:abstractNumId w:val="21"/>
  </w:num>
  <w:num w:numId="20">
    <w:abstractNumId w:val="12"/>
  </w:num>
  <w:num w:numId="21">
    <w:abstractNumId w:val="18"/>
  </w:num>
  <w:num w:numId="22">
    <w:abstractNumId w:val="14"/>
  </w:num>
  <w:num w:numId="23">
    <w:abstractNumId w:val="22"/>
  </w:num>
  <w:num w:numId="24">
    <w:abstractNumId w:val="4"/>
  </w:num>
  <w:num w:numId="25">
    <w:abstractNumId w:val="19"/>
  </w:num>
  <w:num w:numId="26">
    <w:abstractNumId w:val="6"/>
  </w:num>
  <w:num w:numId="27">
    <w:abstractNumId w:val="16"/>
  </w:num>
  <w:num w:numId="28">
    <w:abstractNumId w:val="23"/>
  </w:num>
  <w:num w:numId="29">
    <w:abstractNumId w:val="11"/>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0B"/>
    <w:rsid w:val="000128E6"/>
    <w:rsid w:val="000345B0"/>
    <w:rsid w:val="00052EF1"/>
    <w:rsid w:val="000758DF"/>
    <w:rsid w:val="000A74F1"/>
    <w:rsid w:val="00100B65"/>
    <w:rsid w:val="0019779C"/>
    <w:rsid w:val="00236630"/>
    <w:rsid w:val="002562CD"/>
    <w:rsid w:val="002642FD"/>
    <w:rsid w:val="002A429E"/>
    <w:rsid w:val="002B6291"/>
    <w:rsid w:val="002F3CA0"/>
    <w:rsid w:val="00337A6D"/>
    <w:rsid w:val="00352ADB"/>
    <w:rsid w:val="003549CF"/>
    <w:rsid w:val="00394E3C"/>
    <w:rsid w:val="003C6E4D"/>
    <w:rsid w:val="003D1E92"/>
    <w:rsid w:val="00400D5E"/>
    <w:rsid w:val="004203BA"/>
    <w:rsid w:val="004B07CE"/>
    <w:rsid w:val="004B352B"/>
    <w:rsid w:val="004E5CF3"/>
    <w:rsid w:val="004F0876"/>
    <w:rsid w:val="004F458B"/>
    <w:rsid w:val="004F487C"/>
    <w:rsid w:val="005161C3"/>
    <w:rsid w:val="005216FF"/>
    <w:rsid w:val="0054590B"/>
    <w:rsid w:val="00554527"/>
    <w:rsid w:val="00570F68"/>
    <w:rsid w:val="005D49E8"/>
    <w:rsid w:val="00624DE2"/>
    <w:rsid w:val="0069586B"/>
    <w:rsid w:val="006971AF"/>
    <w:rsid w:val="0070765B"/>
    <w:rsid w:val="00721007"/>
    <w:rsid w:val="00744822"/>
    <w:rsid w:val="00750AAF"/>
    <w:rsid w:val="00756C0F"/>
    <w:rsid w:val="0076310D"/>
    <w:rsid w:val="007B1E59"/>
    <w:rsid w:val="007C0621"/>
    <w:rsid w:val="00815B22"/>
    <w:rsid w:val="00840439"/>
    <w:rsid w:val="00843D81"/>
    <w:rsid w:val="008A5A90"/>
    <w:rsid w:val="008A5BDD"/>
    <w:rsid w:val="008C5B5A"/>
    <w:rsid w:val="008E4EED"/>
    <w:rsid w:val="009069A2"/>
    <w:rsid w:val="00912CBC"/>
    <w:rsid w:val="009170C7"/>
    <w:rsid w:val="009301D7"/>
    <w:rsid w:val="00962102"/>
    <w:rsid w:val="009B6083"/>
    <w:rsid w:val="009B7349"/>
    <w:rsid w:val="00A278CB"/>
    <w:rsid w:val="00AA4561"/>
    <w:rsid w:val="00AC4A60"/>
    <w:rsid w:val="00AF43B8"/>
    <w:rsid w:val="00B15CC2"/>
    <w:rsid w:val="00B24B10"/>
    <w:rsid w:val="00B55CC8"/>
    <w:rsid w:val="00B6099B"/>
    <w:rsid w:val="00B71E83"/>
    <w:rsid w:val="00B82607"/>
    <w:rsid w:val="00B83311"/>
    <w:rsid w:val="00B906DB"/>
    <w:rsid w:val="00BB4E81"/>
    <w:rsid w:val="00BD65FC"/>
    <w:rsid w:val="00C44F51"/>
    <w:rsid w:val="00C55A26"/>
    <w:rsid w:val="00C623EB"/>
    <w:rsid w:val="00C81776"/>
    <w:rsid w:val="00C93D52"/>
    <w:rsid w:val="00CB1A3E"/>
    <w:rsid w:val="00CB2C2D"/>
    <w:rsid w:val="00CC697A"/>
    <w:rsid w:val="00D24E25"/>
    <w:rsid w:val="00D25243"/>
    <w:rsid w:val="00D30405"/>
    <w:rsid w:val="00D641A0"/>
    <w:rsid w:val="00DB0249"/>
    <w:rsid w:val="00DC1689"/>
    <w:rsid w:val="00DF6150"/>
    <w:rsid w:val="00E00FBF"/>
    <w:rsid w:val="00E1297D"/>
    <w:rsid w:val="00E13BDE"/>
    <w:rsid w:val="00E73FBB"/>
    <w:rsid w:val="00ED139F"/>
    <w:rsid w:val="00F122D1"/>
    <w:rsid w:val="00F235C3"/>
    <w:rsid w:val="00F43FA4"/>
    <w:rsid w:val="00F6720B"/>
    <w:rsid w:val="00F71993"/>
    <w:rsid w:val="00F83579"/>
    <w:rsid w:val="00FA372B"/>
    <w:rsid w:val="00FC0EB4"/>
    <w:rsid w:val="00FD7B7C"/>
    <w:rsid w:val="00FE0D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DB085-61BA-49B9-8E8C-3315EF38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20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720B"/>
    <w:pPr>
      <w:tabs>
        <w:tab w:val="center" w:pos="4320"/>
        <w:tab w:val="right" w:pos="8640"/>
      </w:tabs>
    </w:pPr>
  </w:style>
  <w:style w:type="character" w:customStyle="1" w:styleId="HeaderChar">
    <w:name w:val="Header Char"/>
    <w:basedOn w:val="DefaultParagraphFont"/>
    <w:link w:val="Header"/>
    <w:rsid w:val="00F6720B"/>
    <w:rPr>
      <w:rFonts w:ascii="Times New Roman" w:eastAsia="Times New Roman" w:hAnsi="Times New Roman" w:cs="Times New Roman"/>
      <w:sz w:val="20"/>
      <w:szCs w:val="20"/>
      <w:lang w:val="en-US"/>
    </w:rPr>
  </w:style>
  <w:style w:type="paragraph" w:styleId="Footer">
    <w:name w:val="footer"/>
    <w:basedOn w:val="Normal"/>
    <w:link w:val="FooterChar"/>
    <w:rsid w:val="00F6720B"/>
    <w:pPr>
      <w:tabs>
        <w:tab w:val="center" w:pos="4320"/>
        <w:tab w:val="right" w:pos="8640"/>
      </w:tabs>
    </w:pPr>
  </w:style>
  <w:style w:type="character" w:customStyle="1" w:styleId="FooterChar">
    <w:name w:val="Footer Char"/>
    <w:basedOn w:val="DefaultParagraphFont"/>
    <w:link w:val="Footer"/>
    <w:rsid w:val="00F6720B"/>
    <w:rPr>
      <w:rFonts w:ascii="Times New Roman" w:eastAsia="Times New Roman" w:hAnsi="Times New Roman" w:cs="Times New Roman"/>
      <w:sz w:val="20"/>
      <w:szCs w:val="20"/>
      <w:lang w:val="en-US"/>
    </w:rPr>
  </w:style>
  <w:style w:type="character" w:styleId="PageNumber">
    <w:name w:val="page number"/>
    <w:basedOn w:val="DefaultParagraphFont"/>
    <w:rsid w:val="00F6720B"/>
  </w:style>
  <w:style w:type="paragraph" w:styleId="Title">
    <w:name w:val="Title"/>
    <w:basedOn w:val="Normal"/>
    <w:link w:val="TitleChar"/>
    <w:qFormat/>
    <w:rsid w:val="00F6720B"/>
    <w:pPr>
      <w:jc w:val="center"/>
    </w:pPr>
    <w:rPr>
      <w:rFonts w:ascii="VNI-Times" w:hAnsi="VNI-Times"/>
      <w:b/>
      <w:bCs/>
      <w:sz w:val="24"/>
      <w:szCs w:val="24"/>
    </w:rPr>
  </w:style>
  <w:style w:type="character" w:customStyle="1" w:styleId="TitleChar">
    <w:name w:val="Title Char"/>
    <w:basedOn w:val="DefaultParagraphFont"/>
    <w:link w:val="Title"/>
    <w:rsid w:val="00F6720B"/>
    <w:rPr>
      <w:rFonts w:ascii="VNI-Times" w:eastAsia="Times New Roman" w:hAnsi="VNI-Times" w:cs="Times New Roman"/>
      <w:b/>
      <w:bCs/>
      <w:sz w:val="24"/>
      <w:szCs w:val="24"/>
      <w:lang w:val="en-US"/>
    </w:rPr>
  </w:style>
  <w:style w:type="paragraph" w:styleId="ListParagraph">
    <w:name w:val="List Paragraph"/>
    <w:basedOn w:val="Normal"/>
    <w:link w:val="ListParagraphChar"/>
    <w:uiPriority w:val="34"/>
    <w:qFormat/>
    <w:rsid w:val="00F6720B"/>
    <w:pPr>
      <w:ind w:left="720"/>
    </w:pPr>
  </w:style>
  <w:style w:type="character" w:customStyle="1" w:styleId="MessageHeaderLabel">
    <w:name w:val="Message Header Label"/>
    <w:rsid w:val="00F6720B"/>
    <w:rPr>
      <w:rFonts w:ascii="Arial Black" w:hAnsi="Arial Black"/>
      <w:spacing w:val="-10"/>
      <w:sz w:val="18"/>
    </w:rPr>
  </w:style>
  <w:style w:type="paragraph" w:customStyle="1" w:styleId="A1">
    <w:name w:val="A1"/>
    <w:basedOn w:val="Normal"/>
    <w:link w:val="A1Char"/>
    <w:qFormat/>
    <w:rsid w:val="00F6720B"/>
    <w:pPr>
      <w:numPr>
        <w:numId w:val="1"/>
      </w:numPr>
      <w:tabs>
        <w:tab w:val="left" w:pos="0"/>
      </w:tabs>
      <w:spacing w:before="120" w:after="120" w:line="360" w:lineRule="auto"/>
      <w:ind w:left="720"/>
      <w:jc w:val="both"/>
    </w:pPr>
    <w:rPr>
      <w:rFonts w:ascii="Arial" w:hAnsi="Arial" w:cs="Arial"/>
      <w:b/>
      <w:sz w:val="24"/>
      <w:szCs w:val="24"/>
      <w:lang w:val="pt-BR" w:eastAsia="it-IT"/>
    </w:rPr>
  </w:style>
  <w:style w:type="character" w:customStyle="1" w:styleId="A1Char">
    <w:name w:val="A1 Char"/>
    <w:link w:val="A1"/>
    <w:rsid w:val="00F6720B"/>
    <w:rPr>
      <w:rFonts w:ascii="Arial" w:eastAsia="Times New Roman" w:hAnsi="Arial" w:cs="Arial"/>
      <w:b/>
      <w:sz w:val="24"/>
      <w:szCs w:val="24"/>
      <w:lang w:val="pt-BR" w:eastAsia="it-IT"/>
    </w:rPr>
  </w:style>
  <w:style w:type="paragraph" w:customStyle="1" w:styleId="A3">
    <w:name w:val="A3"/>
    <w:basedOn w:val="ListParagraph"/>
    <w:link w:val="A3Char"/>
    <w:qFormat/>
    <w:rsid w:val="00F6720B"/>
    <w:pPr>
      <w:spacing w:before="240" w:after="120" w:line="276" w:lineRule="auto"/>
      <w:ind w:hanging="720"/>
      <w:jc w:val="both"/>
    </w:pPr>
    <w:rPr>
      <w:rFonts w:ascii="Arial" w:eastAsia="Calibri" w:hAnsi="Arial" w:cs="Arial"/>
      <w:b/>
      <w:sz w:val="22"/>
      <w:szCs w:val="22"/>
      <w:lang w:val="it-IT"/>
    </w:rPr>
  </w:style>
  <w:style w:type="character" w:customStyle="1" w:styleId="ListParagraphChar">
    <w:name w:val="List Paragraph Char"/>
    <w:link w:val="ListParagraph"/>
    <w:uiPriority w:val="34"/>
    <w:rsid w:val="00F6720B"/>
    <w:rPr>
      <w:rFonts w:ascii="Times New Roman" w:eastAsia="Times New Roman" w:hAnsi="Times New Roman" w:cs="Times New Roman"/>
      <w:sz w:val="20"/>
      <w:szCs w:val="20"/>
      <w:lang w:val="en-US"/>
    </w:rPr>
  </w:style>
  <w:style w:type="character" w:customStyle="1" w:styleId="A3Char">
    <w:name w:val="A3 Char"/>
    <w:link w:val="A3"/>
    <w:rsid w:val="00F6720B"/>
    <w:rPr>
      <w:rFonts w:ascii="Arial" w:eastAsia="Calibri" w:hAnsi="Arial" w:cs="Arial"/>
      <w:b/>
      <w:lang w:val="it-IT"/>
    </w:rPr>
  </w:style>
  <w:style w:type="paragraph" w:styleId="BalloonText">
    <w:name w:val="Balloon Text"/>
    <w:basedOn w:val="Normal"/>
    <w:link w:val="BalloonTextChar"/>
    <w:uiPriority w:val="99"/>
    <w:semiHidden/>
    <w:unhideWhenUsed/>
    <w:rsid w:val="00F43F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FA4"/>
    <w:rPr>
      <w:rFonts w:ascii="Segoe UI" w:eastAsia="Times New Roman" w:hAnsi="Segoe UI" w:cs="Segoe UI"/>
      <w:sz w:val="18"/>
      <w:szCs w:val="18"/>
      <w:lang w:val="en-US"/>
    </w:rPr>
  </w:style>
  <w:style w:type="table" w:styleId="TableGrid">
    <w:name w:val="Table Grid"/>
    <w:basedOn w:val="TableNormal"/>
    <w:uiPriority w:val="59"/>
    <w:rsid w:val="00C623E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971AF"/>
    <w:rPr>
      <w:sz w:val="16"/>
      <w:szCs w:val="16"/>
    </w:rPr>
  </w:style>
  <w:style w:type="paragraph" w:styleId="CommentText">
    <w:name w:val="annotation text"/>
    <w:basedOn w:val="Normal"/>
    <w:link w:val="CommentTextChar"/>
    <w:uiPriority w:val="99"/>
    <w:semiHidden/>
    <w:unhideWhenUsed/>
    <w:rsid w:val="006971AF"/>
  </w:style>
  <w:style w:type="character" w:customStyle="1" w:styleId="CommentTextChar">
    <w:name w:val="Comment Text Char"/>
    <w:basedOn w:val="DefaultParagraphFont"/>
    <w:link w:val="CommentText"/>
    <w:uiPriority w:val="99"/>
    <w:semiHidden/>
    <w:rsid w:val="006971A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971AF"/>
    <w:rPr>
      <w:b/>
      <w:bCs/>
    </w:rPr>
  </w:style>
  <w:style w:type="character" w:customStyle="1" w:styleId="CommentSubjectChar">
    <w:name w:val="Comment Subject Char"/>
    <w:basedOn w:val="CommentTextChar"/>
    <w:link w:val="CommentSubject"/>
    <w:uiPriority w:val="99"/>
    <w:semiHidden/>
    <w:rsid w:val="006971A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464653">
      <w:bodyDiv w:val="1"/>
      <w:marLeft w:val="0"/>
      <w:marRight w:val="0"/>
      <w:marTop w:val="0"/>
      <w:marBottom w:val="0"/>
      <w:divBdr>
        <w:top w:val="none" w:sz="0" w:space="0" w:color="auto"/>
        <w:left w:val="none" w:sz="0" w:space="0" w:color="auto"/>
        <w:bottom w:val="none" w:sz="0" w:space="0" w:color="auto"/>
        <w:right w:val="none" w:sz="0" w:space="0" w:color="auto"/>
      </w:divBdr>
    </w:div>
    <w:div w:id="20234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DAD5-53D6-44F4-8687-CA5D362B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Huynh</dc:creator>
  <cp:keywords/>
  <dc:description/>
  <cp:lastModifiedBy>Diem Huynh</cp:lastModifiedBy>
  <cp:revision>5</cp:revision>
  <cp:lastPrinted>2016-07-25T07:13:00Z</cp:lastPrinted>
  <dcterms:created xsi:type="dcterms:W3CDTF">2017-03-24T09:42:00Z</dcterms:created>
  <dcterms:modified xsi:type="dcterms:W3CDTF">2017-03-24T10:03:00Z</dcterms:modified>
</cp:coreProperties>
</file>