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b/>
          <w:sz w:val="24"/>
          <w:szCs w:val="24"/>
        </w:rPr>
        <w:t>TUGAS TUTORIAL SESI 2</w:t>
      </w:r>
    </w:p>
    <w:p>
      <w:pPr>
        <w:pStyle w:val="Normal"/>
        <w:spacing w:lineRule="auto" w:line="360" w:before="0" w:after="0"/>
        <w:jc w:val="center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b/>
          <w:color w:val="000000"/>
          <w:sz w:val="24"/>
          <w:szCs w:val="24"/>
        </w:rPr>
        <w:t>EKMA4111 / PENGANTAR BISNIS / 3</w:t>
      </w:r>
      <w:r>
        <w:rPr>
          <w:rFonts w:eastAsia="Times New Roman" w:cs="Times New Roman" w:ascii="Times Newer Roman" w:hAnsi="Times Newer Roman"/>
          <w:b/>
          <w:sz w:val="24"/>
          <w:szCs w:val="24"/>
        </w:rPr>
        <w:t xml:space="preserve"> SKS</w:t>
      </w:r>
    </w:p>
    <w:p>
      <w:pPr>
        <w:pStyle w:val="Normal"/>
        <w:spacing w:lineRule="auto" w:line="360" w:before="0" w:after="0"/>
        <w:jc w:val="center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b/>
          <w:sz w:val="24"/>
          <w:szCs w:val="24"/>
        </w:rPr>
        <w:t>PROGRAM STUDI MANAJEMEN</w:t>
      </w:r>
    </w:p>
    <w:p>
      <w:pPr>
        <w:pStyle w:val="Normal"/>
        <w:spacing w:lineRule="auto" w:line="360" w:before="0" w:after="0"/>
        <w:jc w:val="center"/>
        <w:rPr>
          <w:rFonts w:ascii="Times Newer Roman" w:hAnsi="Times Newer Roman"/>
        </w:rPr>
      </w:pPr>
      <w:r>
        <w:rPr>
          <w:rFonts w:eastAsia="Times New Roman" w:cs="Times New Roman" w:ascii="Times Newer Roman" w:hAnsi="Times Newer Roman"/>
          <w:b/>
          <w:sz w:val="24"/>
          <w:szCs w:val="24"/>
        </w:rPr>
        <w:t>PERIODE 2025.1</w:t>
      </w:r>
    </w:p>
    <w:p>
      <w:pPr>
        <w:pStyle w:val="Normal"/>
        <w:spacing w:lineRule="auto" w:line="360" w:before="0" w:after="0"/>
        <w:jc w:val="center"/>
        <w:rPr>
          <w:rFonts w:ascii="Times Newer Roman" w:hAnsi="Times Newer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er Roman" w:hAnsi="Times Newer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er Roman" w:hAnsi="Times Newer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er Roman" w:hAnsi="Times Newer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er Roman" w:hAnsi="Times Newer Roman" w:eastAsia="Times New Roman" w:cs="Times New Roman"/>
          <w:sz w:val="24"/>
          <w:szCs w:val="24"/>
        </w:rPr>
      </w:pPr>
      <w:r>
        <w:rPr>
          <w:rFonts w:eastAsia="Times New Roman" w:cs="Times New Roman" w:ascii="Times Newer Roman" w:hAnsi="Times Newer Roman"/>
          <w:sz w:val="24"/>
          <w:szCs w:val="24"/>
        </w:rPr>
      </w:r>
    </w:p>
    <w:tbl>
      <w:tblPr>
        <w:tblW w:w="90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061"/>
      </w:tblGrid>
      <w:tr>
        <w:trPr/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b/>
                <w:sz w:val="24"/>
                <w:szCs w:val="24"/>
              </w:rPr>
              <w:t>Soal 1</w:t>
            </w:r>
          </w:p>
          <w:p>
            <w:pPr>
              <w:pStyle w:val="Normal"/>
              <w:spacing w:lineRule="auto" w:line="24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Pada tahun 2021, dua raksasa teknologi Indonesia, Gojek dan Tokopedia, melakukan merger membentuk </w:t>
            </w:r>
            <w:sdt>
              <w:sdtPr>
                <w:tag w:val="goog_rdk_19"/>
                <w:id w:val="-368998915"/>
              </w:sdtPr>
              <w:sdtContent>
                <w:r>
                  <w:rPr>
                    <w:rFonts w:eastAsia="Times New Roman" w:cs="Times New Roman" w:ascii="Times Newer Roman" w:hAnsi="Times Newer Roman"/>
                    <w:sz w:val="24"/>
                    <w:szCs w:val="24"/>
                  </w:rPr>
                </w:r>
                <w:r>
                  <w:rPr>
                    <w:rFonts w:eastAsia="Times New Roman" w:cs="Times New Roman" w:ascii="Times Newer Roman" w:hAnsi="Times Newer Roman"/>
                    <w:i/>
                    <w:sz w:val="24"/>
                    <w:szCs w:val="24"/>
                  </w:rPr>
                  <w:t>GoTo Group</w:t>
                </w:r>
              </w:sdtContent>
            </w:sdt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. Merger ini menciptakan perusahaan teknologi terbesar di Indonesia dengan valuasi mencapai 18 miliar dolar AS. GoTo Group menawarkan berbagai layanan, mulai dari transportasi </w:t>
            </w:r>
            <w:r>
              <w:rPr>
                <w:rFonts w:eastAsia="Times New Roman" w:cs="Times New Roman" w:ascii="Times Newer Roman" w:hAnsi="Times Newer Roman"/>
                <w:i/>
                <w:sz w:val="24"/>
                <w:szCs w:val="24"/>
              </w:rPr>
              <w:t>online</w:t>
            </w: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, pesan-antar makanan, pembayaran digital, hingga e-commerce. 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spacing w:lineRule="auto" w:line="240" w:before="0" w:after="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 xml:space="preserve">Identifikasi dan analisis faktor-faktor pendorong di balik merger Gojek dan Tokopedia 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spacing w:lineRule="auto" w:line="240" w:before="0" w:after="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>Bagaimana merger ini dapat menciptakan keselarasan dan mendorong inovasi dalam bisnis GoTo Group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spacing w:lineRule="auto" w:line="24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>Apa saja tantangan dan peluang yang dihadapi GoTo di pasar Indonesia yang kompetitif?</w:t>
            </w:r>
          </w:p>
          <w:p>
            <w:pPr>
              <w:pStyle w:val="Normal"/>
              <w:spacing w:lineRule="auto" w:line="240"/>
              <w:jc w:val="both"/>
              <w:rPr>
                <w:rFonts w:ascii="Times Newer Roman" w:hAnsi="Times Newer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b/>
                <w:sz w:val="24"/>
                <w:szCs w:val="24"/>
              </w:rPr>
              <w:t>Soal 2</w:t>
            </w:r>
          </w:p>
          <w:p>
            <w:pPr>
              <w:pStyle w:val="Normal"/>
              <w:spacing w:lineRule="auto" w:line="24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Sebuah perusahaan startup di bidang </w:t>
            </w:r>
            <w:r>
              <w:rPr>
                <w:rFonts w:eastAsia="Times New Roman" w:cs="Times New Roman" w:ascii="Times Newer Roman" w:hAnsi="Times Newer Roman"/>
                <w:i/>
                <w:sz w:val="24"/>
                <w:szCs w:val="24"/>
              </w:rPr>
              <w:t>e-commerce</w:t>
            </w: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 sedang mengalami pertumbuhan yang pesat. Namun, perusahaan tersebut menghadapi tantangan dalam memotivasi karyawan milenial dan Gen Z yang memiliki ekspektasi dan kebutuhan yang berbeda dari generasi sebelumnya. Perusahaan ingin menerapkan gaya kepemimpinan transformasional untuk meningkatkan motivasi dan kinerja karyawan.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pacing w:lineRule="auto" w:line="240" w:before="0" w:after="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>Menurut saudara,</w:t>
            </w: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>apa saja</w:t>
            </w: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 xml:space="preserve"> karakteristik kepemimpinan transformasional di era sekarang dan</w:t>
            </w:r>
            <w:r>
              <w:rPr>
                <w:rFonts w:eastAsia="Times New Roman" w:cs="Times New Roman" w:ascii="Times Newer Roman" w:hAnsi="Times Newer Roman"/>
                <w:sz w:val="24"/>
                <w:szCs w:val="24"/>
              </w:rPr>
              <w:t xml:space="preserve"> bagaimana </w:t>
            </w: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>gaya kepemimpinan ini dapat memotivasi karyawan milenial dan Gen Z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pacing w:lineRule="auto" w:line="240" w:before="0" w:after="160"/>
              <w:jc w:val="both"/>
              <w:rPr>
                <w:rFonts w:ascii="Times Newer Roman" w:hAnsi="Times Newer Roman"/>
              </w:rPr>
            </w:pP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>Berikan contoh strategi dan program yang dapat diterapkan oleh perusahaan tersebut untuk menerapkan kepemimpinan transformasional dan meningkatkan motivasi karyawa</w:t>
            </w:r>
            <w:r>
              <w:rPr>
                <w:rFonts w:eastAsia="Times New Roman" w:cs="Times New Roman" w:ascii="Times Newer Roman" w:hAnsi="Times Newer Roman"/>
                <w:color w:val="000000"/>
                <w:sz w:val="24"/>
                <w:szCs w:val="24"/>
              </w:rPr>
              <w:t>n</w:t>
            </w:r>
          </w:p>
        </w:tc>
      </w:tr>
    </w:tbl>
    <w:p>
      <w:pPr>
        <w:pStyle w:val="BodyText"/>
        <w:widowControl/>
        <w:spacing w:lineRule="auto" w:line="360" w:before="0" w:after="0"/>
        <w:ind w:hanging="0" w:left="0" w:right="0"/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JAWABAN</w:t>
      </w: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br/>
        <w:t>Soal 1: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Faktor-faktor Pendorong di Balik Merger Gojek dan Tokopedia: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br/>
        <w:t>Merger antara Gojek dan Tokopedia menciptakan GoTo Group yang merupakan perusahaan teknologi terbesar di Indonesia. Beberapa faktor pendorong di balik merger ini adalah:</w:t>
      </w:r>
    </w:p>
    <w:p>
      <w:pPr>
        <w:pStyle w:val="BodyText"/>
        <w:widowControl/>
        <w:numPr>
          <w:ilvl w:val="0"/>
          <w:numId w:val="5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Sinergi Layanan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 xml:space="preserve">: Gojek dan Tokopedia masing-masing memiliki layanan yang saling melengkapi. Gojek kuat di sektor transportasi online, pesan-antar makanan, dan pembayaran digital, sementara Tokopedia memiliki kekuatan di e-commerce. Merger ini memungkinkan integrasi layanan untuk menciptakan ekosistem yang lebih luas. </w:t>
      </w:r>
    </w:p>
    <w:p>
      <w:pPr>
        <w:pStyle w:val="BodyText"/>
        <w:widowControl/>
        <w:numPr>
          <w:ilvl w:val="0"/>
          <w:numId w:val="5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Skala Ekonomi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Dengan menggabungkan kedua perusahaan, GoTo dapat memanfaatkan skala ekonomi, yang memungkinkan pengurangan biaya operasional dan peningkatan efisiensi.</w:t>
      </w:r>
    </w:p>
    <w:p>
      <w:pPr>
        <w:pStyle w:val="BodyText"/>
        <w:widowControl/>
        <w:numPr>
          <w:ilvl w:val="0"/>
          <w:numId w:val="5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Kekuatan Finansial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Merger ini memungkinkan GoTo untuk mendapatkan lebih banyak investasi dan meningkatkan daya saingnya di pasar Indonesia yang sangat kompetitif.</w:t>
      </w:r>
    </w:p>
    <w:p>
      <w:pPr>
        <w:pStyle w:val="BodyText"/>
        <w:widowControl/>
        <w:spacing w:lineRule="auto" w:line="360" w:before="0" w:after="0"/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Merger ini dapat menciptakan keselarasan dan mendorong inovasi dalam bisnis GoTo Group:</w:t>
      </w:r>
    </w:p>
    <w:p>
      <w:pPr>
        <w:pStyle w:val="BodyText"/>
        <w:widowControl/>
        <w:numPr>
          <w:ilvl w:val="0"/>
          <w:numId w:val="6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Keselarasan Layanan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Dengan menggabungkan layanan yang dimiliki oleh kedua perusahaan, GoTo dapat menciptakan sebuah platform terpadu yang memberikan kemudahan bagi pengguna. Integrasi antara e-commerce dan pembayaran digital memungkinkan pengalaman yang lebih seamless bagi pelanggan.</w:t>
      </w:r>
    </w:p>
    <w:p>
      <w:pPr>
        <w:pStyle w:val="BodyText"/>
        <w:widowControl/>
        <w:numPr>
          <w:ilvl w:val="0"/>
          <w:numId w:val="6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Inovasi Teknologi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Kedua perusahaan memiliki tim R&amp;D yang kuat, dan merger ini membuka peluang untuk kolaborasi lebih besar dalam mengembangkan teknologi baru, seperti penggunaan data besar dan kecerdasan buatan dalam mempersonalisasi layanan.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Tantangan dan Peluang yang Dihadapi GoTo di Pasar Indonesia yang Kompetitif:</w:t>
      </w:r>
    </w:p>
    <w:p>
      <w:pPr>
        <w:pStyle w:val="BodyText"/>
        <w:widowControl/>
        <w:numPr>
          <w:ilvl w:val="0"/>
          <w:numId w:val="7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Tantangan:</w:t>
      </w:r>
    </w:p>
    <w:p>
      <w:pPr>
        <w:pStyle w:val="BodyText"/>
        <w:widowControl/>
        <w:numPr>
          <w:ilvl w:val="1"/>
          <w:numId w:val="7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Kompetisi yang Ketat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Pasar Indonesia memiliki banyak pesaing di bidang transportasi online, pembayaran digital, dan e-commerce, seperti Grab dan Shopee.</w:t>
      </w:r>
    </w:p>
    <w:p>
      <w:pPr>
        <w:pStyle w:val="BodyText"/>
        <w:widowControl/>
        <w:numPr>
          <w:ilvl w:val="1"/>
          <w:numId w:val="7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Regulasi Pemerintah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GoTo perlu mematuhi regulasi yang ketat terkait e-commerce dan transportasi online, yang bisa mempengaruhi operasional dan kebijakan harga.</w:t>
      </w:r>
    </w:p>
    <w:p>
      <w:pPr>
        <w:pStyle w:val="BodyText"/>
        <w:widowControl/>
        <w:numPr>
          <w:ilvl w:val="0"/>
          <w:numId w:val="7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Peluang:</w:t>
      </w:r>
    </w:p>
    <w:p>
      <w:pPr>
        <w:pStyle w:val="BodyText"/>
        <w:widowControl/>
        <w:numPr>
          <w:ilvl w:val="1"/>
          <w:numId w:val="7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Pengembangan Pasar Baru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GoTo dapat memperluas layanannya ke pasar yang lebih luas di luar Indonesia, memanfaatkan ekosistem digital yang berkembang.</w:t>
      </w:r>
    </w:p>
    <w:p>
      <w:pPr>
        <w:pStyle w:val="BodyText"/>
        <w:widowControl/>
        <w:numPr>
          <w:ilvl w:val="1"/>
          <w:numId w:val="7"/>
        </w:numPr>
        <w:spacing w:lineRule="auto" w:line="36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Inovasi dan Diversifikasi Layanan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GoTo dapat memanfaatkan data yang lebih besar untuk mengembangkan produk baru dan meningkatkan pengalaman pelanggan.</w:t>
      </w:r>
    </w:p>
    <w:p>
      <w:pPr>
        <w:pStyle w:val="HorizontalLine"/>
        <w:widowControl/>
        <w:spacing w:lineRule="auto" w:line="360" w:before="0" w:after="160"/>
        <w:ind w:hanging="0"/>
        <w:rPr>
          <w:rFonts w:ascii="Times Newer Roman" w:hAnsi="Times Newer Roman"/>
          <w:sz w:val="22"/>
          <w:szCs w:val="22"/>
        </w:rPr>
      </w:pPr>
      <w:r>
        <w:rPr>
          <w:rFonts w:ascii="Times Newer Roman" w:hAnsi="Times Newer Roman"/>
          <w:sz w:val="22"/>
          <w:szCs w:val="22"/>
        </w:rPr>
      </w:r>
    </w:p>
    <w:p>
      <w:pPr>
        <w:pStyle w:val="BodyText"/>
        <w:widowControl/>
        <w:spacing w:lineRule="auto" w:line="360" w:before="0" w:after="160"/>
        <w:ind w:hanging="0" w:left="0" w:right="0"/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/>
          <w:bCs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Soal 2: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Karakteristik Kepemimpinan Transformasional di Era Sekarang: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br/>
        <w:t>Kepemimpinan transformasional di era sekarang memiliki karakteristik sebagai berikut:</w:t>
      </w:r>
    </w:p>
    <w:p>
      <w:pPr>
        <w:pStyle w:val="BodyText"/>
        <w:widowControl/>
        <w:numPr>
          <w:ilvl w:val="0"/>
          <w:numId w:val="8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Visi yang Menginspirasi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Pemimpin yang transformasional mampu menggugah semangat karyawan dengan memberikan visi yang jelas dan membangkitkan semangat untuk mencapai tujuan bersama.</w:t>
      </w:r>
    </w:p>
    <w:p>
      <w:pPr>
        <w:pStyle w:val="BodyText"/>
        <w:widowControl/>
        <w:numPr>
          <w:ilvl w:val="0"/>
          <w:numId w:val="8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Pemberdayaan Karyawan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Pemimpin mendengarkan pendapat karyawan dan memberikan kesempatan bagi mereka untuk berkontribusi, yang membantu dalam pengambilan keputusan.</w:t>
      </w:r>
    </w:p>
    <w:p>
      <w:pPr>
        <w:pStyle w:val="BodyText"/>
        <w:widowControl/>
        <w:numPr>
          <w:ilvl w:val="0"/>
          <w:numId w:val="8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Fokus pada Pengembangan Individu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Pemimpin memberikan dukungan untuk pengembangan keterampilan dan karir karyawan, yang penting bagi karyawan milenial dan Gen Z yang menghargai pembelajaran dan pertumbuhan.</w:t>
      </w:r>
    </w:p>
    <w:p>
      <w:pPr>
        <w:pStyle w:val="BodyText"/>
        <w:widowControl/>
        <w:numPr>
          <w:ilvl w:val="0"/>
          <w:numId w:val="8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Penggunaan Teknologi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Pemimpin yang transformasional di era digital menggunakan teknologi untuk memotivasi karyawan dan meningkatkan kinerja organisasi.</w:t>
      </w:r>
    </w:p>
    <w:p>
      <w:pPr>
        <w:pStyle w:val="BodyText"/>
        <w:widowControl/>
        <w:spacing w:lineRule="auto" w:line="360" w:before="0" w:after="0"/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Bagaimana Gaya Kepemimpinan Transformasional Dapat Memotivasi Karyawan Milenial dan Gen Z: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br/>
        <w:t>Gaya kepemimpinan ini dapat memotivasi karyawan milenial dan Gen Z dengan:</w:t>
      </w:r>
    </w:p>
    <w:p>
      <w:pPr>
        <w:pStyle w:val="BodyText"/>
        <w:widowControl/>
        <w:numPr>
          <w:ilvl w:val="0"/>
          <w:numId w:val="9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Keterlibatan dalam Pengambilan Keputusan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Karyawan milenial dan Gen Z cenderung lebih menghargai keterlibatan dalam keputusan organisasi. Kepemimpinan transformasional memberi mereka suara dalam pengambilan keputusan.</w:t>
      </w:r>
    </w:p>
    <w:p>
      <w:pPr>
        <w:pStyle w:val="BodyText"/>
        <w:widowControl/>
        <w:numPr>
          <w:ilvl w:val="0"/>
          <w:numId w:val="9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Pemberdayaan dan Pengakuan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Gaya kepemimpinan ini memberi ruang bagi karyawan untuk berkembang dan memberikan pengakuan atas kontribusi mereka, yang sangat dihargai oleh milenial dan Gen Z.</w:t>
      </w:r>
    </w:p>
    <w:p>
      <w:pPr>
        <w:pStyle w:val="BodyText"/>
        <w:widowControl/>
        <w:numPr>
          <w:ilvl w:val="0"/>
          <w:numId w:val="9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Mendorong Kreativitas dan Inovasi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Gaya kepemimpinan ini mendorong kreativitas dan inovasi, yang penting bagi karyawan muda yang ingin bekerja di lingkungan yang memungkinkan mereka untuk berinovasi.</w:t>
      </w:r>
    </w:p>
    <w:p>
      <w:pPr>
        <w:pStyle w:val="BodyText"/>
        <w:widowControl/>
        <w:spacing w:lineRule="auto" w:line="360" w:before="0" w:after="0"/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160"/>
        <w:ind w:hanging="283" w:left="0" w:right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Strategi dan Program untuk Menerapkan Kepemimpinan Transformasional:</w:t>
      </w:r>
    </w:p>
    <w:p>
      <w:pPr>
        <w:pStyle w:val="BodyText"/>
        <w:widowControl/>
        <w:numPr>
          <w:ilvl w:val="0"/>
          <w:numId w:val="10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Program Pelatihan Kepemimpinan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Menyediakan program pelatihan yang berfokus pada pengembangan keterampilan kepemimpinan transformasional di kalangan manajer dan pemimpin tim.</w:t>
      </w:r>
    </w:p>
    <w:p>
      <w:pPr>
        <w:pStyle w:val="BodyText"/>
        <w:widowControl/>
        <w:numPr>
          <w:ilvl w:val="0"/>
          <w:numId w:val="10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Pemberdayaan Karyawan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Mengadakan sesi brainstorming atau pertemuan tim secara rutin di mana karyawan dapat berbagi ide dan solusi untuk tantangan yang dihadapi perusahaan.</w:t>
      </w:r>
    </w:p>
    <w:p>
      <w:pPr>
        <w:pStyle w:val="BodyText"/>
        <w:widowControl/>
        <w:numPr>
          <w:ilvl w:val="0"/>
          <w:numId w:val="10"/>
        </w:numPr>
        <w:spacing w:lineRule="auto" w:line="360" w:before="0" w:after="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Menciptakan Lingkungan Kerja yang Fleksibel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Menawarkan fleksibilitas dalam bekerja, seperti opsi bekerja dari rumah atau jam kerja yang fleksibel, yang lebih menarik bagi milenial dan Gen Z.</w:t>
      </w:r>
    </w:p>
    <w:p>
      <w:pPr>
        <w:pStyle w:val="BodyText"/>
        <w:widowControl/>
        <w:numPr>
          <w:ilvl w:val="0"/>
          <w:numId w:val="10"/>
        </w:numPr>
        <w:spacing w:lineRule="auto" w:line="360"/>
        <w:rPr/>
      </w:pPr>
      <w:r>
        <w:rPr>
          <w:rStyle w:val="Strong"/>
          <w:rFonts w:ascii="Times Newer Roman" w:hAnsi="Times Newer Roman"/>
          <w:b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Pengakuan dan Penghargaan</w:t>
      </w: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: Membangun sistem penghargaan yang mengakui pencapaian individu dan tim, yang membantu dalam mempertahankan motivasi karyawan.</w:t>
      </w:r>
    </w:p>
    <w:p>
      <w:pPr>
        <w:pStyle w:val="BodyText"/>
        <w:widowControl/>
        <w:spacing w:lineRule="auto" w:line="360" w:before="0" w:after="160"/>
        <w:ind w:hanging="0" w:left="0" w:right="0"/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r>
      <w:r>
        <w:br w:type="page"/>
      </w:r>
    </w:p>
    <w:p>
      <w:pPr>
        <w:pStyle w:val="BodyText"/>
        <w:widowControl/>
        <w:spacing w:lineRule="auto" w:line="360" w:before="0" w:after="160"/>
        <w:ind w:hanging="0" w:left="0" w:right="0"/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ascii="Times Newer Roman" w:hAnsi="Times Newer Roman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25000"/>
              </w14:srgbClr>
            </w14:solidFill>
          </w14:textFill>
        </w:rPr>
        <w:t>Sources:</w:t>
      </w:r>
    </w:p>
    <w:p>
      <w:pPr>
        <w:pStyle w:val="BodyText"/>
        <w:widowControl/>
        <w:numPr>
          <w:ilvl w:val="0"/>
          <w:numId w:val="11"/>
        </w:numPr>
        <w:spacing w:lineRule="auto" w:line="360" w:before="0" w:after="0"/>
        <w:rPr/>
      </w:pPr>
      <w:hyperlink r:id="rId2">
        <w:r>
          <w:rPr>
            <w:rStyle w:val="Hyperlink"/>
            <w:rFonts w:ascii="Times Newer Roman" w:hAnsi="Times Newer Roman"/>
            <w:b w:val="false"/>
            <w:i w:val="false"/>
            <w:caps w:val="false"/>
            <w:smallCaps w:val="false"/>
            <w:color w:val="0C93E4"/>
            <w:spacing w:val="0"/>
            <w:sz w:val="27"/>
            <w:u w:val="single"/>
            <w:shd w:fill="auto" w:val="clear"/>
          </w:rPr>
          <w:t>https://www.inc.com/guides/2010/06/defining-transformational-leadership.html</w:t>
        </w:r>
      </w:hyperlink>
    </w:p>
    <w:p>
      <w:pPr>
        <w:pStyle w:val="BodyText"/>
        <w:widowControl/>
        <w:numPr>
          <w:ilvl w:val="0"/>
          <w:numId w:val="11"/>
        </w:numPr>
        <w:spacing w:lineRule="auto" w:line="360" w:before="0" w:after="0"/>
        <w:rPr/>
      </w:pPr>
      <w:hyperlink r:id="rId3">
        <w:r>
          <w:rPr>
            <w:rStyle w:val="Hyperlink"/>
            <w:rFonts w:ascii="Times Newer Roman" w:hAnsi="Times Newer Roman"/>
            <w:b w:val="false"/>
            <w:i w:val="false"/>
            <w:caps w:val="false"/>
            <w:smallCaps w:val="false"/>
            <w:color w:val="0C93E4"/>
            <w:spacing w:val="0"/>
            <w:sz w:val="27"/>
            <w:u w:val="single"/>
            <w:shd w:fill="auto" w:val="clear"/>
          </w:rPr>
          <w:t>https://www.mindtools.com/pages/article/newLDR_84.htm</w:t>
        </w:r>
      </w:hyperlink>
    </w:p>
    <w:p>
      <w:pPr>
        <w:pStyle w:val="BodyText"/>
        <w:widowControl/>
        <w:numPr>
          <w:ilvl w:val="0"/>
          <w:numId w:val="11"/>
        </w:numPr>
        <w:spacing w:lineRule="auto" w:line="360" w:before="0" w:after="140"/>
        <w:rPr/>
      </w:pPr>
      <w:hyperlink r:id="rId4">
        <w:r>
          <w:rPr>
            <w:rStyle w:val="Hyperlink"/>
            <w:rFonts w:ascii="Times Newer Roman" w:hAnsi="Times Newer Roman"/>
            <w:b w:val="false"/>
            <w:i w:val="false"/>
            <w:caps w:val="false"/>
            <w:smallCaps w:val="false"/>
            <w:color w:val="0C93E4"/>
            <w:spacing w:val="0"/>
            <w:sz w:val="27"/>
            <w:u w:val="single"/>
            <w:shd w:fill="auto" w:val="clear"/>
          </w:rPr>
          <w:t>https://www.ccl.org/articles/leading-effectively-articles/the-collaborative-leader/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er Roma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0fd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fd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d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d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d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d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d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d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d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d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0fd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c0fd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c0fd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0fd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0fd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0fd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0fd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0fd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0fd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c0fd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0fd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c0fd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c0fd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0fd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c0fde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next w:val="Normal"/>
    <w:link w:val="TitleChar"/>
    <w:uiPriority w:val="10"/>
    <w:qFormat/>
    <w:rsid w:val="00fc0fd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d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d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c0fd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c.com/guides/2010/06/defining-transformational-leadership.html" TargetMode="External"/><Relationship Id="rId3" Type="http://schemas.openxmlformats.org/officeDocument/2006/relationships/hyperlink" Target="https://www.mindtools.com/pages/article/newLDR_84.htm" TargetMode="External"/><Relationship Id="rId4" Type="http://schemas.openxmlformats.org/officeDocument/2006/relationships/hyperlink" Target="https://www.ccl.org/articles/leading-effectively-articles/the-collaborative-leade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LibreOffice/25.2.3.2$Linux_X86_64 LibreOffice_project/520$Build-2</Application>
  <AppVersion>15.0000</AppVersion>
  <Pages>6</Pages>
  <Words>804</Words>
  <Characters>5571</Characters>
  <CharactersWithSpaces>6295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2025-03-02T13:57:00Z</dcterms:created>
  <dc:creator>office35292</dc:creator>
  <dc:description/>
  <dc:language>id-ID</dc:language>
  <cp:lastModifiedBy>Indrawan Lisanto</cp:lastModifiedBy>
  <dcterms:modified xsi:type="dcterms:W3CDTF">2025-05-14T22:43:19Z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