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COTIZACIÓN DE ALQUILER DE ESPACIOS</w:t>
      </w:r>
    </w:p>
    <w:p>
      <w:pPr>
        <w:spacing w:after="240"/>
        <w:jc w:val="center"/>
      </w:pPr>
      <w:r>
        <w:rPr>
          <w:i/>
          <w:iCs/>
          <w:color w:val="555555"/>
          <w:sz w:val="20"/>
          <w:szCs w:val="20"/>
        </w:rPr>
        <w:t xml:space="preserve">Bolsa de Comercio de Rosario — Área de Eventos y Cultura</w:t>
      </w:r>
    </w:p>
    <w:p>
      <w:pPr>
        <w:pBdr>
          <w:bottom w:val="single" w:color="1F3864" w:sz="8" w:space="2"/>
        </w:pBdr>
        <w:spacing w:after="140" w:before="360"/>
      </w:pPr>
      <w:r>
        <w:rPr>
          <w:b/>
          <w:bCs/>
          <w:color w:val="1F3864"/>
          <w:sz w:val="24"/>
          <w:szCs w:val="24"/>
        </w:rPr>
        <w:t xml:space="preserve">Datos de la cotización</w:t>
      </w:r>
    </w:p>
    <w:p>
      <w:pPr>
        <w:spacing w:after="200"/>
      </w:pPr>
      <w:r>
        <w:rPr>
          <w:sz w:val="19"/>
          <w:szCs w:val="19"/>
        </w:rPr>
        <w:t xml:space="preserve">Jornada de armado incluida: {{jornada_armado}}</w:t>
      </w:r>
    </w:p>
    <w:p>
      <w:pPr>
        <w:spacing w:after="0"/>
      </w:pPr>
      <w:r>
        <w:rPr>
          <w:sz w:val="2"/>
          <w:szCs w:val="2"/>
        </w:rPr>
        <w:t xml:space="preserve">{{#espacios}}</w:t>
      </w:r>
    </w:p>
    <w:p>
      <w:pPr>
        <w:spacing w:after="40"/>
      </w:pPr>
      <w:r>
        <w:rPr>
          <w:b/>
          <w:bCs/>
          <w:color w:val="1F3864"/>
          <w:sz w:val="21"/>
          <w:szCs w:val="21"/>
        </w:rPr>
        <w:t xml:space="preserve">{{nombre}} — {{jornada}}</w:t>
      </w:r>
    </w:p>
    <w:p>
      <w:pPr>
        <w:spacing w:after="80"/>
      </w:pPr>
      <w:r>
        <w:rPr>
          <w:sz w:val="18"/>
          <w:szCs w:val="18"/>
          <w:color w:val="4A5568"/>
        </w:rPr>
        <w:t xml:space="preserve">Ubicación: {{ubicacion}}   ·   Superficie: {{superficie}}   ·   Capacidad: {{capacidad}}</w:t>
      </w:r>
    </w:p>
    <w:p>
      <w:pPr>
        <w:spacing w:after="120"/>
      </w:pPr>
      <w:r>
        <w:rPr>
          <w:i/>
          <w:iCs/>
          <w:sz w:val="19"/>
          <w:szCs w:val="19"/>
        </w:rPr>
        <w:t xml:space="preserve">{{descripcion}}</w:t>
      </w:r>
    </w:p>
    <w:p>
      <w:pPr>
        <w:spacing w:after="60"/>
      </w:pPr>
      <w:r>
        <w:rPr>
          <w:b/>
          <w:bCs/>
          <w:sz w:val="19"/>
          <w:szCs w:val="19"/>
        </w:rPr>
        <w:t xml:space="preserve">Infraestructura y servicios incluidos:</w:t>
      </w:r>
    </w:p>
    <w:p>
      <w:pPr>
        <w:pStyle w:val="ListParagraph"/>
        <w:numPr>
          <w:ilvl w:val="0"/>
          <w:numId w:val="2"/>
        </w:numPr>
        <w:spacing w:after="60"/>
      </w:pPr>
      <w:r>
        <w:rPr>
          <w:sz w:val="2"/>
          <w:szCs w:val="2"/>
        </w:rPr>
        <w:t xml:space="preserve">{{#infra}}</w:t>
      </w:r>
    </w:p>
    <w:p>
      <w:pPr>
        <w:pStyle w:val="ListParagraph"/>
        <w:numPr>
          <w:ilvl w:val="0"/>
          <w:numId w:val="2"/>
        </w:numPr>
        <w:spacing w:after="60"/>
      </w:pPr>
      <w:r>
        <w:rPr>
          <w:sz w:val="19"/>
          <w:szCs w:val="19"/>
        </w:rPr>
        <w:t xml:space="preserve">{{.}}</w:t>
      </w:r>
    </w:p>
    <w:p>
      <w:pPr>
        <w:pStyle w:val="ListParagraph"/>
        <w:numPr>
          <w:ilvl w:val="0"/>
          <w:numId w:val="2"/>
        </w:numPr>
        <w:spacing w:after="60"/>
      </w:pPr>
      <w:r>
        <w:rPr>
          <w:sz w:val="2"/>
          <w:szCs w:val="2"/>
        </w:rPr>
        <w:t xml:space="preserve">{{/infra}}</w:t>
      </w:r>
    </w:p>
    <w:p>
      <w:pPr>
        <w:pBdr>
          <w:bottom w:val="single" w:color="C9D4E8" w:sz="4" w:space="4"/>
        </w:pBdr>
        <w:spacing w:after="200" w:before="100"/>
      </w:pPr>
      <w:r>
        <w:rPr>
          <w:sz w:val="2"/>
          <w:szCs w:val="2"/>
        </w:rPr>
        <w:t xml:space="preserve"> </w:t>
      </w:r>
    </w:p>
    <w:p>
      <w:pPr>
        <w:spacing w:after="0"/>
      </w:pPr>
      <w:r>
        <w:rPr>
          <w:sz w:val="2"/>
          <w:szCs w:val="2"/>
        </w:rPr>
        <w:t xml:space="preserve">{{/espacios}}</w:t>
      </w:r>
    </w:p>
    <w:p>
      <w:pPr>
        <w:pBdr>
          <w:bottom w:val="single" w:color="1F3864" w:sz="8" w:space="2"/>
        </w:pBdr>
        <w:spacing w:after="140" w:before="360"/>
      </w:pPr>
      <w:r>
        <w:rPr>
          <w:b/>
          <w:bCs/>
          <w:color w:val="1F3864"/>
          <w:sz w:val="24"/>
          <w:szCs w:val="24"/>
        </w:rPr>
        <w:t xml:space="preserve">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vAlign w:val="center"/>
          </w:tcPr>
          <w:p>
            <w:r>
              <w:rPr>
                <w:b/>
                <w:bCs/>
                <w:color w:val="1F3864"/>
                <w:sz w:val="20"/>
                <w:szCs w:val="20"/>
              </w:rPr>
              <w:t xml:space="preserve">Alquiler del espacio</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rPr>
                <w:sz w:val="20"/>
                <w:szCs w:val="20"/>
              </w:rPr>
              <w:t xml:space="preserve">{{costo_alquiler}}</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vAlign w:val="center"/>
          </w:tcPr>
          <w:p>
            <w:r>
              <w:rPr>
                <w:b/>
                <w:bCs/>
                <w:color w:val="1F3864"/>
                <w:sz w:val="20"/>
                <w:szCs w:val="20"/>
              </w:rPr>
              <w:t xml:space="preserve">Adicionales</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rPr>
                <w:sz w:val="20"/>
                <w:szCs w:val="20"/>
              </w:rPr>
              <w:t xml:space="preserve">{{costo_adicionales}}</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vAlign w:val="center"/>
          </w:tcPr>
          <w:p>
            <w:r>
              <w:rPr>
                <w:b/>
                <w:bCs/>
                <w:color w:val="1F3864"/>
                <w:sz w:val="20"/>
                <w:szCs w:val="20"/>
              </w:rPr>
              <w:t xml:space="preserve">Descuento aplicado</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rPr>
                <w:sz w:val="20"/>
                <w:szCs w:val="20"/>
              </w:rPr>
              <w:t xml:space="preserve">{{descuento}}</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vAlign w:val="center"/>
          </w:tcPr>
          <w:p>
            <w:r>
              <w:rPr>
                <w:b/>
                <w:bCs/>
                <w:color w:val="1F3864"/>
                <w:sz w:val="20"/>
                <w:szCs w:val="20"/>
              </w:rPr>
              <w:t xml:space="preserve">Total estimado</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rPr>
                <w:sz w:val="20"/>
                <w:szCs w:val="20"/>
              </w:rPr>
              <w:t xml:space="preserve">{{total}}</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vAlign w:val="center"/>
          </w:tcPr>
          <w:p>
            <w:r>
              <w:rPr>
                <w:b/>
                <w:bCs/>
                <w:color w:val="1F3864"/>
                <w:sz w:val="20"/>
                <w:szCs w:val="20"/>
              </w:rPr>
              <w:t xml:space="preserve">Moneda de referencia</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rPr>
                <w:sz w:val="20"/>
                <w:szCs w:val="20"/>
              </w:rPr>
              <w:t xml:space="preserve">{{moneda}}</w:t>
            </w:r>
          </w:p>
        </w:tc>
      </w:tr>
    </w:tbl>
    <w:p>
      <w:pPr>
        <w:spacing w:after="200"/>
      </w:pPr>
      <w:r>
        <w:rPr>
          <w:b w:val="false"/>
          <w:bCs w:val="false"/>
          <w:i/>
          <w:iCs/>
          <w:sz w:val="19"/>
          <w:szCs w:val="19"/>
        </w:rPr>
        <w:t xml:space="preserve">Observaciones económicas: {{obs_economicas}}</w:t>
      </w:r>
    </w:p>
    <w:p>
      <w:pPr>
        <w:pBdr>
          <w:bottom w:val="single" w:color="1F3864" w:sz="8" w:space="2"/>
        </w:pBdr>
        <w:spacing w:after="140" w:before="360"/>
      </w:pPr>
      <w:r>
        <w:rPr>
          <w:b/>
          <w:bCs/>
          <w:color w:val="1F3864"/>
          <w:sz w:val="24"/>
          <w:szCs w:val="24"/>
        </w:rPr>
        <w:t xml:space="preserve">Opciones a elección del cliente</w:t>
      </w:r>
    </w:p>
    <w:p>
      <w:pPr>
        <w:spacing w:after="80"/>
      </w:pPr>
      <w:r>
        <w:rPr>
          <w:i/>
          <w:iCs/>
          <w:sz w:val="18"/>
          <w:szCs w:val="18"/>
          <w:color w:val="4A5568"/>
        </w:rPr>
        <w:t xml:space="preserve">Estas alternativas no están incluidas en el total del presupuesto — el cliente elige una (o ninguna).</w:t>
      </w:r>
    </w:p>
    <w:p>
      <w:pPr>
        <w:spacing w:after="200"/>
      </w:pPr>
      <w:r>
        <w:rPr>
          <w:sz w:val="19"/>
          <w:szCs w:val="19"/>
        </w:rPr>
        <w:t xml:space="preserve">{{opciones_alternativas}}</w:t>
      </w:r>
    </w:p>
    <w:p>
      <w:pPr>
        <w:pBdr>
          <w:bottom w:val="single" w:color="1F3864" w:sz="8" w:space="2"/>
        </w:pBdr>
        <w:spacing w:after="140" w:before="360"/>
      </w:pPr>
      <w:r>
        <w:rPr>
          <w:b/>
          <w:bCs/>
          <w:color w:val="1F3864"/>
          <w:sz w:val="24"/>
          <w:szCs w:val="24"/>
        </w:rPr>
        <w:t xml:space="preserve">Condiciones comerciales</w:t>
      </w:r>
    </w:p>
    <w:p>
      <w:pPr>
        <w:pStyle w:val="ListParagraph"/>
        <w:numPr>
          <w:ilvl w:val="0"/>
          <w:numId w:val="2"/>
        </w:numPr>
        <w:spacing w:after="60"/>
      </w:pPr>
      <w:r>
        <w:rPr>
          <w:sz w:val="19"/>
          <w:szCs w:val="19"/>
        </w:rPr>
        <w:t xml:space="preserve">Reserva: se confirma con el pago de una seña equivalente al 30% del total.</w:t>
      </w:r>
    </w:p>
    <w:p>
      <w:pPr>
        <w:pStyle w:val="ListParagraph"/>
        <w:numPr>
          <w:ilvl w:val="0"/>
          <w:numId w:val="2"/>
        </w:numPr>
        <w:spacing w:after="60"/>
      </w:pPr>
      <w:r>
        <w:rPr>
          <w:sz w:val="19"/>
          <w:szCs w:val="19"/>
        </w:rPr>
        <w:t xml:space="preserve">Saldo: el 70% restante debe abonarse hasta 72 horas antes del evento.</w:t>
      </w:r>
    </w:p>
    <w:p>
      <w:pPr>
        <w:pStyle w:val="ListParagraph"/>
        <w:numPr>
          <w:ilvl w:val="0"/>
          <w:numId w:val="2"/>
        </w:numPr>
        <w:spacing w:after="60"/>
      </w:pPr>
      <w:r>
        <w:rPr>
          <w:sz w:val="19"/>
          <w:szCs w:val="19"/>
        </w:rPr>
        <w:t xml:space="preserve">Medios de pago aceptados: e-cheq o transferencia bancaria, en pesos o dólares.</w:t>
      </w:r>
    </w:p>
    <w:p>
      <w:pPr>
        <w:pStyle w:val="ListParagraph"/>
        <w:numPr>
          <w:ilvl w:val="0"/>
          <w:numId w:val="2"/>
        </w:numPr>
        <w:spacing w:after="60"/>
      </w:pPr>
      <w:r>
        <w:rPr>
          <w:sz w:val="19"/>
          <w:szCs w:val="19"/>
        </w:rPr>
        <w:t xml:space="preserve">Los costos de esta cotización están expresados en dólares estadounidenses. Al momento del pago, la facturación se realiza en pesos argentinos, tomando como referencia el valor del dólar oficial (Banco Nación) vigente al momento de emitir la factura.</w:t>
      </w:r>
    </w:p>
    <w:p>
      <w:pPr>
        <w:pStyle w:val="ListParagraph"/>
        <w:numPr>
          <w:ilvl w:val="0"/>
          <w:numId w:val="2"/>
        </w:numPr>
        <w:spacing w:after="60"/>
      </w:pPr>
      <w:r>
        <w:rPr>
          <w:sz w:val="19"/>
          <w:szCs w:val="19"/>
        </w:rPr>
        <w:t xml:space="preserve">La jornada previa de armado se cotiza al valor de media jornada del salón seleccionado, permitiendo al inquilino disponer del espacio durante la jornada completa de armado.</w:t>
      </w:r>
    </w:p>
    <w:p>
      <w:pPr>
        <w:pStyle w:val="ListParagraph"/>
        <w:numPr>
          <w:ilvl w:val="0"/>
          <w:numId w:val="2"/>
        </w:numPr>
        <w:spacing w:after="60"/>
      </w:pPr>
      <w:r>
        <w:rPr>
          <w:sz w:val="19"/>
          <w:szCs w:val="19"/>
        </w:rPr>
        <w:t xml:space="preserve">La disponibilidad del espacio queda sujeta a confirmación al momento de formalizar la reserva.</w:t>
      </w:r>
    </w:p>
    <w:p>
      <w:pPr>
        <w:pStyle w:val="ListParagraph"/>
        <w:numPr>
          <w:ilvl w:val="0"/>
          <w:numId w:val="2"/>
        </w:numPr>
        <w:spacing w:after="60"/>
      </w:pPr>
      <w:r>
        <w:rPr>
          <w:sz w:val="19"/>
          <w:szCs w:val="19"/>
        </w:rPr>
        <w:t>Los precios no incluyen IVA. Los valores corresponden al tarifario vigente 2026.</w:t>
      </w:r>
    </w:p>
    <w:p>
      <w:pPr>
        <w:pStyle w:val="ListParagraph"/>
        <w:numPr>
          <w:ilvl w:val="0"/>
          <w:numId w:val="2"/>
        </w:numPr>
        <w:spacing w:after="60"/>
      </w:pPr>
      <w:r>
        <w:rPr>
          <w:sz w:val="19"/>
          <w:szCs w:val="19"/>
        </w:rPr>
        <w:t xml:space="preserve">La Bolsa de Comercio de Rosario se encuentra exenta del pago de diversos impuestos. El detalle completo de su situación impositiva puede consultarse en el </w:t>
      </w:r>
      <w:hyperlink r:id="rId10" w:history="1">
        <w:r>
          <w:rPr>
            <w:rStyle w:val="Hyperlink"/>
            <w:sz w:val="19"/>
            <w:szCs w:val="19"/>
          </w:rPr>
          <w:t>legajo impositivo de BCR</w:t>
        </w:r>
      </w:hyperlink>
      <w:r>
        <w:rPr>
          <w:sz w:val="19"/>
          <w:szCs w:val="19"/>
        </w:rPr>
        <w:t>.</w:t>
      </w:r>
    </w:p>
    <w:p>
      <w:pPr>
        <w:spacing w:before="300"/>
      </w:pPr>
      <w:r>
        <w:rPr>
          <w:sz w:val="19"/>
          <w:szCs w:val="19"/>
        </w:rPr>
        <w:t xml:space="preserve">Quedamos a disposición para coordinar una visita al espacio o resolver cualquier consulta adicional.</w:t>
      </w:r>
    </w:p>
    <w:p>
      <w:pPr>
        <w:spacing w:before="200"/>
      </w:pPr>
      <w:r>
        <w:rPr>
          <w:sz w:val="19"/>
          <w:szCs w:val="19"/>
        </w:rPr>
        <w:t xml:space="preserve">Saludos cordiales,</w:t>
      </w:r>
    </w:p>
    <w:p>
      <w:pPr>
        <w:spacing w:before="60"/>
      </w:pPr>
      <w:r>
        <w:rPr>
          <w:b/>
          <w:bCs/>
          <w:sz w:val="19"/>
          <w:szCs w:val="19"/>
        </w:rPr>
        <w:t xml:space="preserve">{{responsable}}</w:t>
      </w:r>
    </w:p>
    <w:p>
      <w:r>
        <w:rPr>
          <w:color w:val="666666"/>
          <w:sz w:val="17"/>
          <w:szCs w:val="17"/>
        </w:rPr>
        <w:t xml:space="preserve">Área de Eventos y Cultura — Bolsa de Comercio de Rosario</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666666"/>
        <w:sz w:val="15"/>
        <w:szCs w:val="15"/>
      </w:rPr>
      <w:t xml:space="preserve">institucional@bcr.com.ar · (54 341) 525 8300 | 410 2600 · www.bcr.com.ar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800225" cy="9001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0225" cy="90011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ww.bcr.com.ar/sites/default/files/2026-04/bcr_-_legajo_impositivo_abril_2026.pdf" TargetMode="External"/></Relationships>
</file>

<file path=word/_rels/header1.xml.rels><?xml version='1.0' encoding='UTF-8' standalone='yes'?>
<Relationships xmlns="http://schemas.openxmlformats.org/package/2006/relationships"><Relationship Id="rId0" Type="http://schemas.openxmlformats.org/officeDocument/2006/relationships/image" Target="media/b17d90eca80cd303d947f1b87df2ae986f09045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2026-06-30T19:07:14.151Z</dcterms:created>
  <dcterms:modified xsi:type="dcterms:W3CDTF">2026-06-30T19:07:14.167Z</dcterms:modified>
</cp:coreProperties>
</file>

<file path=docProps/custom.xml><?xml version="1.0" encoding="utf-8"?>
<Properties xmlns="http://schemas.openxmlformats.org/officeDocument/2006/custom-properties" xmlns:vt="http://schemas.openxmlformats.org/officeDocument/2006/docPropsVTypes"/>
</file>