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A297" w14:textId="77777777" w:rsidR="0069200A" w:rsidRDefault="00AF18F6">
      <w:pPr>
        <w:pStyle w:val="Title"/>
      </w:pPr>
      <w:r w:rsidRPr="00AF18F6">
        <w:t>Executive Report: Q1 2027 Financial Outlook</w:t>
      </w:r>
    </w:p>
    <w:p w14:paraId="543531CB" w14:textId="77777777" w:rsidR="00AF18F6" w:rsidRDefault="00AF18F6">
      <w:pPr>
        <w:pStyle w:val="Subtitle"/>
        <w:rPr>
          <w:sz w:val="24"/>
          <w:szCs w:val="24"/>
        </w:rPr>
      </w:pPr>
      <w:r>
        <w:t>Northwind Traders Q4 budget forecast post-exercise</w:t>
      </w:r>
    </w:p>
    <w:p w14:paraId="799EA681" w14:textId="77777777" w:rsidR="00AF18F6" w:rsidRDefault="00AF18F6">
      <w:pPr>
        <w:pStyle w:val="Heading1"/>
        <w:rPr>
          <w:rFonts w:asciiTheme="minorHAnsi" w:hAnsiTheme="minorHAnsi" w:cstheme="minorBidi"/>
          <w:sz w:val="48"/>
          <w:szCs w:val="48"/>
        </w:rPr>
      </w:pPr>
      <w:r>
        <w:rPr>
          <w:rFonts w:asciiTheme="minorHAnsi" w:hAnsiTheme="minorHAnsi" w:cstheme="minorBidi"/>
        </w:rPr>
        <w:t>Executive Summary</w:t>
      </w:r>
    </w:p>
    <w:p w14:paraId="3E258F0A" w14:textId="77777777" w:rsidR="00AF18F6" w:rsidRDefault="00AF18F6">
      <w:r>
        <w:t xml:space="preserve">Q1 2027 forecast shows a material profitability gap under the current what-if scenario. Demand is modeled down 15%, while supply-chain, marketing, and labor costs increase, resulting in forecast revenue of </w:t>
      </w:r>
      <w:r>
        <w:rPr>
          <w:b/>
          <w:bCs/>
        </w:rPr>
        <w:t>$3.10M</w:t>
      </w:r>
      <w:r>
        <w:t xml:space="preserve">, total expenses of </w:t>
      </w:r>
      <w:r>
        <w:rPr>
          <w:b/>
          <w:bCs/>
        </w:rPr>
        <w:t>$3.80M</w:t>
      </w:r>
      <w:r>
        <w:t xml:space="preserve">, net income of </w:t>
      </w:r>
      <w:r>
        <w:rPr>
          <w:b/>
          <w:bCs/>
        </w:rPr>
        <w:t>-$708K</w:t>
      </w:r>
      <w:r>
        <w:t xml:space="preserve">, and net margin of </w:t>
      </w:r>
      <w:r>
        <w:rPr>
          <w:b/>
          <w:bCs/>
        </w:rPr>
        <w:t>-22.9%</w:t>
      </w:r>
      <w:r>
        <w:t>. The CFO priority should be immediate margin containment, cash preservation, and targeted cost actions in the highest-loss regions and categories.</w:t>
      </w:r>
    </w:p>
    <w:p w14:paraId="2E03366F" w14:textId="77777777" w:rsidR="00AF18F6" w:rsidRDefault="00AF18F6">
      <w:pPr>
        <w:pStyle w:val="Heading1"/>
        <w:rPr>
          <w:rFonts w:asciiTheme="minorHAnsi" w:hAnsiTheme="minorHAnsi" w:cstheme="minorBidi"/>
          <w:sz w:val="48"/>
          <w:szCs w:val="48"/>
        </w:rPr>
      </w:pPr>
      <w:r>
        <w:rPr>
          <w:rFonts w:asciiTheme="minorHAnsi" w:hAnsiTheme="minorHAnsi" w:cstheme="minorBidi"/>
        </w:rPr>
        <w:t>CFO KPI Snapshot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085"/>
        <w:gridCol w:w="1411"/>
        <w:gridCol w:w="5854"/>
      </w:tblGrid>
      <w:tr w:rsidR="00AF18F6" w14:paraId="23696A6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271A3" w14:textId="77777777" w:rsidR="00AF18F6" w:rsidRDefault="00AF18F6">
            <w:r>
              <w:t>Metric</w:t>
            </w:r>
          </w:p>
        </w:tc>
        <w:tc>
          <w:tcPr>
            <w:tcW w:w="0" w:type="auto"/>
            <w:hideMark/>
          </w:tcPr>
          <w:p w14:paraId="678E51B1" w14:textId="77777777" w:rsidR="00AF18F6" w:rsidRDefault="00AF18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Q1 2027 Forecast</w:t>
            </w:r>
          </w:p>
        </w:tc>
        <w:tc>
          <w:tcPr>
            <w:tcW w:w="0" w:type="auto"/>
            <w:hideMark/>
          </w:tcPr>
          <w:p w14:paraId="59E0E2CB" w14:textId="77777777" w:rsidR="00AF18F6" w:rsidRDefault="00AF18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CFO Interpretation</w:t>
            </w:r>
          </w:p>
        </w:tc>
      </w:tr>
      <w:tr w:rsidR="00AF18F6" w14:paraId="7709D74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2BC8B" w14:textId="77777777" w:rsidR="00AF18F6" w:rsidRDefault="00AF18F6">
            <w:r>
              <w:t>Forecast Revenue</w:t>
            </w:r>
          </w:p>
        </w:tc>
        <w:tc>
          <w:tcPr>
            <w:tcW w:w="0" w:type="auto"/>
            <w:hideMark/>
          </w:tcPr>
          <w:p w14:paraId="35A7E7E7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$3.10M</w:t>
            </w:r>
          </w:p>
        </w:tc>
        <w:tc>
          <w:tcPr>
            <w:tcW w:w="0" w:type="auto"/>
            <w:hideMark/>
          </w:tcPr>
          <w:p w14:paraId="057866BB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Revenue pressure reflects the 15% demand reduction scenario.</w:t>
            </w:r>
          </w:p>
        </w:tc>
      </w:tr>
      <w:tr w:rsidR="00AF18F6" w14:paraId="11EA886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53D66" w14:textId="77777777" w:rsidR="00AF18F6" w:rsidRDefault="00AF18F6">
            <w:r>
              <w:t>Total Expenses</w:t>
            </w:r>
          </w:p>
        </w:tc>
        <w:tc>
          <w:tcPr>
            <w:tcW w:w="0" w:type="auto"/>
            <w:hideMark/>
          </w:tcPr>
          <w:p w14:paraId="2B61544A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$3.80M</w:t>
            </w:r>
          </w:p>
        </w:tc>
        <w:tc>
          <w:tcPr>
            <w:tcW w:w="0" w:type="auto"/>
            <w:hideMark/>
          </w:tcPr>
          <w:p w14:paraId="4FEB5361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Expense base exceeds revenue by approximately $708K.</w:t>
            </w:r>
          </w:p>
        </w:tc>
      </w:tr>
      <w:tr w:rsidR="00AF18F6" w14:paraId="390D72D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0B5C8" w14:textId="77777777" w:rsidR="00AF18F6" w:rsidRDefault="00AF18F6">
            <w:r>
              <w:t>Net Income</w:t>
            </w:r>
          </w:p>
        </w:tc>
        <w:tc>
          <w:tcPr>
            <w:tcW w:w="0" w:type="auto"/>
            <w:hideMark/>
          </w:tcPr>
          <w:p w14:paraId="7DCAA0FB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-$708K</w:t>
            </w:r>
          </w:p>
        </w:tc>
        <w:tc>
          <w:tcPr>
            <w:tcW w:w="0" w:type="auto"/>
            <w:hideMark/>
          </w:tcPr>
          <w:p w14:paraId="618EA99A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Requires immediate corrective action to reduce quarterly loss exposure.</w:t>
            </w:r>
          </w:p>
        </w:tc>
      </w:tr>
      <w:tr w:rsidR="00AF18F6" w14:paraId="3B0BD5B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C0357" w14:textId="77777777" w:rsidR="00AF18F6" w:rsidRDefault="00AF18F6">
            <w:r>
              <w:t>Net Margin</w:t>
            </w:r>
          </w:p>
        </w:tc>
        <w:tc>
          <w:tcPr>
            <w:tcW w:w="0" w:type="auto"/>
            <w:hideMark/>
          </w:tcPr>
          <w:p w14:paraId="0618FAE6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-22.9%</w:t>
            </w:r>
          </w:p>
        </w:tc>
        <w:tc>
          <w:tcPr>
            <w:tcW w:w="0" w:type="auto"/>
            <w:hideMark/>
          </w:tcPr>
          <w:p w14:paraId="075DF850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Margin profile is not sustainable without cost reduction or pricing/revenue intervention.</w:t>
            </w:r>
          </w:p>
        </w:tc>
      </w:tr>
      <w:tr w:rsidR="00AF18F6" w14:paraId="67769E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3110B" w14:textId="77777777" w:rsidR="00AF18F6" w:rsidRDefault="00AF18F6">
            <w:r>
              <w:t>Identified Savings Potential</w:t>
            </w:r>
          </w:p>
        </w:tc>
        <w:tc>
          <w:tcPr>
            <w:tcW w:w="0" w:type="auto"/>
            <w:hideMark/>
          </w:tcPr>
          <w:p w14:paraId="0681AFFC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$170K</w:t>
            </w:r>
          </w:p>
        </w:tc>
        <w:tc>
          <w:tcPr>
            <w:tcW w:w="0" w:type="auto"/>
            <w:hideMark/>
          </w:tcPr>
          <w:p w14:paraId="384919FC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Current savings targets can offset about 24% of forecast net loss.</w:t>
            </w:r>
          </w:p>
        </w:tc>
      </w:tr>
    </w:tbl>
    <w:p w14:paraId="745BB77F" w14:textId="77777777" w:rsidR="00AF18F6" w:rsidRDefault="00AF18F6"/>
    <w:p w14:paraId="5ED13286" w14:textId="77777777" w:rsidR="00AF18F6" w:rsidRDefault="00AF18F6">
      <w:pPr>
        <w:pStyle w:val="Heading1"/>
        <w:rPr>
          <w:szCs w:val="40"/>
        </w:rPr>
      </w:pPr>
      <w:r>
        <w:t>Regional Financial Outlook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223"/>
        <w:gridCol w:w="825"/>
        <w:gridCol w:w="862"/>
        <w:gridCol w:w="1026"/>
        <w:gridCol w:w="967"/>
        <w:gridCol w:w="4447"/>
      </w:tblGrid>
      <w:tr w:rsidR="00AF18F6" w14:paraId="7F32808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EF0A9" w14:textId="77777777" w:rsidR="00AF18F6" w:rsidRDefault="00AF18F6">
            <w:r>
              <w:t>Region</w:t>
            </w:r>
          </w:p>
        </w:tc>
        <w:tc>
          <w:tcPr>
            <w:tcW w:w="0" w:type="auto"/>
            <w:hideMark/>
          </w:tcPr>
          <w:p w14:paraId="0613707E" w14:textId="77777777" w:rsidR="00AF18F6" w:rsidRDefault="00AF18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Revenue</w:t>
            </w:r>
          </w:p>
        </w:tc>
        <w:tc>
          <w:tcPr>
            <w:tcW w:w="0" w:type="auto"/>
            <w:hideMark/>
          </w:tcPr>
          <w:p w14:paraId="32CF573C" w14:textId="77777777" w:rsidR="00AF18F6" w:rsidRDefault="00AF18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Expenses</w:t>
            </w:r>
          </w:p>
        </w:tc>
        <w:tc>
          <w:tcPr>
            <w:tcW w:w="0" w:type="auto"/>
            <w:hideMark/>
          </w:tcPr>
          <w:p w14:paraId="57525AE2" w14:textId="77777777" w:rsidR="00AF18F6" w:rsidRDefault="00AF18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Net Income</w:t>
            </w:r>
          </w:p>
        </w:tc>
        <w:tc>
          <w:tcPr>
            <w:tcW w:w="0" w:type="auto"/>
            <w:hideMark/>
          </w:tcPr>
          <w:p w14:paraId="0D7571E3" w14:textId="77777777" w:rsidR="00AF18F6" w:rsidRDefault="00AF18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Net Margin</w:t>
            </w:r>
          </w:p>
        </w:tc>
        <w:tc>
          <w:tcPr>
            <w:tcW w:w="0" w:type="auto"/>
            <w:hideMark/>
          </w:tcPr>
          <w:p w14:paraId="6D9EC683" w14:textId="77777777" w:rsidR="00AF18F6" w:rsidRDefault="00AF18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</w:tr>
      <w:tr w:rsidR="00AF18F6" w14:paraId="3EF2D4C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8CAE0" w14:textId="77777777" w:rsidR="00AF18F6" w:rsidRDefault="00AF18F6">
            <w:r>
              <w:t>North America</w:t>
            </w:r>
          </w:p>
        </w:tc>
        <w:tc>
          <w:tcPr>
            <w:tcW w:w="0" w:type="auto"/>
            <w:hideMark/>
          </w:tcPr>
          <w:p w14:paraId="680BD082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$958K</w:t>
            </w:r>
          </w:p>
        </w:tc>
        <w:tc>
          <w:tcPr>
            <w:tcW w:w="0" w:type="auto"/>
            <w:hideMark/>
          </w:tcPr>
          <w:p w14:paraId="284B02F7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$1.24M</w:t>
            </w:r>
          </w:p>
        </w:tc>
        <w:tc>
          <w:tcPr>
            <w:tcW w:w="0" w:type="auto"/>
            <w:hideMark/>
          </w:tcPr>
          <w:p w14:paraId="60BD7B3F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-$280K</w:t>
            </w:r>
          </w:p>
        </w:tc>
        <w:tc>
          <w:tcPr>
            <w:tcW w:w="0" w:type="auto"/>
            <w:hideMark/>
          </w:tcPr>
          <w:p w14:paraId="602DFE98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-29.2%</w:t>
            </w:r>
          </w:p>
        </w:tc>
        <w:tc>
          <w:tcPr>
            <w:tcW w:w="0" w:type="auto"/>
            <w:hideMark/>
          </w:tcPr>
          <w:p w14:paraId="5F8CFDD6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Cost reset and route-to-market review</w:t>
            </w:r>
          </w:p>
        </w:tc>
      </w:tr>
      <w:tr w:rsidR="00AF18F6" w14:paraId="7C249F6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DAC96B" w14:textId="77777777" w:rsidR="00AF18F6" w:rsidRDefault="00AF18F6">
            <w:r>
              <w:t>Europe</w:t>
            </w:r>
          </w:p>
        </w:tc>
        <w:tc>
          <w:tcPr>
            <w:tcW w:w="0" w:type="auto"/>
            <w:hideMark/>
          </w:tcPr>
          <w:p w14:paraId="586DB488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$1.15M</w:t>
            </w:r>
          </w:p>
        </w:tc>
        <w:tc>
          <w:tcPr>
            <w:tcW w:w="0" w:type="auto"/>
            <w:hideMark/>
          </w:tcPr>
          <w:p w14:paraId="03B3BB1F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$1.15M</w:t>
            </w:r>
          </w:p>
        </w:tc>
        <w:tc>
          <w:tcPr>
            <w:tcW w:w="0" w:type="auto"/>
            <w:hideMark/>
          </w:tcPr>
          <w:p w14:paraId="211E5574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$6K</w:t>
            </w:r>
          </w:p>
        </w:tc>
        <w:tc>
          <w:tcPr>
            <w:tcW w:w="0" w:type="auto"/>
            <w:hideMark/>
          </w:tcPr>
          <w:p w14:paraId="23C0F7AB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0.5%</w:t>
            </w:r>
          </w:p>
        </w:tc>
        <w:tc>
          <w:tcPr>
            <w:tcW w:w="0" w:type="auto"/>
            <w:hideMark/>
          </w:tcPr>
          <w:p w14:paraId="3CEA1B43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Protect margin; avoid discretionary spend expansion</w:t>
            </w:r>
          </w:p>
        </w:tc>
      </w:tr>
      <w:tr w:rsidR="00AF18F6" w14:paraId="79E0444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3DF87" w14:textId="77777777" w:rsidR="00AF18F6" w:rsidRDefault="00AF18F6">
            <w:r>
              <w:t>Asia</w:t>
            </w:r>
          </w:p>
        </w:tc>
        <w:tc>
          <w:tcPr>
            <w:tcW w:w="0" w:type="auto"/>
            <w:hideMark/>
          </w:tcPr>
          <w:p w14:paraId="43A2FF02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$987K</w:t>
            </w:r>
          </w:p>
        </w:tc>
        <w:tc>
          <w:tcPr>
            <w:tcW w:w="0" w:type="auto"/>
            <w:hideMark/>
          </w:tcPr>
          <w:p w14:paraId="5F1DB5B5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$1.42M</w:t>
            </w:r>
          </w:p>
        </w:tc>
        <w:tc>
          <w:tcPr>
            <w:tcW w:w="0" w:type="auto"/>
            <w:hideMark/>
          </w:tcPr>
          <w:p w14:paraId="11D0D39F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-$434K</w:t>
            </w:r>
          </w:p>
        </w:tc>
        <w:tc>
          <w:tcPr>
            <w:tcW w:w="0" w:type="auto"/>
            <w:hideMark/>
          </w:tcPr>
          <w:p w14:paraId="13533FB3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-43.9%</w:t>
            </w:r>
          </w:p>
        </w:tc>
        <w:tc>
          <w:tcPr>
            <w:tcW w:w="0" w:type="auto"/>
            <w:hideMark/>
          </w:tcPr>
          <w:p w14:paraId="7BBF6DB2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Highest urgency: </w:t>
            </w:r>
            <w:proofErr w:type="gramStart"/>
            <w:r>
              <w:t>restructure</w:t>
            </w:r>
            <w:proofErr w:type="gramEnd"/>
            <w:r>
              <w:t xml:space="preserve"> cost base and </w:t>
            </w:r>
            <w:proofErr w:type="gramStart"/>
            <w:r>
              <w:t>tighten</w:t>
            </w:r>
            <w:proofErr w:type="gramEnd"/>
            <w:r>
              <w:t xml:space="preserve"> cash discipline</w:t>
            </w:r>
          </w:p>
        </w:tc>
      </w:tr>
    </w:tbl>
    <w:p w14:paraId="3AEF741A" w14:textId="77777777" w:rsidR="00AF18F6" w:rsidRDefault="00AF18F6"/>
    <w:p w14:paraId="2F25F55D" w14:textId="77777777" w:rsidR="00AF18F6" w:rsidRDefault="00AF18F6">
      <w:r>
        <w:rPr>
          <w:b/>
          <w:bCs/>
        </w:rPr>
        <w:t>CFO readout:</w:t>
      </w:r>
      <w:r>
        <w:t xml:space="preserve"> Asia contributes the largest absolute loss and weakest margin, while North America also requires corrective cost intervention. Europe is near break-even and should be managed as a margin-protection zone rather than a growth-spend zone.</w:t>
      </w:r>
    </w:p>
    <w:p w14:paraId="2383112B" w14:textId="77777777" w:rsidR="00AF18F6" w:rsidRDefault="00AF18F6">
      <w:pPr>
        <w:pStyle w:val="Heading1"/>
        <w:rPr>
          <w:szCs w:val="40"/>
        </w:rPr>
      </w:pPr>
      <w:r>
        <w:t>Category Performance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190"/>
        <w:gridCol w:w="918"/>
        <w:gridCol w:w="959"/>
        <w:gridCol w:w="1086"/>
        <w:gridCol w:w="5197"/>
      </w:tblGrid>
      <w:tr w:rsidR="00AF18F6" w14:paraId="227B7C2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7A669" w14:textId="77777777" w:rsidR="00AF18F6" w:rsidRDefault="00AF18F6">
            <w:r>
              <w:t>Category</w:t>
            </w:r>
          </w:p>
        </w:tc>
        <w:tc>
          <w:tcPr>
            <w:tcW w:w="0" w:type="auto"/>
            <w:hideMark/>
          </w:tcPr>
          <w:p w14:paraId="5EA81270" w14:textId="77777777" w:rsidR="00AF18F6" w:rsidRDefault="00AF18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Revenue</w:t>
            </w:r>
          </w:p>
        </w:tc>
        <w:tc>
          <w:tcPr>
            <w:tcW w:w="0" w:type="auto"/>
            <w:hideMark/>
          </w:tcPr>
          <w:p w14:paraId="70D83C1C" w14:textId="77777777" w:rsidR="00AF18F6" w:rsidRDefault="00AF18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Expenses</w:t>
            </w:r>
          </w:p>
        </w:tc>
        <w:tc>
          <w:tcPr>
            <w:tcW w:w="0" w:type="auto"/>
            <w:hideMark/>
          </w:tcPr>
          <w:p w14:paraId="3286EDD1" w14:textId="77777777" w:rsidR="00AF18F6" w:rsidRDefault="00AF18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Net Margin</w:t>
            </w:r>
          </w:p>
        </w:tc>
        <w:tc>
          <w:tcPr>
            <w:tcW w:w="0" w:type="auto"/>
            <w:hideMark/>
          </w:tcPr>
          <w:p w14:paraId="7D5E3746" w14:textId="77777777" w:rsidR="00AF18F6" w:rsidRDefault="00AF18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Implication</w:t>
            </w:r>
          </w:p>
        </w:tc>
      </w:tr>
      <w:tr w:rsidR="00AF18F6" w14:paraId="3E8D27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56CA98" w14:textId="77777777" w:rsidR="00AF18F6" w:rsidRDefault="00AF18F6">
            <w:r>
              <w:t>Beverages</w:t>
            </w:r>
          </w:p>
        </w:tc>
        <w:tc>
          <w:tcPr>
            <w:tcW w:w="0" w:type="auto"/>
            <w:hideMark/>
          </w:tcPr>
          <w:p w14:paraId="7AA70EAB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$691K</w:t>
            </w:r>
          </w:p>
        </w:tc>
        <w:tc>
          <w:tcPr>
            <w:tcW w:w="0" w:type="auto"/>
            <w:hideMark/>
          </w:tcPr>
          <w:p w14:paraId="75EAB439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$751K</w:t>
            </w:r>
          </w:p>
        </w:tc>
        <w:tc>
          <w:tcPr>
            <w:tcW w:w="0" w:type="auto"/>
            <w:hideMark/>
          </w:tcPr>
          <w:p w14:paraId="4810E385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-8.6%</w:t>
            </w:r>
          </w:p>
        </w:tc>
        <w:tc>
          <w:tcPr>
            <w:tcW w:w="0" w:type="auto"/>
            <w:hideMark/>
          </w:tcPr>
          <w:p w14:paraId="4AF5460C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Best relative performer; prioritize margin lift without over-cutting.</w:t>
            </w:r>
          </w:p>
        </w:tc>
      </w:tr>
      <w:tr w:rsidR="00AF18F6" w14:paraId="242DD8B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9B939" w14:textId="77777777" w:rsidR="00AF18F6" w:rsidRDefault="00AF18F6">
            <w:r>
              <w:t>Snacks</w:t>
            </w:r>
          </w:p>
        </w:tc>
        <w:tc>
          <w:tcPr>
            <w:tcW w:w="0" w:type="auto"/>
            <w:hideMark/>
          </w:tcPr>
          <w:p w14:paraId="03B38A0A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$569K</w:t>
            </w:r>
          </w:p>
        </w:tc>
        <w:tc>
          <w:tcPr>
            <w:tcW w:w="0" w:type="auto"/>
            <w:hideMark/>
          </w:tcPr>
          <w:p w14:paraId="19C35C4E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$747K</w:t>
            </w:r>
          </w:p>
        </w:tc>
        <w:tc>
          <w:tcPr>
            <w:tcW w:w="0" w:type="auto"/>
            <w:hideMark/>
          </w:tcPr>
          <w:p w14:paraId="76B8D86D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-31.3%</w:t>
            </w:r>
          </w:p>
        </w:tc>
        <w:tc>
          <w:tcPr>
            <w:tcW w:w="0" w:type="auto"/>
            <w:hideMark/>
          </w:tcPr>
          <w:p w14:paraId="2C53C15D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Material loss category; supply-chain savings should be accelerated.</w:t>
            </w:r>
          </w:p>
        </w:tc>
      </w:tr>
      <w:tr w:rsidR="00AF18F6" w14:paraId="63BCF12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DEB1DB" w14:textId="77777777" w:rsidR="00AF18F6" w:rsidRDefault="00AF18F6">
            <w:r>
              <w:t>Condiments</w:t>
            </w:r>
          </w:p>
        </w:tc>
        <w:tc>
          <w:tcPr>
            <w:tcW w:w="0" w:type="auto"/>
            <w:hideMark/>
          </w:tcPr>
          <w:p w14:paraId="3359D0D6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$619K</w:t>
            </w:r>
          </w:p>
        </w:tc>
        <w:tc>
          <w:tcPr>
            <w:tcW w:w="0" w:type="auto"/>
            <w:hideMark/>
          </w:tcPr>
          <w:p w14:paraId="17AD7703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$721K</w:t>
            </w:r>
          </w:p>
        </w:tc>
        <w:tc>
          <w:tcPr>
            <w:tcW w:w="0" w:type="auto"/>
            <w:hideMark/>
          </w:tcPr>
          <w:p w14:paraId="74BB7CB0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-16.4%</w:t>
            </w:r>
          </w:p>
        </w:tc>
        <w:tc>
          <w:tcPr>
            <w:tcW w:w="0" w:type="auto"/>
            <w:hideMark/>
          </w:tcPr>
          <w:p w14:paraId="57AB5A88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Moderate loss; focus on labor and supplier cost controls.</w:t>
            </w:r>
          </w:p>
        </w:tc>
      </w:tr>
      <w:tr w:rsidR="00AF18F6" w14:paraId="5FFB6B6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BD4D5" w14:textId="77777777" w:rsidR="00AF18F6" w:rsidRDefault="00AF18F6">
            <w:r>
              <w:t>Dairy</w:t>
            </w:r>
          </w:p>
        </w:tc>
        <w:tc>
          <w:tcPr>
            <w:tcW w:w="0" w:type="auto"/>
            <w:hideMark/>
          </w:tcPr>
          <w:p w14:paraId="43A0D8A7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$592K</w:t>
            </w:r>
          </w:p>
        </w:tc>
        <w:tc>
          <w:tcPr>
            <w:tcW w:w="0" w:type="auto"/>
            <w:hideMark/>
          </w:tcPr>
          <w:p w14:paraId="0CA46061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$794K</w:t>
            </w:r>
          </w:p>
        </w:tc>
        <w:tc>
          <w:tcPr>
            <w:tcW w:w="0" w:type="auto"/>
            <w:hideMark/>
          </w:tcPr>
          <w:p w14:paraId="19121752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-34.1%</w:t>
            </w:r>
          </w:p>
        </w:tc>
        <w:tc>
          <w:tcPr>
            <w:tcW w:w="0" w:type="auto"/>
            <w:hideMark/>
          </w:tcPr>
          <w:p w14:paraId="66157376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Weak margin profile; requires pricing, </w:t>
            </w:r>
            <w:proofErr w:type="gramStart"/>
            <w:r>
              <w:t>mix</w:t>
            </w:r>
            <w:proofErr w:type="gramEnd"/>
            <w:r>
              <w:t>, or cost-base review.</w:t>
            </w:r>
          </w:p>
        </w:tc>
      </w:tr>
      <w:tr w:rsidR="00AF18F6" w14:paraId="452A7A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53493" w14:textId="77777777" w:rsidR="00AF18F6" w:rsidRDefault="00AF18F6">
            <w:r>
              <w:lastRenderedPageBreak/>
              <w:t>Produce</w:t>
            </w:r>
          </w:p>
        </w:tc>
        <w:tc>
          <w:tcPr>
            <w:tcW w:w="0" w:type="auto"/>
            <w:hideMark/>
          </w:tcPr>
          <w:p w14:paraId="1ECECE89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$625K</w:t>
            </w:r>
          </w:p>
        </w:tc>
        <w:tc>
          <w:tcPr>
            <w:tcW w:w="0" w:type="auto"/>
            <w:hideMark/>
          </w:tcPr>
          <w:p w14:paraId="7ED61D28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$791K</w:t>
            </w:r>
          </w:p>
        </w:tc>
        <w:tc>
          <w:tcPr>
            <w:tcW w:w="0" w:type="auto"/>
            <w:hideMark/>
          </w:tcPr>
          <w:p w14:paraId="77297AFE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-26.6%</w:t>
            </w:r>
          </w:p>
        </w:tc>
        <w:tc>
          <w:tcPr>
            <w:tcW w:w="0" w:type="auto"/>
            <w:hideMark/>
          </w:tcPr>
          <w:p w14:paraId="0D605F08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Large expense gap; review logistics and spoilage-sensitive costs.</w:t>
            </w:r>
          </w:p>
        </w:tc>
      </w:tr>
    </w:tbl>
    <w:p w14:paraId="7234E72C" w14:textId="77777777" w:rsidR="00AF18F6" w:rsidRDefault="00AF18F6"/>
    <w:p w14:paraId="17C8117C" w14:textId="77777777" w:rsidR="00AF18F6" w:rsidRDefault="00AF18F6">
      <w:pPr>
        <w:pStyle w:val="Heading1"/>
        <w:rPr>
          <w:szCs w:val="40"/>
        </w:rPr>
      </w:pPr>
      <w:r>
        <w:t>Cash Flow Stress Case</w:t>
      </w:r>
    </w:p>
    <w:p w14:paraId="15F82C31" w14:textId="77777777" w:rsidR="00AF18F6" w:rsidRDefault="00AF18F6">
      <w:r>
        <w:t xml:space="preserve">A further 10% sales drop would reduce revenue by </w:t>
      </w:r>
      <w:r>
        <w:rPr>
          <w:b/>
          <w:bCs/>
        </w:rPr>
        <w:t>$310K</w:t>
      </w:r>
      <w:r>
        <w:t xml:space="preserve"> and move the cash-flow proxy from </w:t>
      </w:r>
      <w:r>
        <w:rPr>
          <w:b/>
          <w:bCs/>
        </w:rPr>
        <w:t>-$708K</w:t>
      </w:r>
      <w:r>
        <w:t xml:space="preserve"> to </w:t>
      </w:r>
      <w:r>
        <w:rPr>
          <w:b/>
          <w:bCs/>
        </w:rPr>
        <w:t>-$1.02M</w:t>
      </w:r>
      <w:r>
        <w:t xml:space="preserve">. This creates an incremental cash-flow hit of </w:t>
      </w:r>
      <w:r>
        <w:rPr>
          <w:b/>
          <w:bCs/>
        </w:rPr>
        <w:t>-$310K</w:t>
      </w:r>
      <w:r>
        <w:t>. The stress case highlights that the current forecast is already loss-making before additional downside pressure, so working-capital discipline and expense approval controls should be tightened immediately.</w:t>
      </w:r>
    </w:p>
    <w:p w14:paraId="20FCFF91" w14:textId="77777777" w:rsidR="00AF18F6" w:rsidRDefault="00AF18F6">
      <w:pPr>
        <w:pStyle w:val="Heading1"/>
        <w:rPr>
          <w:szCs w:val="40"/>
        </w:rPr>
      </w:pPr>
      <w:r>
        <w:t>Cost-Saving Priorities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165"/>
        <w:gridCol w:w="1206"/>
        <w:gridCol w:w="4274"/>
        <w:gridCol w:w="2705"/>
      </w:tblGrid>
      <w:tr w:rsidR="00AF18F6" w14:paraId="074469A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3FAAA" w14:textId="77777777" w:rsidR="00AF18F6" w:rsidRDefault="00AF18F6">
            <w:r>
              <w:t>Cost Area</w:t>
            </w:r>
          </w:p>
        </w:tc>
        <w:tc>
          <w:tcPr>
            <w:tcW w:w="0" w:type="auto"/>
            <w:hideMark/>
          </w:tcPr>
          <w:p w14:paraId="58E40BBF" w14:textId="77777777" w:rsidR="00AF18F6" w:rsidRDefault="00AF18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Savings Potential</w:t>
            </w:r>
          </w:p>
        </w:tc>
        <w:tc>
          <w:tcPr>
            <w:tcW w:w="0" w:type="auto"/>
            <w:hideMark/>
          </w:tcPr>
          <w:p w14:paraId="3FA37CDF" w14:textId="77777777" w:rsidR="00AF18F6" w:rsidRDefault="00AF18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  <w:tc>
          <w:tcPr>
            <w:tcW w:w="0" w:type="auto"/>
            <w:hideMark/>
          </w:tcPr>
          <w:p w14:paraId="7DFA52B8" w14:textId="77777777" w:rsidR="00AF18F6" w:rsidRDefault="00AF18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CFO Control Lever</w:t>
            </w:r>
          </w:p>
        </w:tc>
      </w:tr>
      <w:tr w:rsidR="00AF18F6" w14:paraId="1FDFA8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55161" w14:textId="77777777" w:rsidR="00AF18F6" w:rsidRDefault="00AF18F6">
            <w:r>
              <w:t>Other Expenses</w:t>
            </w:r>
          </w:p>
        </w:tc>
        <w:tc>
          <w:tcPr>
            <w:tcW w:w="0" w:type="auto"/>
            <w:hideMark/>
          </w:tcPr>
          <w:p w14:paraId="095FD4CD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$59.6K</w:t>
            </w:r>
          </w:p>
        </w:tc>
        <w:tc>
          <w:tcPr>
            <w:tcW w:w="0" w:type="auto"/>
            <w:hideMark/>
          </w:tcPr>
          <w:p w14:paraId="3C7378CA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Remove low-value subscriptions and tighten approval thresholds.</w:t>
            </w:r>
          </w:p>
        </w:tc>
        <w:tc>
          <w:tcPr>
            <w:tcW w:w="0" w:type="auto"/>
            <w:hideMark/>
          </w:tcPr>
          <w:p w14:paraId="34EDBFB1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Discretionary spend freeze and approval matrix</w:t>
            </w:r>
          </w:p>
        </w:tc>
      </w:tr>
      <w:tr w:rsidR="00AF18F6" w14:paraId="6CAE0E4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A3B45" w14:textId="77777777" w:rsidR="00AF18F6" w:rsidRDefault="00AF18F6">
            <w:r>
              <w:t>Supply Chain</w:t>
            </w:r>
          </w:p>
        </w:tc>
        <w:tc>
          <w:tcPr>
            <w:tcW w:w="0" w:type="auto"/>
            <w:hideMark/>
          </w:tcPr>
          <w:p w14:paraId="3AA0BEA0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$39.1K</w:t>
            </w:r>
          </w:p>
        </w:tc>
        <w:tc>
          <w:tcPr>
            <w:tcW w:w="0" w:type="auto"/>
            <w:hideMark/>
          </w:tcPr>
          <w:p w14:paraId="43BDE3EE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Renegotiate supplier terms, consolidate shipments, and prioritize lower-cost routes.</w:t>
            </w:r>
          </w:p>
        </w:tc>
        <w:tc>
          <w:tcPr>
            <w:tcW w:w="0" w:type="auto"/>
            <w:hideMark/>
          </w:tcPr>
          <w:p w14:paraId="66DDF933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Procurement mandate and supplier repricing target</w:t>
            </w:r>
          </w:p>
        </w:tc>
      </w:tr>
      <w:tr w:rsidR="00AF18F6" w14:paraId="79FDD88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62064" w14:textId="77777777" w:rsidR="00AF18F6" w:rsidRDefault="00AF18F6">
            <w:r>
              <w:t>Marketing</w:t>
            </w:r>
          </w:p>
        </w:tc>
        <w:tc>
          <w:tcPr>
            <w:tcW w:w="0" w:type="auto"/>
            <w:hideMark/>
          </w:tcPr>
          <w:p w14:paraId="24F58681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$35.9K</w:t>
            </w:r>
          </w:p>
        </w:tc>
        <w:tc>
          <w:tcPr>
            <w:tcW w:w="0" w:type="auto"/>
            <w:hideMark/>
          </w:tcPr>
          <w:p w14:paraId="7A35C52C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Shift budget to measurable high-ROI channels and pause underperforming campaigns.</w:t>
            </w:r>
          </w:p>
        </w:tc>
        <w:tc>
          <w:tcPr>
            <w:tcW w:w="0" w:type="auto"/>
            <w:hideMark/>
          </w:tcPr>
          <w:p w14:paraId="7BDA1FAB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ROI hurdle rate and campaign-level spend gates</w:t>
            </w:r>
          </w:p>
        </w:tc>
      </w:tr>
      <w:tr w:rsidR="00AF18F6" w14:paraId="2629E1E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8CB86" w14:textId="77777777" w:rsidR="00AF18F6" w:rsidRDefault="00AF18F6">
            <w:r>
              <w:t>Labor</w:t>
            </w:r>
          </w:p>
        </w:tc>
        <w:tc>
          <w:tcPr>
            <w:tcW w:w="0" w:type="auto"/>
            <w:hideMark/>
          </w:tcPr>
          <w:p w14:paraId="41549FBB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$35.2K</w:t>
            </w:r>
          </w:p>
        </w:tc>
        <w:tc>
          <w:tcPr>
            <w:tcW w:w="0" w:type="auto"/>
            <w:hideMark/>
          </w:tcPr>
          <w:p w14:paraId="6680B0C8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Reduce overtime through scheduling changes, cross-training, and workload balancing.</w:t>
            </w:r>
          </w:p>
        </w:tc>
        <w:tc>
          <w:tcPr>
            <w:tcW w:w="0" w:type="auto"/>
            <w:hideMark/>
          </w:tcPr>
          <w:p w14:paraId="720ADF6A" w14:textId="77777777" w:rsidR="00AF18F6" w:rsidRDefault="00AF1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Overtime cap and workforce utilization review</w:t>
            </w:r>
          </w:p>
        </w:tc>
      </w:tr>
      <w:tr w:rsidR="00AF18F6" w14:paraId="622BF2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BAF63" w14:textId="77777777" w:rsidR="00AF18F6" w:rsidRDefault="00AF18F6">
            <w:r>
              <w:t>Total</w:t>
            </w:r>
          </w:p>
        </w:tc>
        <w:tc>
          <w:tcPr>
            <w:tcW w:w="0" w:type="auto"/>
            <w:hideMark/>
          </w:tcPr>
          <w:p w14:paraId="34142E59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$169.8K</w:t>
            </w:r>
          </w:p>
        </w:tc>
        <w:tc>
          <w:tcPr>
            <w:tcW w:w="0" w:type="auto"/>
            <w:hideMark/>
          </w:tcPr>
          <w:p w14:paraId="0542EDD1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Execute within Q1 close cycle.</w:t>
            </w:r>
          </w:p>
        </w:tc>
        <w:tc>
          <w:tcPr>
            <w:tcW w:w="0" w:type="auto"/>
            <w:hideMark/>
          </w:tcPr>
          <w:p w14:paraId="73AA2A76" w14:textId="77777777" w:rsidR="00AF18F6" w:rsidRDefault="00AF1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Weekly CFO savings dashboard</w:t>
            </w:r>
          </w:p>
        </w:tc>
      </w:tr>
    </w:tbl>
    <w:p w14:paraId="30AEB271" w14:textId="77777777" w:rsidR="00AF18F6" w:rsidRDefault="00AF18F6"/>
    <w:p w14:paraId="5D79C1EF" w14:textId="77777777" w:rsidR="00AF18F6" w:rsidRDefault="00AF18F6">
      <w:pPr>
        <w:pStyle w:val="Heading1"/>
        <w:rPr>
          <w:szCs w:val="40"/>
        </w:rPr>
      </w:pPr>
      <w:r>
        <w:t>Recommended CFO Decisions</w:t>
      </w:r>
    </w:p>
    <w:p w14:paraId="1F9D0102" w14:textId="77777777" w:rsidR="00AF18F6" w:rsidRDefault="00AF18F6" w:rsidP="00AF18F6">
      <w:pPr>
        <w:pStyle w:val="ListParagraph"/>
        <w:numPr>
          <w:ilvl w:val="0"/>
          <w:numId w:val="1"/>
        </w:numPr>
        <w:rPr>
          <w:szCs w:val="22"/>
        </w:rPr>
      </w:pPr>
      <w:r w:rsidRPr="00AF18F6">
        <w:rPr>
          <w:b/>
          <w:bCs/>
        </w:rPr>
        <w:t>Approve immediate savings program:</w:t>
      </w:r>
      <w:r>
        <w:t xml:space="preserve"> Target at least $170K in Q1 savings, with weekly tracking by cost area.</w:t>
      </w:r>
    </w:p>
    <w:p w14:paraId="653C7182" w14:textId="77777777" w:rsidR="00AF18F6" w:rsidRDefault="00AF18F6" w:rsidP="00AF18F6">
      <w:pPr>
        <w:pStyle w:val="ListParagraph"/>
        <w:numPr>
          <w:ilvl w:val="0"/>
          <w:numId w:val="1"/>
        </w:numPr>
      </w:pPr>
      <w:r>
        <w:rPr>
          <w:b/>
          <w:bCs/>
        </w:rPr>
        <w:t>Prioritize Asia turnaround:</w:t>
      </w:r>
      <w:r>
        <w:t xml:space="preserve"> Require a region-specific plan addressing the -43.9% margin and -$434K projected loss.</w:t>
      </w:r>
    </w:p>
    <w:p w14:paraId="5ADB6284" w14:textId="77777777" w:rsidR="00AF18F6" w:rsidRDefault="00AF18F6" w:rsidP="00AF18F6">
      <w:pPr>
        <w:pStyle w:val="ListParagraph"/>
        <w:numPr>
          <w:ilvl w:val="0"/>
          <w:numId w:val="1"/>
        </w:numPr>
      </w:pPr>
      <w:r>
        <w:rPr>
          <w:b/>
          <w:bCs/>
        </w:rPr>
        <w:t>Protect Europe margin:</w:t>
      </w:r>
      <w:r>
        <w:t xml:space="preserve"> Hold discretionary expense growth until revenue resiliency is confirmed.</w:t>
      </w:r>
    </w:p>
    <w:p w14:paraId="2D5F3713" w14:textId="77777777" w:rsidR="00AF18F6" w:rsidRDefault="00AF18F6" w:rsidP="00AF18F6">
      <w:pPr>
        <w:pStyle w:val="ListParagraph"/>
        <w:numPr>
          <w:ilvl w:val="0"/>
          <w:numId w:val="1"/>
        </w:numPr>
      </w:pPr>
      <w:r>
        <w:rPr>
          <w:b/>
          <w:bCs/>
        </w:rPr>
        <w:t>Review category economics:</w:t>
      </w:r>
      <w:r>
        <w:t xml:space="preserve"> Focus Dairy, Snacks, and Produce first because they carry the weakest margin profiles.</w:t>
      </w:r>
    </w:p>
    <w:p w14:paraId="38D09491" w14:textId="77777777" w:rsidR="00AF18F6" w:rsidRDefault="00AF18F6" w:rsidP="00AF18F6">
      <w:pPr>
        <w:pStyle w:val="ListParagraph"/>
        <w:numPr>
          <w:ilvl w:val="0"/>
          <w:numId w:val="1"/>
        </w:numPr>
      </w:pPr>
      <w:r>
        <w:rPr>
          <w:b/>
          <w:bCs/>
        </w:rPr>
        <w:t>Prepare downside cash plan:</w:t>
      </w:r>
      <w:r>
        <w:t xml:space="preserve"> Build contingency actions for another 10% revenue decline, including working-capital controls and expense approval escalation.</w:t>
      </w:r>
    </w:p>
    <w:p w14:paraId="393B658C" w14:textId="77777777" w:rsidR="0069200A" w:rsidRDefault="0069200A"/>
    <w:sectPr w:rsidR="00692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C42CF1"/>
    <w:multiLevelType w:val="multilevel"/>
    <w:tmpl w:val="9A068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2664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150"/>
    <w:rsid w:val="00185F61"/>
    <w:rsid w:val="001A449C"/>
    <w:rsid w:val="002F112D"/>
    <w:rsid w:val="003540D0"/>
    <w:rsid w:val="005D0CC1"/>
    <w:rsid w:val="00644850"/>
    <w:rsid w:val="0069200A"/>
    <w:rsid w:val="00781F90"/>
    <w:rsid w:val="00886BE8"/>
    <w:rsid w:val="009C43AD"/>
    <w:rsid w:val="00AF18F6"/>
    <w:rsid w:val="00B32150"/>
    <w:rsid w:val="00B426CC"/>
    <w:rsid w:val="00C7425E"/>
    <w:rsid w:val="00EC5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97F52"/>
  <w15:chartTrackingRefBased/>
  <w15:docId w15:val="{857EDADA-740F-4416-875B-69711B790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6CC"/>
    <w:pPr>
      <w:spacing w:after="0" w:line="240" w:lineRule="auto"/>
    </w:pPr>
    <w:rPr>
      <w:rFonts w:ascii="TH SarabunPSK" w:hAnsi="TH SarabunPSK" w:cs="TH SarabunPSK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2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1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1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1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15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15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15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15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ference">
    <w:name w:val="Reference"/>
    <w:basedOn w:val="Quote"/>
    <w:link w:val="ReferenceChar"/>
    <w:autoRedefine/>
    <w:qFormat/>
    <w:rsid w:val="009C43AD"/>
    <w:pPr>
      <w:spacing w:before="0"/>
    </w:pPr>
    <w:rPr>
      <w:color w:val="767171" w:themeColor="background2" w:themeShade="80"/>
      <w:sz w:val="16"/>
    </w:rPr>
  </w:style>
  <w:style w:type="character" w:customStyle="1" w:styleId="ReferenceChar">
    <w:name w:val="Reference Char"/>
    <w:basedOn w:val="QuoteChar"/>
    <w:link w:val="Reference"/>
    <w:rsid w:val="009C43AD"/>
    <w:rPr>
      <w:i/>
      <w:iCs/>
      <w:color w:val="767171" w:themeColor="background2" w:themeShade="80"/>
      <w:sz w:val="16"/>
    </w:rPr>
  </w:style>
  <w:style w:type="paragraph" w:styleId="Quote">
    <w:name w:val="Quote"/>
    <w:basedOn w:val="Normal"/>
    <w:next w:val="Normal"/>
    <w:link w:val="QuoteChar"/>
    <w:uiPriority w:val="29"/>
    <w:qFormat/>
    <w:rsid w:val="009C4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3AD"/>
    <w:rPr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B32150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5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15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150"/>
    <w:rPr>
      <w:rFonts w:eastAsiaTheme="majorEastAsia" w:cstheme="majorBidi"/>
      <w:color w:val="2F5496" w:themeColor="accent1" w:themeShade="BF"/>
      <w:kern w:val="0"/>
      <w:sz w:val="28"/>
      <w:szCs w:val="35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150"/>
    <w:rPr>
      <w:rFonts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150"/>
    <w:rPr>
      <w:rFonts w:eastAsiaTheme="majorEastAsia" w:cstheme="majorBidi"/>
      <w:color w:val="2F5496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150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150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150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150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321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32150"/>
    <w:rPr>
      <w:rFonts w:asciiTheme="majorHAnsi" w:eastAsiaTheme="majorEastAsia" w:hAnsiTheme="majorHAnsi" w:cstheme="majorBidi"/>
      <w:spacing w:val="-10"/>
      <w:kern w:val="28"/>
      <w:sz w:val="56"/>
      <w:szCs w:val="71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15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32150"/>
    <w:rPr>
      <w:rFonts w:eastAsiaTheme="majorEastAsia" w:cstheme="majorBidi"/>
      <w:color w:val="595959" w:themeColor="text1" w:themeTint="A6"/>
      <w:spacing w:val="15"/>
      <w:kern w:val="0"/>
      <w:sz w:val="28"/>
      <w:szCs w:val="35"/>
      <w14:ligatures w14:val="none"/>
    </w:rPr>
  </w:style>
  <w:style w:type="paragraph" w:styleId="ListParagraph">
    <w:name w:val="List Paragraph"/>
    <w:basedOn w:val="Normal"/>
    <w:uiPriority w:val="34"/>
    <w:qFormat/>
    <w:rsid w:val="00B32150"/>
    <w:pPr>
      <w:ind w:left="720"/>
      <w:contextualSpacing/>
    </w:pPr>
    <w:rPr>
      <w:rFonts w:cs="Angsana New"/>
      <w:szCs w:val="28"/>
    </w:rPr>
  </w:style>
  <w:style w:type="character" w:styleId="IntenseEmphasis">
    <w:name w:val="Intense Emphasis"/>
    <w:basedOn w:val="DefaultParagraphFont"/>
    <w:uiPriority w:val="21"/>
    <w:qFormat/>
    <w:rsid w:val="00B321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1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150"/>
    <w:rPr>
      <w:rFonts w:ascii="TH SarabunPSK" w:hAnsi="TH SarabunPSK" w:cs="Angsana New"/>
      <w:i/>
      <w:iCs/>
      <w:color w:val="2F5496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32150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781F90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81F90"/>
    <w:pPr>
      <w:spacing w:after="200"/>
    </w:pPr>
    <w:rPr>
      <w:rFonts w:cs="Angsana New"/>
      <w:i/>
      <w:iCs/>
      <w:color w:val="44546A" w:themeColor="text2"/>
      <w:sz w:val="18"/>
    </w:rPr>
  </w:style>
  <w:style w:type="character" w:styleId="Emphasis">
    <w:name w:val="Emphasis"/>
    <w:basedOn w:val="DefaultParagraphFont"/>
    <w:uiPriority w:val="20"/>
    <w:qFormat/>
    <w:rsid w:val="00781F90"/>
    <w:rPr>
      <w:i/>
      <w:iCs/>
    </w:rPr>
  </w:style>
  <w:style w:type="paragraph" w:styleId="NoSpacing">
    <w:name w:val="No Spacing"/>
    <w:uiPriority w:val="1"/>
    <w:qFormat/>
    <w:rsid w:val="00781F90"/>
    <w:pPr>
      <w:spacing w:after="0" w:line="240" w:lineRule="auto"/>
    </w:pPr>
    <w:rPr>
      <w:rFonts w:ascii="TH SarabunPSK" w:hAnsi="TH SarabunPSK" w:cs="Angsana New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81F90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781F90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781F90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81F90"/>
    <w:pPr>
      <w:spacing w:before="240" w:after="0"/>
      <w:outlineLvl w:val="9"/>
    </w:pPr>
    <w:rPr>
      <w:sz w:val="32"/>
      <w:szCs w:val="40"/>
    </w:rPr>
  </w:style>
  <w:style w:type="paragraph" w:styleId="NormalWeb">
    <w:name w:val="Normal (Web)"/>
    <w:basedOn w:val="Normal"/>
    <w:uiPriority w:val="99"/>
    <w:semiHidden/>
    <w:unhideWhenUsed/>
    <w:rsid w:val="00185F61"/>
    <w:pPr>
      <w:spacing w:before="100" w:beforeAutospacing="1" w:after="100" w:afterAutospacing="1"/>
    </w:pPr>
    <w:rPr>
      <w:rFonts w:ascii="Times New Roman" w:hAnsi="Times New Roman" w:cs="Times New Roman"/>
      <w:kern w:val="2"/>
      <w:sz w:val="24"/>
      <w:szCs w:val="24"/>
      <w14:ligatures w14:val="standardContextual"/>
    </w:rPr>
  </w:style>
  <w:style w:type="table" w:styleId="GridTable4-Accent1">
    <w:name w:val="Grid Table 4 Accent 1"/>
    <w:basedOn w:val="TableNormal"/>
    <w:uiPriority w:val="49"/>
    <w:rsid w:val="00AF18F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A918B0A43C351C40B713CC74392E76A4" ma:contentTypeVersion="12" ma:contentTypeDescription="สร้างเอกสารใหม่" ma:contentTypeScope="" ma:versionID="0919946d8c60b6b8ee73202dcdf9b280">
  <xsd:schema xmlns:xsd="http://www.w3.org/2001/XMLSchema" xmlns:xs="http://www.w3.org/2001/XMLSchema" xmlns:p="http://schemas.microsoft.com/office/2006/metadata/properties" xmlns:ns2="f8c52cc2-3351-47ac-8a56-e925e5af6112" xmlns:ns3="065ec080-69f5-47b1-9966-9bf0b665b16f" targetNamespace="http://schemas.microsoft.com/office/2006/metadata/properties" ma:root="true" ma:fieldsID="9d61fedb131a5afa0f0cf1a9a2a979d0" ns2:_="" ns3:_="">
    <xsd:import namespace="f8c52cc2-3351-47ac-8a56-e925e5af6112"/>
    <xsd:import namespace="065ec080-69f5-47b1-9966-9bf0b665b1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c52cc2-3351-47ac-8a56-e925e5af61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แท็กรูป" ma:readOnly="false" ma:fieldId="{5cf76f15-5ced-4ddc-b409-7134ff3c332f}" ma:taxonomyMulti="true" ma:sspId="3a14d61c-d782-40a4-aef1-936f799299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5ec080-69f5-47b1-9966-9bf0b665b16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b484b36-1ca5-4ec8-9b8c-fbc0406d0d5d}" ma:internalName="TaxCatchAll" ma:showField="CatchAllData" ma:web="065ec080-69f5-47b1-9966-9bf0b665b1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65ec080-69f5-47b1-9966-9bf0b665b16f" xsi:nil="true"/>
    <lcf76f155ced4ddcb4097134ff3c332f xmlns="f8c52cc2-3351-47ac-8a56-e925e5af611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AD71B45-E4E2-41BD-9CE9-6AA2AC1F7378}"/>
</file>

<file path=customXml/itemProps2.xml><?xml version="1.0" encoding="utf-8"?>
<ds:datastoreItem xmlns:ds="http://schemas.openxmlformats.org/officeDocument/2006/customXml" ds:itemID="{F39E8987-EC96-47F9-9669-17B9E5998A69}"/>
</file>

<file path=customXml/itemProps3.xml><?xml version="1.0" encoding="utf-8"?>
<ds:datastoreItem xmlns:ds="http://schemas.openxmlformats.org/officeDocument/2006/customXml" ds:itemID="{9CFB7898-4BAC-4CD6-9192-EDF5BCB1F5C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589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Worawit Steanputtanagul</dc:creator>
  <cp:keywords/>
  <dc:description/>
  <cp:lastModifiedBy>Worawit Steanputtanagul</cp:lastModifiedBy>
  <cp:revision>3</cp:revision>
  <dcterms:created xsi:type="dcterms:W3CDTF">2026-08-19T18:07:00Z</dcterms:created>
  <dcterms:modified xsi:type="dcterms:W3CDTF">2026-08-19T18:09:00Z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0x010100A918B0A43C351C40B713CC74392E76A4</vt:lpwstr>
  </property>
</Properties>
</file>