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B3B64"/>
          <w:sz w:val="56"/>
          <w:szCs w:val="56"/>
        </w:rPr>
        <w:t xml:space="preserve">ALDIMI Predict</w:t>
      </w:r>
    </w:p>
    <w:p>
      <w:pPr>
        <w:spacing w:after="200"/>
        <w:jc w:val="center"/>
      </w:pPr>
      <w:r>
        <w:rPr>
          <w:color w:val="2A5A8C"/>
          <w:sz w:val="32"/>
          <w:szCs w:val="32"/>
        </w:rPr>
        <w:t xml:space="preserve">Manual de Usuario del Dashboard</w:t>
      </w:r>
    </w:p>
    <w:p>
      <w:pPr>
        <w:spacing w:after="3200"/>
        <w:jc w:val="center"/>
      </w:pPr>
      <w:r>
        <w:rPr>
          <w:color w:val="667085"/>
          <w:sz w:val="22"/>
          <w:szCs w:val="22"/>
        </w:rPr>
        <w:t xml:space="preserve">Sistema Predictivo de Gestión de Recursos y Riesgos
Albergue Divina Misericordia</w:t>
      </w:r>
    </w:p>
    <w:p>
      <w:pPr>
        <w:jc w:val="center"/>
      </w:pPr>
      <w:r>
        <w:rPr>
          <w:color w:val="667085"/>
          <w:sz w:val="20"/>
          <w:szCs w:val="20"/>
        </w:rPr>
        <w:t xml:space="preserve">Machine Learning 1ACC0057 · UPC · Grupo 2 · Trabajo Final — Julio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/>
      </w:pPr>
      <w:r>
        <w:rPr>
          <w:b w:val="false"/>
          <w:bCs w:val="false"/>
        </w:rPr>
        <w:t xml:space="preserve">ALDIMI Predict es una herramienta de apoyo a la toma de decisiones para el equipo administrativo y de voluntariado del Albergue Divina Misericordia (ALDIMI). Mediante modelos de Machine Learning entrenados con los datos del albergue, el sistema permite: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Anticipar quiebres de stock</w:t>
      </w:r>
      <w:r>
        <w:rPr>
          <w:b w:val="false"/>
          <w:bCs w:val="false"/>
        </w:rPr>
        <w:t xml:space="preserve"> de alimentos e insumos a 7 y 14 días, para planificar compras y campañas de donación.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Clasificar el nivel de prioridad de atención</w:t>
      </w:r>
      <w:r>
        <w:rPr>
          <w:b w:val="false"/>
          <w:bCs w:val="false"/>
        </w:rPr>
        <w:t xml:space="preserve"> (Bajo / Medio / Alto) de los pacientes pediátricos, a partir de variables clínicas y sociales.</w:t>
      </w:r>
    </w:p>
    <w:p>
      <w:pPr>
        <w:spacing w:after="120"/>
      </w:pPr>
      <w:r>
        <w:rPr>
          <w:b/>
          <w:bCs/>
        </w:rPr>
        <w:t xml:space="preserve">Importante:</w:t>
      </w:r>
      <w:r>
        <w:rPr>
          <w:b w:val="false"/>
          <w:bCs w:val="false"/>
        </w:rPr>
        <w:t xml:space="preserve"> las predicciones son un apoyo para priorizar recursos y atención. No reemplazan el criterio del personal de salud ni la evaluación médica profesional.</w:t>
      </w:r>
    </w:p>
    <w:p>
      <w:pPr>
        <w:pStyle w:val="Heading1"/>
      </w:pPr>
      <w:r>
        <w:t xml:space="preserve">2. Requisitos e instalación</w:t>
      </w:r>
    </w:p>
    <w:p>
      <w:pPr>
        <w:pStyle w:val="Heading2"/>
      </w:pPr>
      <w:r>
        <w:t xml:space="preserve">2.1 Requisitos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Computadora con Windows, macOS o Linux.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Python 3.9 o superior.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Conexión a internet solo para la instalación inicial (el dashboard funciona localmente).</w:t>
      </w:r>
    </w:p>
    <w:p>
      <w:pPr>
        <w:pStyle w:val="Heading2"/>
      </w:pPr>
      <w:r>
        <w:t xml:space="preserve">2.2 Instalación (solo la primera vez)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Abrir una terminal en la carpeta del proyecto (TB1).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Crear el entorno virtual:  python -m venv .venv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Activar el entorno:  Windows: .venv\Scripts\activate   ·   macOS/Linux: source .venv/bin/activate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Instalar dependencias:  pip install -r requirements.txt</w:t>
      </w:r>
    </w:p>
    <w:p>
      <w:pPr>
        <w:pStyle w:val="Heading2"/>
      </w:pPr>
      <w:r>
        <w:t xml:space="preserve">2.3 Iniciar el dashboard</w:t>
      </w:r>
    </w:p>
    <w:p>
      <w:pPr>
        <w:shd w:fill="F2F4F7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streamlit run dashboard.py</w:t>
      </w:r>
    </w:p>
    <w:p>
      <w:pPr>
        <w:spacing w:after="120"/>
      </w:pPr>
      <w:r>
        <w:rPr>
          <w:b w:val="false"/>
          <w:bCs w:val="false"/>
        </w:rPr>
        <w:t xml:space="preserve">El navegador se abrirá automáticamente en http://localhost:8501. Para compartir una demo pública con el equipo, ejecutar  python lanzar_demo.py  (requiere un token gratuito de ngrok).</w:t>
      </w:r>
    </w:p>
    <w:p>
      <w:pPr>
        <w:pStyle w:val="Heading1"/>
      </w:pPr>
      <w:r>
        <w:t xml:space="preserve">3. Navegación general</w:t>
      </w:r>
    </w:p>
    <w:p>
      <w:pPr>
        <w:spacing w:after="120"/>
      </w:pPr>
      <w:r>
        <w:rPr>
          <w:b w:val="false"/>
          <w:bCs w:val="false"/>
        </w:rPr>
        <w:t xml:space="preserve">La barra lateral izquierda (azul) permite moverse entre las tres páginas del sistema y muestra un resumen permanente: número de alertas de stock activas, pacientes en riesgo alto, fase actual del proyecto y modelos de ML activos.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Página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🏠 Inicio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Vista ejecutiva: KPIs globales, distribución de riesgo, comparativa de modelos y artículos críticos.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📦 Alertas de Inventario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Consultar el riesgo de quiebre de stock de un artículo a 7 y 14 días.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👤 Evaluación de Pacientes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Evaluar el nivel de riesgo clínico de un paciente con el formulario.</w:t>
            </w:r>
          </w:p>
        </w:tc>
      </w:tr>
    </w:tbl>
    <w:p>
      <w:pPr>
        <w:pStyle w:val="Heading1"/>
      </w:pPr>
      <w:r>
        <w:t xml:space="preserve">4. Página: Inicio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KPIs superiores:</w:t>
      </w:r>
      <w:r>
        <w:rPr>
          <w:b w:val="false"/>
          <w:bCs w:val="false"/>
        </w:rPr>
        <w:t xml:space="preserve"> alertas de stock a 7 y 14 días, pacientes en riesgo alto y bajo.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Artículos por categoría</w:t>
      </w:r>
      <w:r>
        <w:rPr>
          <w:b w:val="false"/>
          <w:bCs w:val="false"/>
        </w:rPr>
        <w:t xml:space="preserve"> y </w:t>
      </w:r>
      <w:r>
        <w:rPr>
          <w:b/>
          <w:bCs/>
        </w:rPr>
        <w:t xml:space="preserve">distribución de riesgo de pacientes</w:t>
      </w:r>
      <w:r>
        <w:rPr>
          <w:b w:val="false"/>
          <w:bCs w:val="false"/>
        </w:rPr>
        <w:t xml:space="preserve"> (gráfico de dona).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Comparativa de modelos:</w:t>
      </w:r>
      <w:r>
        <w:rPr>
          <w:b w:val="false"/>
          <w:bCs w:val="false"/>
        </w:rPr>
        <w:t xml:space="preserve"> desempeño del baseline (Hito 2) frente a los modelos avanzados Random Forest y XGBoost (Hito 3/4).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Tabla de artículos críticos:</w:t>
      </w:r>
      <w:r>
        <w:rPr>
          <w:b w:val="false"/>
          <w:bCs w:val="false"/>
        </w:rPr>
        <w:t xml:space="preserve"> los 8 artículos con mayor tasa de rotación; el estado 🔴/🟠/🟡 indica urgencia de reposición.</w:t>
      </w:r>
    </w:p>
    <w:p>
      <w:pPr>
        <w:pStyle w:val="Heading1"/>
      </w:pPr>
      <w:r>
        <w:t xml:space="preserve">5. Página: Alertas de Inventario</w:t>
      </w:r>
    </w:p>
    <w:p>
      <w:pPr>
        <w:pStyle w:val="Heading2"/>
      </w:pPr>
      <w:r>
        <w:t xml:space="preserve">5.1 Consultar un artículo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Seleccionar la </w:t>
      </w:r>
      <w:r>
        <w:rPr>
          <w:b/>
          <w:bCs/>
        </w:rPr>
        <w:t xml:space="preserve">categoría</w:t>
      </w:r>
      <w:r>
        <w:rPr>
          <w:b w:val="false"/>
          <w:bCs w:val="false"/>
        </w:rPr>
        <w:t xml:space="preserve"> del artículo (p. ej., Cereal, Lácteos).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Ingresar el </w:t>
      </w:r>
      <w:r>
        <w:rPr>
          <w:b/>
          <w:bCs/>
        </w:rPr>
        <w:t xml:space="preserve">stock disponible</w:t>
      </w:r>
      <w:r>
        <w:rPr>
          <w:b w:val="false"/>
          <w:bCs w:val="false"/>
        </w:rPr>
        <w:t xml:space="preserve">, los </w:t>
      </w:r>
      <w:r>
        <w:rPr>
          <w:b/>
          <w:bCs/>
        </w:rPr>
        <w:t xml:space="preserve">ingresos estimados</w:t>
      </w:r>
      <w:r>
        <w:rPr>
          <w:b w:val="false"/>
          <w:bCs w:val="false"/>
        </w:rPr>
        <w:t xml:space="preserve"> y el </w:t>
      </w:r>
      <w:r>
        <w:rPr>
          <w:b/>
          <w:bCs/>
        </w:rPr>
        <w:t xml:space="preserve">consumo estimado</w:t>
      </w:r>
      <w:r>
        <w:rPr>
          <w:b w:val="false"/>
          <w:bCs w:val="false"/>
        </w:rPr>
        <w:t xml:space="preserve"> de la semana.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Ingresar el </w:t>
      </w:r>
      <w:r>
        <w:rPr>
          <w:b/>
          <w:bCs/>
        </w:rPr>
        <w:t xml:space="preserve">promedio de consumo de las últimas 3 semanas</w:t>
      </w:r>
      <w:r>
        <w:rPr>
          <w:b w:val="false"/>
          <w:bCs w:val="false"/>
        </w:rPr>
        <w:t xml:space="preserve"> y la </w:t>
      </w:r>
      <w:r>
        <w:rPr>
          <w:b/>
          <w:bCs/>
        </w:rPr>
        <w:t xml:space="preserve">ocupación del albergue</w:t>
      </w:r>
      <w:r>
        <w:rPr>
          <w:b w:val="false"/>
          <w:bCs w:val="false"/>
        </w:rPr>
        <w:t xml:space="preserve"> (familias).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Elegir la </w:t>
      </w:r>
      <w:r>
        <w:rPr>
          <w:b/>
          <w:bCs/>
        </w:rPr>
        <w:t xml:space="preserve">semana del año</w:t>
      </w:r>
      <w:r>
        <w:rPr>
          <w:b w:val="false"/>
          <w:bCs w:val="false"/>
        </w:rPr>
        <w:t xml:space="preserve"> y presionar </w:t>
      </w:r>
      <w:r>
        <w:rPr>
          <w:b/>
          <w:bCs/>
        </w:rPr>
        <w:t xml:space="preserve">Evaluar quiebre</w:t>
      </w:r>
      <w:r>
        <w:rPr>
          <w:b w:val="false"/>
          <w:bCs w:val="false"/>
        </w:rPr>
        <w:t xml:space="preserve">.</w:t>
      </w:r>
    </w:p>
    <w:p>
      <w:pPr>
        <w:pStyle w:val="Heading2"/>
      </w:pPr>
      <w:r>
        <w:t xml:space="preserve">5.2 Interpretar el resultado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Tarjetas 7 y 14 días:</w:t>
      </w:r>
      <w:r>
        <w:rPr>
          <w:b w:val="false"/>
          <w:bCs w:val="false"/>
        </w:rPr>
        <w:t xml:space="preserve"> verde (✅ sin riesgo) o rojo (⚠️ quiebre probable), con la probabilidad estimada y la acción recomendada.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Medidores (gauges):</w:t>
      </w:r>
      <w:r>
        <w:rPr>
          <w:b w:val="false"/>
          <w:bCs w:val="false"/>
        </w:rPr>
        <w:t xml:space="preserve"> probabilidad de quiebre. Menos de 40% = zona segura; 40–70% = precaución; más de 70% = crítico.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Evolución de stock semanal:</w:t>
      </w:r>
      <w:r>
        <w:rPr>
          <w:b w:val="false"/>
          <w:bCs w:val="false"/>
        </w:rPr>
        <w:t xml:space="preserve"> stock promedio por categoría a lo largo del año y alertas activas por semana.</w:t>
      </w:r>
    </w:p>
    <w:p>
      <w:pPr>
        <w:spacing w:after="120"/>
      </w:pPr>
      <w:r>
        <w:rPr>
          <w:b/>
          <w:bCs/>
        </w:rPr>
        <w:t xml:space="preserve">Regla práctica:</w:t>
      </w:r>
      <w:r>
        <w:rPr>
          <w:b w:val="false"/>
          <w:bCs w:val="false"/>
        </w:rPr>
        <w:t xml:space="preserve"> ante una alerta a 7 días, gestionar reposición esta misma semana; ante una alerta solo a 14 días, planificar la próxima campaña de donaciones.</w:t>
      </w:r>
    </w:p>
    <w:p>
      <w:pPr>
        <w:pStyle w:val="Heading1"/>
      </w:pPr>
      <w:r>
        <w:t xml:space="preserve">6. Página: Evaluación de Pacientes</w:t>
      </w:r>
    </w:p>
    <w:p>
      <w:pPr>
        <w:pStyle w:val="Heading2"/>
      </w:pPr>
      <w:r>
        <w:t xml:space="preserve">6.1 Completar el formulario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Datos generales:</w:t>
      </w:r>
      <w:r>
        <w:rPr>
          <w:b w:val="false"/>
          <w:bCs w:val="false"/>
        </w:rPr>
        <w:t xml:space="preserve"> edad, sexo, procedencia, distancia a Lima, instrucción del cuidador, motivo de ingreso.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Datos clínicos:</w:t>
      </w:r>
      <w:r>
        <w:rPr>
          <w:b w:val="false"/>
          <w:bCs w:val="false"/>
        </w:rPr>
        <w:t xml:space="preserve"> diagnóstico, etapa, tratamiento, estado físico y nutricional, infección activa, adherencia, apoyo familiar, comorbilidades, hospitalizaciones recientes.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Presionar </w:t>
      </w:r>
      <w:r>
        <w:rPr>
          <w:b/>
          <w:bCs/>
        </w:rPr>
        <w:t xml:space="preserve">Evaluar nivel de riesgo</w:t>
      </w:r>
      <w:r>
        <w:rPr>
          <w:b w:val="false"/>
          <w:bCs w:val="false"/>
        </w:rPr>
        <w:t xml:space="preserve">.</w:t>
      </w:r>
    </w:p>
    <w:p>
      <w:pPr>
        <w:pStyle w:val="Heading2"/>
      </w:pPr>
      <w:r>
        <w:t xml:space="preserve">6.2 Interpretar el resultado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2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Acción recomendada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🔴 Alto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 probabilidad de complicaciones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Monitoreo intensivo y notificación al médico tratante.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🟡 Medio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Riesgo moderado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Seguimiento semanal; verificar adherencia y nutrición.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🟢 Bajo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Evolución estable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Continuar protocolo estándar de control.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El gráfico de barras muestra la </w:t>
      </w:r>
      <w:r>
        <w:rPr>
          <w:b/>
          <w:bCs/>
        </w:rPr>
        <w:t xml:space="preserve">probabilidad de cada nivel</w:t>
      </w:r>
      <w:r>
        <w:rPr>
          <w:b w:val="false"/>
          <w:bCs w:val="false"/>
        </w:rPr>
        <w:t xml:space="preserve">; a mayor separación entre barras, mayor confianza del modelo.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La sección </w:t>
      </w:r>
      <w:r>
        <w:rPr>
          <w:b/>
          <w:bCs/>
        </w:rPr>
        <w:t xml:space="preserve">Factores detectados</w:t>
      </w:r>
      <w:r>
        <w:rPr>
          <w:b w:val="false"/>
          <w:bCs w:val="false"/>
        </w:rPr>
        <w:t xml:space="preserve"> lista las señales de alerta identificadas (etapa avanzada, desnutrición, infección, recaída, etc.).</w:t>
      </w:r>
    </w:p>
    <w:p>
      <w:pPr>
        <w:spacing w:after="120"/>
      </w:pPr>
      <w:r>
        <w:rPr>
          <w:b/>
          <w:bCs/>
        </w:rPr>
        <w:t xml:space="preserve">Importante:</w:t>
      </w:r>
      <w:r>
        <w:rPr>
          <w:b w:val="false"/>
          <w:bCs w:val="false"/>
        </w:rPr>
        <w:t xml:space="preserve"> un resultado “Alto” no es un diagnóstico; es una señal de priorización que debe ser confirmada por el personal de salud.</w:t>
      </w:r>
    </w:p>
    <w:p>
      <w:pPr>
        <w:pStyle w:val="Heading1"/>
      </w:pPr>
      <w:r>
        <w:t xml:space="preserve">7. Modelos y métricas de referencia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1700"/>
        <w:gridCol w:w="15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Alerta de stock a 7 días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XGBoost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0.9865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0.9982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Alerta de stock a 14 días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0.9721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0.9901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Riesgo de pacientes (multiclase)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XGBoost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0.7500 (macro)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0.9164 (macro)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>Los modelos fueron entrenados con validación cruzada estratificada (5 particiones) y búsqueda de hiperparámetros (RandomizedSearchCV). El detalle completo está en el informe técnico y en el notebook de entrenamiento.</w:t>
      </w:r>
    </w:p>
    <w:p>
      <w:pPr>
        <w:pStyle w:val="Heading1"/>
      </w:pPr>
      <w:r>
        <w:t xml:space="preserve">8. Solución de problemas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“Archivos de datos no encontrados”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Verificar que exista la carpeta data/processed con los 3 CSV. Ejecutar streamlit desde la carpeta raíz del proyecto.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“Modelos no encontrados”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Verificar que models/models_inventario.pkl y models_pacientes.pkl existan. Si faltan, reentrenar con el notebook de notebooks/.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navegador no se abre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Entrar manualmente a http://localhost:8501.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Error al instalar dependencias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Actualizar pip (python -m pip install --upgrade pip) y reintentar.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enlace ngrok no funciona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Verificar el token en ngrok.com y que el puerto 8501 esté libre.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085"/>
        <w:sz w:val="18"/>
        <w:szCs w:val="18"/>
      </w:rPr>
      <w:t xml:space="preserve">Página </w:t>
    </w:r>
    <w:r>
      <w:rPr>
        <w:color w:val="66708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DA9D4" w:sz="4" w:space="1"/>
      </w:pBdr>
    </w:pPr>
    <w:r>
      <w:rPr>
        <w:color w:val="667085"/>
        <w:sz w:val="18"/>
        <w:szCs w:val="18"/>
      </w:rPr>
      <w:t xml:space="preserve">ALDIMI Predict —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B3B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A5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2026-07-02T02:48:58.500Z</dcterms:created>
  <dcterms:modified xsi:type="dcterms:W3CDTF">2026-07-02T02:48:58.501Z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