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2E4057"/>
          <w:sz w:val="28"/>
          <w:szCs w:val="28"/>
        </w:rPr>
        <w:t xml:space="preserve">Universidad Peruana de Ciencias Aplicadas</w:t>
      </w:r>
    </w:p>
    <w:p>
      <w:pPr>
        <w:spacing w:after="80"/>
        <w:jc w:val="center"/>
      </w:pPr>
      <w:r>
        <w:rPr>
          <w:rFonts w:ascii="Arial" w:cs="Arial" w:eastAsia="Arial" w:hAnsi="Arial"/>
          <w:color w:val="555555"/>
          <w:sz w:val="22"/>
          <w:szCs w:val="22"/>
        </w:rPr>
        <w:t xml:space="preserve">MACHINE LEARNING</w:t>
      </w:r>
    </w:p>
    <w:p>
      <w:pPr>
        <w:spacing w:after="80"/>
        <w:jc w:val="center"/>
      </w:pPr>
      <w:r>
        <w:rPr>
          <w:rFonts w:ascii="Arial" w:cs="Arial" w:eastAsia="Arial" w:hAnsi="Arial"/>
          <w:color w:val="555555"/>
          <w:sz w:val="22"/>
          <w:szCs w:val="22"/>
        </w:rPr>
        <w:t xml:space="preserve">NRC: 3037</w:t>
      </w:r>
    </w:p>
    <w:p>
      <w:pPr>
        <w:spacing w:after="80"/>
        <w:jc w:val="center"/>
      </w:pPr>
      <w:r>
        <w:rPr>
          <w:rFonts w:ascii="Arial" w:cs="Arial" w:eastAsia="Arial" w:hAnsi="Arial"/>
          <w:color w:val="555555"/>
          <w:sz w:val="22"/>
          <w:szCs w:val="22"/>
        </w:rPr>
        <w:t xml:space="preserve">DOCENTE: Pinedo Taquia, Jairo</w:t>
      </w:r>
    </w:p>
    <w:p>
      <w:pPr>
        <w:spacing w:after="600"/>
      </w:pPr>
      <w:r>
        <w:t xml:space="preserve"/>
      </w:r>
    </w:p>
    <w:p>
      <w:pPr>
        <w:spacing w:after="200"/>
        <w:jc w:val="center"/>
      </w:pPr>
      <w:r>
        <w:rPr>
          <w:rFonts w:ascii="Arial" w:cs="Arial" w:eastAsia="Arial" w:hAnsi="Arial"/>
          <w:b/>
          <w:bCs/>
          <w:color w:val="C0392B"/>
          <w:sz w:val="52"/>
          <w:szCs w:val="52"/>
        </w:rPr>
        <w:t xml:space="preserve">Trabajo 1</w:t>
      </w:r>
    </w:p>
    <w:p>
      <w:pPr>
        <w:spacing w:after="120"/>
        <w:jc w:val="center"/>
      </w:pPr>
      <w:r>
        <w:rPr>
          <w:rFonts w:ascii="Arial" w:cs="Arial" w:eastAsia="Arial" w:hAnsi="Arial"/>
          <w:color w:val="555555"/>
          <w:sz w:val="24"/>
          <w:szCs w:val="24"/>
        </w:rPr>
        <w:t xml:space="preserve">Abril 2026 - 1</w:t>
      </w:r>
    </w:p>
    <w:p>
      <w:pPr>
        <w:spacing w:after="400"/>
      </w:pPr>
      <w:r>
        <w:t xml:space="preserve"/>
      </w:r>
    </w:p>
    <w:p>
      <w:pPr>
        <w:spacing w:after="160"/>
        <w:jc w:val="center"/>
      </w:pPr>
      <w:r>
        <w:rPr>
          <w:rFonts w:ascii="Arial" w:cs="Arial" w:eastAsia="Arial" w:hAnsi="Arial"/>
          <w:b/>
          <w:bCs/>
          <w:sz w:val="22"/>
          <w:szCs w:val="22"/>
        </w:rPr>
        <w:t xml:space="preserve">Integrantes:</w:t>
      </w:r>
    </w:p>
    <w:p>
      <w:pPr>
        <w:pStyle w:val="ListParagraph"/>
        <w:numPr>
          <w:ilvl w:val="0"/>
          <w:numId w:val="2"/>
        </w:numPr>
        <w:spacing w:after="80"/>
      </w:pPr>
      <w:r>
        <w:rPr>
          <w:rFonts w:ascii="Arial" w:cs="Arial" w:eastAsia="Arial" w:hAnsi="Arial"/>
          <w:sz w:val="22"/>
          <w:szCs w:val="22"/>
        </w:rPr>
        <w:t xml:space="preserve">[Nombre 1] – U20XXXXXXX</w:t>
      </w:r>
    </w:p>
    <w:p>
      <w:pPr>
        <w:pStyle w:val="ListParagraph"/>
        <w:numPr>
          <w:ilvl w:val="0"/>
          <w:numId w:val="2"/>
        </w:numPr>
        <w:spacing w:after="80"/>
      </w:pPr>
      <w:r>
        <w:rPr>
          <w:rFonts w:ascii="Arial" w:cs="Arial" w:eastAsia="Arial" w:hAnsi="Arial"/>
          <w:sz w:val="22"/>
          <w:szCs w:val="22"/>
        </w:rPr>
        <w:t xml:space="preserve">[Nombre 2] – U20XXXXXXX</w:t>
      </w:r>
    </w:p>
    <w:p>
      <w:pPr>
        <w:pStyle w:val="ListParagraph"/>
        <w:numPr>
          <w:ilvl w:val="0"/>
          <w:numId w:val="2"/>
        </w:numPr>
        <w:spacing w:after="80"/>
      </w:pPr>
      <w:r>
        <w:rPr>
          <w:rFonts w:ascii="Arial" w:cs="Arial" w:eastAsia="Arial" w:hAnsi="Arial"/>
          <w:sz w:val="22"/>
          <w:szCs w:val="22"/>
        </w:rPr>
        <w:t xml:space="preserve">[Nombre 3] – U20XXXXXXX</w:t>
      </w:r>
    </w:p>
    <w:p>
      <w:pPr>
        <w:pStyle w:val="ListParagraph"/>
        <w:numPr>
          <w:ilvl w:val="0"/>
          <w:numId w:val="2"/>
        </w:numPr>
        <w:spacing w:after="80"/>
      </w:pPr>
      <w:r>
        <w:rPr>
          <w:rFonts w:ascii="Arial" w:cs="Arial" w:eastAsia="Arial" w:hAnsi="Arial"/>
          <w:sz w:val="22"/>
          <w:szCs w:val="22"/>
        </w:rPr>
        <w:t xml:space="preserve">[Nombre 4] – U20XXXXXXX</w:t>
      </w:r>
    </w:p>
    <w:p>
      <w:pPr>
        <w:pStyle w:val="ListParagraph"/>
        <w:numPr>
          <w:ilvl w:val="0"/>
          <w:numId w:val="2"/>
        </w:numPr>
        <w:spacing w:after="80"/>
      </w:pPr>
      <w:r>
        <w:rPr>
          <w:rFonts w:ascii="Arial" w:cs="Arial" w:eastAsia="Arial" w:hAnsi="Arial"/>
          <w:sz w:val="22"/>
          <w:szCs w:val="22"/>
        </w:rPr>
        <w:t xml:space="preserve">[Nombre 5] – U20XXXXXXX</w:t>
      </w:r>
    </w:p>
    <w:p>
      <w:r>
        <w:br w:type="page"/>
      </w:r>
    </w:p>
    <w:p>
      <w:pPr>
        <w:pStyle w:val="Heading1"/>
        <w:spacing w:after="200" w:before="400"/>
      </w:pPr>
      <w:r>
        <w:rPr>
          <w:rFonts w:ascii="Arial" w:cs="Arial" w:eastAsia="Arial" w:hAnsi="Arial"/>
          <w:b/>
          <w:bCs/>
          <w:color w:val="2E4057"/>
          <w:sz w:val="30"/>
          <w:szCs w:val="30"/>
        </w:rPr>
        <w:t xml:space="preserve">ÍNDICE</w:t>
      </w:r>
    </w:p>
    <w:p>
      <w:pPr>
        <w:tabs>
          <w:tab w:val="right" w:pos="8600" w:leader="dot"/>
        </w:tabs>
        <w:spacing w:after="60"/>
      </w:pPr>
      <w:r>
        <w:rPr>
          <w:rFonts w:ascii="Arial" w:cs="Arial" w:eastAsia="Arial" w:hAnsi="Arial"/>
          <w:sz w:val="20"/>
          <w:szCs w:val="20"/>
        </w:rPr>
        <w:t xml:space="preserve">1.0. Introducción y contexto</w:t>
      </w:r>
      <w:r>
        <w:rPr>
          <w:rFonts w:ascii="Arial" w:cs="Arial" w:eastAsia="Arial" w:hAnsi="Arial"/>
          <w:sz w:val="20"/>
          <w:szCs w:val="20"/>
        </w:rPr>
        <w:t xml:space="preserve">	3</w:t>
      </w:r>
    </w:p>
    <w:p>
      <w:pPr>
        <w:tabs>
          <w:tab w:val="right" w:pos="8600" w:leader="dot"/>
        </w:tabs>
        <w:spacing w:after="60"/>
      </w:pPr>
      <w:r>
        <w:rPr>
          <w:rFonts w:ascii="Arial" w:cs="Arial" w:eastAsia="Arial" w:hAnsi="Arial"/>
          <w:sz w:val="20"/>
          <w:szCs w:val="20"/>
        </w:rPr>
        <w:t xml:space="preserve">    1.1. Problemática</w:t>
      </w:r>
      <w:r>
        <w:rPr>
          <w:rFonts w:ascii="Arial" w:cs="Arial" w:eastAsia="Arial" w:hAnsi="Arial"/>
          <w:sz w:val="20"/>
          <w:szCs w:val="20"/>
        </w:rPr>
        <w:t xml:space="preserve">	3</w:t>
      </w:r>
    </w:p>
    <w:p>
      <w:pPr>
        <w:tabs>
          <w:tab w:val="right" w:pos="8600" w:leader="dot"/>
        </w:tabs>
        <w:spacing w:after="60"/>
      </w:pPr>
      <w:r>
        <w:rPr>
          <w:rFonts w:ascii="Arial" w:cs="Arial" w:eastAsia="Arial" w:hAnsi="Arial"/>
          <w:sz w:val="20"/>
          <w:szCs w:val="20"/>
        </w:rPr>
        <w:t xml:space="preserve">    1.2. Propósito del proyecto</w:t>
      </w:r>
      <w:r>
        <w:rPr>
          <w:rFonts w:ascii="Arial" w:cs="Arial" w:eastAsia="Arial" w:hAnsi="Arial"/>
          <w:sz w:val="20"/>
          <w:szCs w:val="20"/>
        </w:rPr>
        <w:t xml:space="preserve">	3</w:t>
      </w:r>
    </w:p>
    <w:p>
      <w:pPr>
        <w:tabs>
          <w:tab w:val="right" w:pos="8600" w:leader="dot"/>
        </w:tabs>
        <w:spacing w:after="60"/>
      </w:pPr>
      <w:r>
        <w:rPr>
          <w:rFonts w:ascii="Arial" w:cs="Arial" w:eastAsia="Arial" w:hAnsi="Arial"/>
          <w:sz w:val="20"/>
          <w:szCs w:val="20"/>
        </w:rPr>
        <w:t xml:space="preserve">2.0. Metodología CRISP-DM</w:t>
      </w:r>
      <w:r>
        <w:rPr>
          <w:rFonts w:ascii="Arial" w:cs="Arial" w:eastAsia="Arial" w:hAnsi="Arial"/>
          <w:sz w:val="20"/>
          <w:szCs w:val="20"/>
        </w:rPr>
        <w:t xml:space="preserve">	4</w:t>
      </w:r>
    </w:p>
    <w:p>
      <w:pPr>
        <w:tabs>
          <w:tab w:val="right" w:pos="8600" w:leader="dot"/>
        </w:tabs>
        <w:spacing w:after="60"/>
      </w:pPr>
      <w:r>
        <w:rPr>
          <w:rFonts w:ascii="Arial" w:cs="Arial" w:eastAsia="Arial" w:hAnsi="Arial"/>
          <w:sz w:val="20"/>
          <w:szCs w:val="20"/>
        </w:rPr>
        <w:t xml:space="preserve">    2.1. Comprensión del negocio</w:t>
      </w:r>
      <w:r>
        <w:rPr>
          <w:rFonts w:ascii="Arial" w:cs="Arial" w:eastAsia="Arial" w:hAnsi="Arial"/>
          <w:sz w:val="20"/>
          <w:szCs w:val="20"/>
        </w:rPr>
        <w:t xml:space="preserve">	4</w:t>
      </w:r>
    </w:p>
    <w:p>
      <w:pPr>
        <w:tabs>
          <w:tab w:val="right" w:pos="8600" w:leader="dot"/>
        </w:tabs>
        <w:spacing w:after="60"/>
      </w:pPr>
      <w:r>
        <w:rPr>
          <w:rFonts w:ascii="Arial" w:cs="Arial" w:eastAsia="Arial" w:hAnsi="Arial"/>
          <w:sz w:val="20"/>
          <w:szCs w:val="20"/>
        </w:rPr>
        <w:t xml:space="preserve">        2.1.1. Obtención de los datos</w:t>
      </w:r>
      <w:r>
        <w:rPr>
          <w:rFonts w:ascii="Arial" w:cs="Arial" w:eastAsia="Arial" w:hAnsi="Arial"/>
          <w:sz w:val="20"/>
          <w:szCs w:val="20"/>
        </w:rPr>
        <w:t xml:space="preserve">	4</w:t>
      </w:r>
    </w:p>
    <w:p>
      <w:pPr>
        <w:tabs>
          <w:tab w:val="right" w:pos="8600" w:leader="dot"/>
        </w:tabs>
        <w:spacing w:after="60"/>
      </w:pPr>
      <w:r>
        <w:rPr>
          <w:rFonts w:ascii="Arial" w:cs="Arial" w:eastAsia="Arial" w:hAnsi="Arial"/>
          <w:sz w:val="20"/>
          <w:szCs w:val="20"/>
        </w:rPr>
        <w:t xml:space="preserve">        2.1.2. Dataset</w:t>
      </w:r>
      <w:r>
        <w:rPr>
          <w:rFonts w:ascii="Arial" w:cs="Arial" w:eastAsia="Arial" w:hAnsi="Arial"/>
          <w:sz w:val="20"/>
          <w:szCs w:val="20"/>
        </w:rPr>
        <w:t xml:space="preserve">	4</w:t>
      </w:r>
    </w:p>
    <w:p>
      <w:pPr>
        <w:tabs>
          <w:tab w:val="right" w:pos="8600" w:leader="dot"/>
        </w:tabs>
        <w:spacing w:after="60"/>
      </w:pPr>
      <w:r>
        <w:rPr>
          <w:rFonts w:ascii="Arial" w:cs="Arial" w:eastAsia="Arial" w:hAnsi="Arial"/>
          <w:sz w:val="20"/>
          <w:szCs w:val="20"/>
        </w:rPr>
        <w:t xml:space="preserve">        2.1.3. Alineación con los ODS</w:t>
      </w:r>
      <w:r>
        <w:rPr>
          <w:rFonts w:ascii="Arial" w:cs="Arial" w:eastAsia="Arial" w:hAnsi="Arial"/>
          <w:sz w:val="20"/>
          <w:szCs w:val="20"/>
        </w:rPr>
        <w:t xml:space="preserve">	6</w:t>
      </w:r>
    </w:p>
    <w:p>
      <w:pPr>
        <w:tabs>
          <w:tab w:val="right" w:pos="8600" w:leader="dot"/>
        </w:tabs>
        <w:spacing w:after="60"/>
      </w:pPr>
      <w:r>
        <w:rPr>
          <w:rFonts w:ascii="Arial" w:cs="Arial" w:eastAsia="Arial" w:hAnsi="Arial"/>
          <w:sz w:val="20"/>
          <w:szCs w:val="20"/>
        </w:rPr>
        <w:t xml:space="preserve">    2.2. Comprensión de los datos</w:t>
      </w:r>
      <w:r>
        <w:rPr>
          <w:rFonts w:ascii="Arial" w:cs="Arial" w:eastAsia="Arial" w:hAnsi="Arial"/>
          <w:sz w:val="20"/>
          <w:szCs w:val="20"/>
        </w:rPr>
        <w:t xml:space="preserve">	6</w:t>
      </w:r>
    </w:p>
    <w:p>
      <w:pPr>
        <w:tabs>
          <w:tab w:val="right" w:pos="8600" w:leader="dot"/>
        </w:tabs>
        <w:spacing w:after="60"/>
      </w:pPr>
      <w:r>
        <w:rPr>
          <w:rFonts w:ascii="Arial" w:cs="Arial" w:eastAsia="Arial" w:hAnsi="Arial"/>
          <w:sz w:val="20"/>
          <w:szCs w:val="20"/>
        </w:rPr>
        <w:t xml:space="preserve">        2.2.1. Calidad de los datos</w:t>
      </w:r>
      <w:r>
        <w:rPr>
          <w:rFonts w:ascii="Arial" w:cs="Arial" w:eastAsia="Arial" w:hAnsi="Arial"/>
          <w:sz w:val="20"/>
          <w:szCs w:val="20"/>
        </w:rPr>
        <w:t xml:space="preserve">	6</w:t>
      </w:r>
    </w:p>
    <w:p>
      <w:pPr>
        <w:tabs>
          <w:tab w:val="right" w:pos="8600" w:leader="dot"/>
        </w:tabs>
        <w:spacing w:after="60"/>
      </w:pPr>
      <w:r>
        <w:rPr>
          <w:rFonts w:ascii="Arial" w:cs="Arial" w:eastAsia="Arial" w:hAnsi="Arial"/>
          <w:sz w:val="20"/>
          <w:szCs w:val="20"/>
        </w:rPr>
        <w:t xml:space="preserve">        2.2.2. Análisis exploratorio e insights</w:t>
      </w:r>
      <w:r>
        <w:rPr>
          <w:rFonts w:ascii="Arial" w:cs="Arial" w:eastAsia="Arial" w:hAnsi="Arial"/>
          <w:sz w:val="20"/>
          <w:szCs w:val="20"/>
        </w:rPr>
        <w:t xml:space="preserve">	7</w:t>
      </w:r>
    </w:p>
    <w:p>
      <w:pPr>
        <w:tabs>
          <w:tab w:val="right" w:pos="8600" w:leader="dot"/>
        </w:tabs>
        <w:spacing w:after="60"/>
      </w:pPr>
      <w:r>
        <w:rPr>
          <w:rFonts w:ascii="Arial" w:cs="Arial" w:eastAsia="Arial" w:hAnsi="Arial"/>
          <w:sz w:val="20"/>
          <w:szCs w:val="20"/>
        </w:rPr>
        <w:t xml:space="preserve">    2.3. Preprocesamiento de datos</w:t>
      </w:r>
      <w:r>
        <w:rPr>
          <w:rFonts w:ascii="Arial" w:cs="Arial" w:eastAsia="Arial" w:hAnsi="Arial"/>
          <w:sz w:val="20"/>
          <w:szCs w:val="20"/>
        </w:rPr>
        <w:t xml:space="preserve">	9</w:t>
      </w:r>
    </w:p>
    <w:p>
      <w:pPr>
        <w:tabs>
          <w:tab w:val="right" w:pos="8600" w:leader="dot"/>
        </w:tabs>
        <w:spacing w:after="60"/>
      </w:pPr>
      <w:r>
        <w:rPr>
          <w:rFonts w:ascii="Arial" w:cs="Arial" w:eastAsia="Arial" w:hAnsi="Arial"/>
          <w:sz w:val="20"/>
          <w:szCs w:val="20"/>
        </w:rPr>
        <w:t xml:space="preserve">3.0. Planificación del proyecto</w:t>
      </w:r>
      <w:r>
        <w:rPr>
          <w:rFonts w:ascii="Arial" w:cs="Arial" w:eastAsia="Arial" w:hAnsi="Arial"/>
          <w:sz w:val="20"/>
          <w:szCs w:val="20"/>
        </w:rPr>
        <w:t xml:space="preserve">	10</w:t>
      </w:r>
    </w:p>
    <w:p>
      <w:pPr>
        <w:tabs>
          <w:tab w:val="right" w:pos="8600" w:leader="dot"/>
        </w:tabs>
        <w:spacing w:after="60"/>
      </w:pPr>
      <w:r>
        <w:rPr>
          <w:rFonts w:ascii="Arial" w:cs="Arial" w:eastAsia="Arial" w:hAnsi="Arial"/>
          <w:sz w:val="20"/>
          <w:szCs w:val="20"/>
        </w:rPr>
        <w:t xml:space="preserve">4.0. Conclusiones</w:t>
      </w:r>
      <w:r>
        <w:rPr>
          <w:rFonts w:ascii="Arial" w:cs="Arial" w:eastAsia="Arial" w:hAnsi="Arial"/>
          <w:sz w:val="20"/>
          <w:szCs w:val="20"/>
        </w:rPr>
        <w:t xml:space="preserve">	11</w:t>
      </w:r>
    </w:p>
    <w:p>
      <w:pPr>
        <w:tabs>
          <w:tab w:val="right" w:pos="8600" w:leader="dot"/>
        </w:tabs>
        <w:spacing w:after="60"/>
      </w:pPr>
      <w:r>
        <w:rPr>
          <w:rFonts w:ascii="Arial" w:cs="Arial" w:eastAsia="Arial" w:hAnsi="Arial"/>
          <w:sz w:val="20"/>
          <w:szCs w:val="20"/>
        </w:rPr>
        <w:t xml:space="preserve">5.0. Referencias Bibliográficas</w:t>
      </w:r>
      <w:r>
        <w:rPr>
          <w:rFonts w:ascii="Arial" w:cs="Arial" w:eastAsia="Arial" w:hAnsi="Arial"/>
          <w:sz w:val="20"/>
          <w:szCs w:val="20"/>
        </w:rPr>
        <w:t xml:space="preserve">	11</w:t>
      </w:r>
    </w:p>
    <w:p>
      <w:r>
        <w:br w:type="page"/>
      </w:r>
    </w:p>
    <w:p>
      <w:pPr>
        <w:pStyle w:val="Heading1"/>
        <w:spacing w:after="200" w:before="400"/>
      </w:pPr>
      <w:r>
        <w:rPr>
          <w:rFonts w:ascii="Arial" w:cs="Arial" w:eastAsia="Arial" w:hAnsi="Arial"/>
          <w:b/>
          <w:bCs/>
          <w:color w:val="2E4057"/>
          <w:sz w:val="30"/>
          <w:szCs w:val="30"/>
        </w:rPr>
        <w:t xml:space="preserve">1.0. Introducción y contexto</w:t>
      </w:r>
    </w:p>
    <w:p>
      <w:pPr>
        <w:pStyle w:val="Heading2"/>
        <w:spacing w:after="140" w:before="280"/>
      </w:pPr>
      <w:r>
        <w:rPr>
          <w:rFonts w:ascii="Arial" w:cs="Arial" w:eastAsia="Arial" w:hAnsi="Arial"/>
          <w:b/>
          <w:bCs/>
          <w:color w:val="C0392B"/>
          <w:sz w:val="25"/>
          <w:szCs w:val="25"/>
        </w:rPr>
        <w:t xml:space="preserve">1.1. Problemática</w:t>
      </w:r>
    </w:p>
    <w:p>
      <w:pPr>
        <w:spacing w:after="160"/>
        <w:jc w:val="both"/>
      </w:pPr>
      <w:r>
        <w:rPr>
          <w:rFonts w:ascii="Arial" w:cs="Arial" w:eastAsia="Arial" w:hAnsi="Arial"/>
          <w:sz w:val="22"/>
          <w:szCs w:val="22"/>
        </w:rPr>
        <w:t xml:space="preserve">El Albergue Divina Misericordia (ALDIMI) es una organización sin fines de lucro que brinda atención integral y gratuita a pacientes con cáncer provenientes de provincias del interior del Perú, quienes requieren hospedaje, alimentación y acompañamiento durante su tratamiento oncológico en Lima. La mayoría de sus pacientes se encuentran en situación de pobreza extrema.</w:t>
      </w:r>
    </w:p>
    <w:p>
      <w:pPr>
        <w:spacing w:after="160"/>
        <w:jc w:val="both"/>
      </w:pPr>
      <w:r>
        <w:rPr>
          <w:rFonts w:ascii="Arial" w:cs="Arial" w:eastAsia="Arial" w:hAnsi="Arial"/>
          <w:sz w:val="22"/>
          <w:szCs w:val="22"/>
        </w:rPr>
        <w:t xml:space="preserve">La gestión del almacén de donaciones de alimentos se realiza actualmente de forma manual mediante un archivo Excel que registra entradas, salidas y existencias de cientos de artículos distribuidos en categorías como menestras, cereales, aceites, conservas, embutidos y productos de limpieza. Este enfoque manual hace que sea imposible anticipar con suficiente antelación qué artículos se agotarán, generando riesgo de desabastecimiento para los pacientes.</w:t>
      </w:r>
    </w:p>
    <w:p>
      <w:pPr>
        <w:spacing w:after="160"/>
        <w:jc w:val="both"/>
      </w:pPr>
      <w:r>
        <w:rPr>
          <w:rFonts w:ascii="Arial" w:cs="Arial" w:eastAsia="Arial" w:hAnsi="Arial"/>
          <w:sz w:val="22"/>
          <w:szCs w:val="22"/>
        </w:rPr>
        <w:t xml:space="preserve">Además, el archivo presenta múltiples problemas de calidad: errores de referencia (#REF!, #N/A), existencias con valores negativos, campos vacíos, inconsistencias tipográficas y precios faltantes. Esta situación hace insostenible la gestión reactiva de recursos y justifica la necesidad de un sistema predictivo basado en Machine Learning.</w:t>
      </w:r>
    </w:p>
    <w:p>
      <w:pPr>
        <w:pStyle w:val="Heading2"/>
        <w:spacing w:after="140" w:before="280"/>
      </w:pPr>
      <w:r>
        <w:rPr>
          <w:rFonts w:ascii="Arial" w:cs="Arial" w:eastAsia="Arial" w:hAnsi="Arial"/>
          <w:b/>
          <w:bCs/>
          <w:color w:val="C0392B"/>
          <w:sz w:val="25"/>
          <w:szCs w:val="25"/>
        </w:rPr>
        <w:t xml:space="preserve">1.2. Propósito del proyecto</w:t>
      </w:r>
    </w:p>
    <w:p>
      <w:pPr>
        <w:spacing w:after="160"/>
        <w:jc w:val="both"/>
      </w:pPr>
      <w:r>
        <w:rPr>
          <w:rFonts w:ascii="Arial" w:cs="Arial" w:eastAsia="Arial" w:hAnsi="Arial"/>
          <w:sz w:val="22"/>
          <w:szCs w:val="22"/>
        </w:rPr>
        <w:t xml:space="preserve">El presente proyecto busca desarrollar un modelo de Machine Learning supervisado que permita predecir automáticamente qué artículos del almacén de ALDIMI necesitarán reposición urgente, definida como existencias actuales menores a 5 unidades o valores negativos, anticipando así el desabastecimiento y permitiendo solicitar donaciones a tiempo.</w:t>
      </w:r>
    </w:p>
    <w:p>
      <w:pPr>
        <w:pStyle w:val="ListParagraph"/>
        <w:numPr>
          <w:ilvl w:val="0"/>
          <w:numId w:val="2"/>
        </w:numPr>
        <w:spacing w:after="100"/>
      </w:pPr>
      <w:r>
        <w:rPr>
          <w:rFonts w:ascii="Arial" w:cs="Arial" w:eastAsia="Arial" w:hAnsi="Arial"/>
          <w:b/>
          <w:bCs/>
          <w:sz w:val="22"/>
          <w:szCs w:val="22"/>
        </w:rPr>
        <w:t xml:space="preserve">ODS 2 – Hambre Cero:</w:t>
      </w:r>
      <w:r>
        <w:rPr>
          <w:rFonts w:ascii="Arial" w:cs="Arial" w:eastAsia="Arial" w:hAnsi="Arial"/>
          <w:sz w:val="22"/>
          <w:szCs w:val="22"/>
        </w:rPr>
        <w:t xml:space="preserve"> garantizar la disponibilidad continua de alimentos para los pacientes oncológicos alojados en ALDIMI.</w:t>
      </w:r>
    </w:p>
    <w:p>
      <w:pPr>
        <w:pStyle w:val="ListParagraph"/>
        <w:numPr>
          <w:ilvl w:val="0"/>
          <w:numId w:val="2"/>
        </w:numPr>
        <w:spacing w:after="100"/>
      </w:pPr>
      <w:r>
        <w:rPr>
          <w:rFonts w:ascii="Arial" w:cs="Arial" w:eastAsia="Arial" w:hAnsi="Arial"/>
          <w:b/>
          <w:bCs/>
          <w:sz w:val="22"/>
          <w:szCs w:val="22"/>
        </w:rPr>
        <w:t xml:space="preserve">ODS 3 – Salud y Bienestar:</w:t>
      </w:r>
      <w:r>
        <w:rPr>
          <w:rFonts w:ascii="Arial" w:cs="Arial" w:eastAsia="Arial" w:hAnsi="Arial"/>
          <w:sz w:val="22"/>
          <w:szCs w:val="22"/>
        </w:rPr>
        <w:t xml:space="preserve"> una alimentación constante y adecuada es parte fundamental del tratamiento y recuperación oncológica.</w:t>
      </w:r>
    </w:p>
    <w:p>
      <w:pPr>
        <w:spacing w:after="120"/>
      </w:pPr>
      <w:r>
        <w:t xml:space="preserve"/>
      </w:r>
    </w:p>
    <w:p>
      <w:pPr>
        <w:pStyle w:val="Heading1"/>
        <w:spacing w:after="200" w:before="400"/>
      </w:pPr>
      <w:r>
        <w:rPr>
          <w:rFonts w:ascii="Arial" w:cs="Arial" w:eastAsia="Arial" w:hAnsi="Arial"/>
          <w:b/>
          <w:bCs/>
          <w:color w:val="2E4057"/>
          <w:sz w:val="30"/>
          <w:szCs w:val="30"/>
        </w:rPr>
        <w:t xml:space="preserve">2.0. Metodología CRISP-DM</w:t>
      </w:r>
    </w:p>
    <w:p>
      <w:pPr>
        <w:pStyle w:val="Heading2"/>
        <w:spacing w:after="140" w:before="280"/>
      </w:pPr>
      <w:r>
        <w:rPr>
          <w:rFonts w:ascii="Arial" w:cs="Arial" w:eastAsia="Arial" w:hAnsi="Arial"/>
          <w:b/>
          <w:bCs/>
          <w:color w:val="C0392B"/>
          <w:sz w:val="25"/>
          <w:szCs w:val="25"/>
        </w:rPr>
        <w:t xml:space="preserve">2.1. Comprensión del negocio</w:t>
      </w:r>
    </w:p>
    <w:p>
      <w:pPr>
        <w:spacing w:after="160"/>
        <w:jc w:val="both"/>
      </w:pPr>
      <w:r>
        <w:rPr>
          <w:rFonts w:ascii="Arial" w:cs="Arial" w:eastAsia="Arial" w:hAnsi="Arial"/>
          <w:sz w:val="22"/>
          <w:szCs w:val="22"/>
        </w:rPr>
        <w:t xml:space="preserve">El almacén de ALDIMI opera bajo donaciones de supermercados (Metro, Plaza Vea) y del Banco de Alimentos. Las entradas son irregulares y dependen de la disponibilidad de los donantes, mientras que las salidas son diarias y relativamente constantes según el número de pacientes alojados. El objetivo central del negocio es garantizar que ningún artículo alimentario esencial falte en el almacén antes de poder ser repuesto.</w:t>
      </w:r>
    </w:p>
    <w:p>
      <w:pPr>
        <w:spacing w:after="160"/>
        <w:jc w:val="both"/>
      </w:pPr>
      <w:r>
        <w:rPr>
          <w:rFonts w:ascii="Arial" w:cs="Arial" w:eastAsia="Arial" w:hAnsi="Arial"/>
          <w:sz w:val="22"/>
          <w:szCs w:val="22"/>
        </w:rPr>
        <w:t xml:space="preserve">Se identificaron dos necesidades críticas no cubiertas por los procesos actuales:</w:t>
      </w:r>
    </w:p>
    <w:p>
      <w:pPr>
        <w:pStyle w:val="ListParagraph"/>
        <w:numPr>
          <w:ilvl w:val="0"/>
          <w:numId w:val="2"/>
        </w:numPr>
        <w:spacing w:after="100"/>
      </w:pPr>
      <w:r>
        <w:rPr>
          <w:rFonts w:ascii="Arial" w:cs="Arial" w:eastAsia="Arial" w:hAnsi="Arial"/>
          <w:b/>
          <w:bCs/>
          <w:sz w:val="22"/>
          <w:szCs w:val="22"/>
        </w:rPr>
        <w:t xml:space="preserve">Necesidad operativa 1:</w:t>
      </w:r>
      <w:r>
        <w:rPr>
          <w:rFonts w:ascii="Arial" w:cs="Arial" w:eastAsia="Arial" w:hAnsi="Arial"/>
          <w:sz w:val="22"/>
          <w:szCs w:val="22"/>
        </w:rPr>
        <w:t xml:space="preserve"> anticipar con suficiente antelación el agotamiento de artículos alimentarios para activar los procesos de solicitud de donaciones antes de que ocurra la escasez.</w:t>
      </w:r>
    </w:p>
    <w:p>
      <w:pPr>
        <w:pStyle w:val="ListParagraph"/>
        <w:numPr>
          <w:ilvl w:val="0"/>
          <w:numId w:val="2"/>
        </w:numPr>
        <w:spacing w:after="100"/>
      </w:pPr>
      <w:r>
        <w:rPr>
          <w:rFonts w:ascii="Arial" w:cs="Arial" w:eastAsia="Arial" w:hAnsi="Arial"/>
          <w:b/>
          <w:bCs/>
          <w:sz w:val="22"/>
          <w:szCs w:val="22"/>
        </w:rPr>
        <w:t xml:space="preserve">Necesidad operativa 2:</w:t>
      </w:r>
      <w:r>
        <w:rPr>
          <w:rFonts w:ascii="Arial" w:cs="Arial" w:eastAsia="Arial" w:hAnsi="Arial"/>
          <w:sz w:val="22"/>
          <w:szCs w:val="22"/>
        </w:rPr>
        <w:t xml:space="preserve"> identificar los artículos con mayor riesgo de agotamiento basándose en su historial de movimientos, categoría, tasa de rotación y estado actual de inventario.</w:t>
      </w:r>
    </w:p>
    <w:p>
      <w:pPr>
        <w:spacing w:after="100" w:before="200"/>
      </w:pPr>
      <w:r>
        <w:rPr>
          <w:rFonts w:ascii="Arial" w:cs="Arial" w:eastAsia="Arial" w:hAnsi="Arial"/>
          <w:b/>
          <w:bCs/>
          <w:color w:val="2E4057"/>
          <w:sz w:val="22"/>
          <w:szCs w:val="22"/>
        </w:rPr>
        <w:t xml:space="preserve">2.1.1. Obtención de los datos</w:t>
      </w:r>
    </w:p>
    <w:p>
      <w:pPr>
        <w:spacing w:after="160"/>
        <w:jc w:val="both"/>
      </w:pPr>
      <w:r>
        <w:rPr>
          <w:rFonts w:ascii="Arial" w:cs="Arial" w:eastAsia="Arial" w:hAnsi="Arial"/>
          <w:sz w:val="22"/>
          <w:szCs w:val="22"/>
        </w:rPr>
        <w:t xml:space="preserve">Los datos fueron obtenidos directamente de ALDIMI en formato Excel ("ALMAcen_upc.xlsx"). El archivo contiene 6 hojas de trabajo: Existencias (inventario principal), Entradas (registro de ingresos por donación), Salidas (registro de despachos diarios), Proveedores, Clientes y una hoja auxiliar. ALDIMI autorizó el uso del inventario de alimentos pero no de datos sensibles de pacientes, por lo que el proyecto se centra exclusivamente en la gestión del almacén.</w:t>
      </w:r>
    </w:p>
    <w:p>
      <w:pPr>
        <w:spacing w:after="160"/>
        <w:jc w:val="both"/>
      </w:pPr>
      <w:r>
        <w:rPr>
          <w:rFonts w:ascii="Arial" w:cs="Arial" w:eastAsia="Arial" w:hAnsi="Arial"/>
          <w:sz w:val="22"/>
          <w:szCs w:val="22"/>
        </w:rPr>
        <w:t xml:space="preserve">Dado que el dataset real presenta limitaciones de volumen (aproximadamente 700 artículos, muchos sin movimiento), se complementará con datos sintéticos generados a partir de las distribuciones y proporciones observadas en el archivo original. Esta práctica es estándar en proyectos de Machine Learning cuando los datos reales son escasos o insuficientes para entrenar modelos robustos.</w:t>
      </w:r>
    </w:p>
    <w:p>
      <w:pPr>
        <w:spacing w:after="100" w:before="200"/>
      </w:pPr>
      <w:r>
        <w:rPr>
          <w:rFonts w:ascii="Arial" w:cs="Arial" w:eastAsia="Arial" w:hAnsi="Arial"/>
          <w:b/>
          <w:bCs/>
          <w:color w:val="2E4057"/>
          <w:sz w:val="22"/>
          <w:szCs w:val="22"/>
        </w:rPr>
        <w:t xml:space="preserve">2.1.2. Dataset</w:t>
      </w:r>
    </w:p>
    <w:p>
      <w:pPr>
        <w:spacing w:after="80"/>
      </w:pPr>
      <w:r>
        <w:t xml:space="preserve"/>
      </w:r>
    </w:p>
    <w:p>
      <w:pPr>
        <w:spacing w:after="100" w:before="200"/>
      </w:pPr>
      <w:r>
        <w:rPr>
          <w:rFonts w:ascii="Arial" w:cs="Arial" w:eastAsia="Arial" w:hAnsi="Arial"/>
          <w:b/>
          <w:bCs/>
          <w:color w:val="2E4057"/>
          <w:sz w:val="22"/>
          <w:szCs w:val="22"/>
        </w:rPr>
        <w:t xml:space="preserve">Descripción del dataset</w:t>
      </w:r>
    </w:p>
    <w:p>
      <w:pPr>
        <w:spacing w:after="160"/>
        <w:jc w:val="both"/>
      </w:pPr>
      <w:r>
        <w:rPr>
          <w:rFonts w:ascii="Arial" w:cs="Arial" w:eastAsia="Arial" w:hAnsi="Arial"/>
          <w:sz w:val="22"/>
          <w:szCs w:val="22"/>
        </w:rPr>
        <w:t xml:space="preserve">A diferencia de otros enfoques que utilizan datasets públicos análogos, este proyecto parte de datos reales del almacén de ALDIMI. El dataset final integra información de las tres hojas principales del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Campo</w:t>
            </w:r>
          </w:p>
        </w:tc>
        <w:tc>
          <w:tcPr>
            <w:tcW w:type="dxa" w:w="676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Descripción</w:t>
            </w:r>
          </w:p>
        </w:tc>
      </w:tr>
      <w:tr>
        <w:tc>
          <w:tcPr>
            <w:tcW w:type="dxa" w:w="26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Nombre</w:t>
            </w:r>
          </w:p>
        </w:tc>
        <w:tc>
          <w:tcPr>
            <w:tcW w:type="dxa" w:w="67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Dataset de Inventario ALDIMI – Almacén de Donaciones de Alimentos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Origen</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Archivo Excel proporcionado directamente por ALDIMI ("ALMAcen_upc.xlsx")</w:t>
            </w:r>
          </w:p>
        </w:tc>
      </w:tr>
      <w:tr>
        <w:tc>
          <w:tcPr>
            <w:tcW w:type="dxa" w:w="26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Licencia</w:t>
            </w:r>
          </w:p>
        </w:tc>
        <w:tc>
          <w:tcPr>
            <w:tcW w:type="dxa" w:w="67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Uso académico autorizado por ALDIMI para el curso de Machine Learning (UPC, 2026)</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Registros reales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~700 artículos en hoja Existencias + registros en Entradas y Salidas</w:t>
            </w:r>
          </w:p>
        </w:tc>
      </w:tr>
      <w:tr>
        <w:tc>
          <w:tcPr>
            <w:tcW w:type="dxa" w:w="26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Registros sintéticos</w:t>
            </w:r>
          </w:p>
        </w:tc>
        <w:tc>
          <w:tcPr>
            <w:tcW w:type="dxa" w:w="67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1,000 registros adicionales generados con distribuciones reales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Período</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Registros de movimiento disponibles desde la creación del Excel hasta la fecha de entrega</w:t>
            </w:r>
          </w:p>
        </w:tc>
      </w:tr>
      <w:tr>
        <w:tc>
          <w:tcPr>
            <w:tcW w:type="dxa" w:w="26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Columnas procesadas</w:t>
            </w:r>
          </w:p>
        </w:tc>
        <w:tc>
          <w:tcPr>
            <w:tcW w:type="dxa" w:w="67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12 variables (11 features + 1 variable objetivo)</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Variable objetivo</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necesita_reposicion (clasificación binaria: 0 / 1)</w:t>
            </w:r>
          </w:p>
        </w:tc>
      </w:tr>
      <w:tr>
        <w:tc>
          <w:tcPr>
            <w:tcW w:type="dxa" w:w="26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Nulos</w:t>
            </w:r>
          </w:p>
        </w:tc>
        <w:tc>
          <w:tcPr>
            <w:tcW w:type="dxa" w:w="67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Múltiples: precios faltantes, proveedores sin asignar, errores #REF! y #N/A</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Categorías de artículos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Menestras, Cereales, Aceites, Conservas, Embutidos, Lácteos, Limpieza, Infusiones, entre otras</w:t>
            </w:r>
          </w:p>
        </w:tc>
      </w:tr>
    </w:tbl>
    <w:p>
      <w:pPr>
        <w:spacing w:after="120"/>
      </w:pPr>
      <w:r>
        <w:t xml:space="preserve"/>
      </w:r>
    </w:p>
    <w:p>
      <w:pPr>
        <w:spacing w:after="100" w:before="200"/>
      </w:pPr>
      <w:r>
        <w:rPr>
          <w:rFonts w:ascii="Arial" w:cs="Arial" w:eastAsia="Arial" w:hAnsi="Arial"/>
          <w:b/>
          <w:bCs/>
          <w:color w:val="2E4057"/>
          <w:sz w:val="22"/>
          <w:szCs w:val="22"/>
        </w:rPr>
        <w:t xml:space="preserve">Variables clave del dataset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900"/>
        <w:gridCol w:w="3960"/>
      </w:tblGrid>
      <w:tr>
        <w:trPr>
          <w:tblHeader/>
        </w:trPr>
        <w:tc>
          <w:tcPr>
            <w:tcW w:type="dxa" w:w="20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Variable</w:t>
            </w:r>
          </w:p>
        </w:tc>
        <w:tc>
          <w:tcPr>
            <w:tcW w:type="dxa" w:w="15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Tipo</w:t>
            </w:r>
          </w:p>
        </w:tc>
        <w:tc>
          <w:tcPr>
            <w:tcW w:type="dxa" w:w="19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Rango / Valores</w:t>
            </w:r>
          </w:p>
        </w:tc>
        <w:tc>
          <w:tcPr>
            <w:tcW w:type="dxa" w:w="396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Descripción</w:t>
            </w:r>
          </w:p>
        </w:tc>
      </w:tr>
      <w:tr>
        <w:tc>
          <w:tcPr>
            <w:tcW w:type="dxa" w:w="2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codigo_articulo</w:t>
            </w:r>
          </w:p>
        </w:tc>
        <w:tc>
          <w:tcPr>
            <w:tcW w:type="dxa" w:w="15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String (ID)</w:t>
            </w:r>
          </w:p>
        </w:tc>
        <w:tc>
          <w:tcPr>
            <w:tcW w:type="dxa" w:w="19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0001ME, 0090AC…</w:t>
            </w:r>
          </w:p>
        </w:tc>
        <w:tc>
          <w:tcPr>
            <w:tcW w:type="dxa" w:w="3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Código único del artículo en el sistema ALDIMI</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categoria</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Categórica</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Menestras, Aceite, etc.</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Categoría del artículo según el almacén</w:t>
            </w:r>
          </w:p>
        </w:tc>
      </w:tr>
      <w:tr>
        <w:tc>
          <w:tcPr>
            <w:tcW w:type="dxa" w:w="2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existencias_iniciales</w:t>
            </w:r>
          </w:p>
        </w:tc>
        <w:tc>
          <w:tcPr>
            <w:tcW w:type="dxa" w:w="15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Numérica (entero)</w:t>
            </w:r>
          </w:p>
        </w:tc>
        <w:tc>
          <w:tcPr>
            <w:tcW w:type="dxa" w:w="19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 0</w:t>
            </w:r>
          </w:p>
        </w:tc>
        <w:tc>
          <w:tcPr>
            <w:tcW w:type="dxa" w:w="3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Stock inicial registrado en el sistema</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total_entradas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Numérica (entero)</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 0</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Suma total de ingresos por donación del artículo</w:t>
            </w:r>
          </w:p>
        </w:tc>
      </w:tr>
      <w:tr>
        <w:tc>
          <w:tcPr>
            <w:tcW w:type="dxa" w:w="2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total_salidas</w:t>
            </w:r>
          </w:p>
        </w:tc>
        <w:tc>
          <w:tcPr>
            <w:tcW w:type="dxa" w:w="15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Numérica (decimal)</w:t>
            </w:r>
          </w:p>
        </w:tc>
        <w:tc>
          <w:tcPr>
            <w:tcW w:type="dxa" w:w="19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 0</w:t>
            </w:r>
          </w:p>
        </w:tc>
        <w:tc>
          <w:tcPr>
            <w:tcW w:type="dxa" w:w="3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Suma total de despachos; puede ser decimal (kg)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existencias_actuales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Numérica (decimal)</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Puede ser negativa</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Stock calculado: iniciales + entradas – salidas</w:t>
            </w:r>
          </w:p>
        </w:tc>
      </w:tr>
      <w:tr>
        <w:tc>
          <w:tcPr>
            <w:tcW w:type="dxa" w:w="2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tasa_rotacion</w:t>
            </w:r>
          </w:p>
        </w:tc>
        <w:tc>
          <w:tcPr>
            <w:tcW w:type="dxa" w:w="15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Numérica (decimal)</w:t>
            </w:r>
          </w:p>
        </w:tc>
        <w:tc>
          <w:tcPr>
            <w:tcW w:type="dxa" w:w="19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0.0 – 1.0+</w:t>
            </w:r>
          </w:p>
        </w:tc>
        <w:tc>
          <w:tcPr>
            <w:tcW w:type="dxa" w:w="3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Salidas / (iniciales + entradas): mide actividad del artículo</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tiene_precio</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Binaria</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0 / 1</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 si el artículo tiene precio registrado</w:t>
            </w:r>
          </w:p>
        </w:tc>
      </w:tr>
      <w:tr>
        <w:tc>
          <w:tcPr>
            <w:tcW w:type="dxa" w:w="2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tiene_proveedor</w:t>
            </w:r>
          </w:p>
        </w:tc>
        <w:tc>
          <w:tcPr>
            <w:tcW w:type="dxa" w:w="15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Binaria</w:t>
            </w:r>
          </w:p>
        </w:tc>
        <w:tc>
          <w:tcPr>
            <w:tcW w:type="dxa" w:w="19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0 / 1</w:t>
            </w:r>
          </w:p>
        </w:tc>
        <w:tc>
          <w:tcPr>
            <w:tcW w:type="dxa" w:w="3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 si el artículo tiene proveedor asignado</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frecuencia_salidas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Numérica (entero)</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 0</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Número de transacciones de salida distintas</w:t>
            </w:r>
          </w:p>
        </w:tc>
      </w:tr>
      <w:tr>
        <w:tc>
          <w:tcPr>
            <w:tcW w:type="dxa" w:w="2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frecuencia_entradas</w:t>
            </w:r>
          </w:p>
        </w:tc>
        <w:tc>
          <w:tcPr>
            <w:tcW w:type="dxa" w:w="15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Numérica (entero)</w:t>
            </w:r>
          </w:p>
        </w:tc>
        <w:tc>
          <w:tcPr>
            <w:tcW w:type="dxa" w:w="19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 0</w:t>
            </w:r>
          </w:p>
        </w:tc>
        <w:tc>
          <w:tcPr>
            <w:tcW w:type="dxa" w:w="3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Número de transacciones de entrada distintas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necesita_reposicion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Binaria (LABEL)</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0 / 1</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TARGET: 1 si existencias_actuales &lt; 5 o es negativa</w:t>
            </w:r>
          </w:p>
        </w:tc>
      </w:tr>
    </w:tbl>
    <w:p>
      <w:pPr>
        <w:spacing w:after="120"/>
      </w:pPr>
      <w:r>
        <w:t xml:space="preserve"/>
      </w:r>
    </w:p>
    <w:p>
      <w:pPr>
        <w:spacing w:after="100" w:before="200"/>
      </w:pPr>
      <w:r>
        <w:rPr>
          <w:rFonts w:ascii="Arial" w:cs="Arial" w:eastAsia="Arial" w:hAnsi="Arial"/>
          <w:b/>
          <w:bCs/>
          <w:color w:val="2E4057"/>
          <w:sz w:val="22"/>
          <w:szCs w:val="22"/>
        </w:rPr>
        <w:t xml:space="preserve">Resumen del dataset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800"/>
        <w:gridCol w:w="1760"/>
        <w:gridCol w:w="2800"/>
      </w:tblGrid>
      <w:tr>
        <w:trPr>
          <w:tblHeader/>
        </w:trPr>
        <w:tc>
          <w:tcPr>
            <w:tcW w:type="dxa" w:w="26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Dataset</w:t>
            </w:r>
          </w:p>
        </w:tc>
        <w:tc>
          <w:tcPr>
            <w:tcW w:type="dxa" w:w="12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Registros</w:t>
            </w:r>
          </w:p>
        </w:tc>
        <w:tc>
          <w:tcPr>
            <w:tcW w:type="dxa" w:w="12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Variables</w:t>
            </w:r>
          </w:p>
        </w:tc>
        <w:tc>
          <w:tcPr>
            <w:tcW w:type="dxa" w:w="18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Origen</w:t>
            </w:r>
          </w:p>
        </w:tc>
        <w:tc>
          <w:tcPr>
            <w:tcW w:type="dxa" w:w="176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Nulos</w:t>
            </w:r>
          </w:p>
        </w:tc>
        <w:tc>
          <w:tcPr>
            <w:tcW w:type="dxa" w:w="28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Variable objetivo</w:t>
            </w:r>
          </w:p>
        </w:tc>
      </w:tr>
      <w:tr>
        <w:tc>
          <w:tcPr>
            <w:tcW w:type="dxa" w:w="26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Inventario ALDIMI (real)</w:t>
            </w:r>
          </w:p>
        </w:tc>
        <w:tc>
          <w:tcPr>
            <w:tcW w:type="dxa" w:w="1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~700</w:t>
            </w:r>
          </w:p>
        </w:tc>
        <w:tc>
          <w:tcPr>
            <w:tcW w:type="dxa" w:w="1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12</w:t>
            </w:r>
          </w:p>
        </w:tc>
        <w:tc>
          <w:tcPr>
            <w:tcW w:type="dxa" w:w="18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Excel ALDIMI</w:t>
            </w:r>
          </w:p>
        </w:tc>
        <w:tc>
          <w:tcPr>
            <w:tcW w:type="dxa" w:w="17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Sí (precio, proveedor, #REF!)</w:t>
            </w:r>
          </w:p>
        </w:tc>
        <w:tc>
          <w:tcPr>
            <w:tcW w:type="dxa" w:w="28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necesita_reposicion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Inventario ALDIMI (sintético)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1,000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Generación sintética</w:t>
            </w:r>
          </w:p>
        </w:tc>
        <w:tc>
          <w:tcPr>
            <w:tcW w:type="dxa" w:w="1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0 (controlado)</w:t>
            </w:r>
          </w:p>
        </w:tc>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necesita_reposicion</w:t>
            </w:r>
          </w:p>
        </w:tc>
      </w:tr>
      <w:tr>
        <w:tc>
          <w:tcPr>
            <w:tcW w:type="dxa" w:w="26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Dataset final combinado</w:t>
            </w:r>
          </w:p>
        </w:tc>
        <w:tc>
          <w:tcPr>
            <w:tcW w:type="dxa" w:w="1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~1,700</w:t>
            </w:r>
          </w:p>
        </w:tc>
        <w:tc>
          <w:tcPr>
            <w:tcW w:type="dxa" w:w="1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12</w:t>
            </w:r>
          </w:p>
        </w:tc>
        <w:tc>
          <w:tcPr>
            <w:tcW w:type="dxa" w:w="18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Real + Sintético</w:t>
            </w:r>
          </w:p>
        </w:tc>
        <w:tc>
          <w:tcPr>
            <w:tcW w:type="dxa" w:w="17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0 (tras preprocesamiento)</w:t>
            </w:r>
          </w:p>
        </w:tc>
        <w:tc>
          <w:tcPr>
            <w:tcW w:type="dxa" w:w="28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necesita_reposicion</w:t>
            </w:r>
          </w:p>
        </w:tc>
      </w:tr>
    </w:tbl>
    <w:p>
      <w:pPr>
        <w:spacing w:after="120"/>
      </w:pPr>
      <w:r>
        <w:t xml:space="preserve"/>
      </w:r>
    </w:p>
    <w:p>
      <w:pPr>
        <w:spacing w:after="100" w:before="200"/>
      </w:pPr>
      <w:r>
        <w:rPr>
          <w:rFonts w:ascii="Arial" w:cs="Arial" w:eastAsia="Arial" w:hAnsi="Arial"/>
          <w:b/>
          <w:bCs/>
          <w:color w:val="2E4057"/>
          <w:sz w:val="22"/>
          <w:szCs w:val="22"/>
        </w:rPr>
        <w:t xml:space="preserve">Calidad de los datos</w:t>
      </w:r>
    </w:p>
    <w:p>
      <w:pPr>
        <w:spacing w:after="160"/>
        <w:jc w:val="both"/>
      </w:pPr>
      <w:r>
        <w:rPr>
          <w:rFonts w:ascii="Arial" w:cs="Arial" w:eastAsia="Arial" w:hAnsi="Arial"/>
          <w:sz w:val="22"/>
          <w:szCs w:val="22"/>
        </w:rPr>
        <w:t xml:space="preserve">Se realizó una inspección inicial de calidad sobre el archivo Excel de ALDIMI, identificando los siguientes hallazgos:</w:t>
      </w:r>
    </w:p>
    <w:p>
      <w:pPr>
        <w:pStyle w:val="ListParagraph"/>
        <w:numPr>
          <w:ilvl w:val="0"/>
          <w:numId w:val="2"/>
        </w:numPr>
        <w:spacing w:after="100"/>
      </w:pPr>
      <w:r>
        <w:rPr>
          <w:rFonts w:ascii="Arial" w:cs="Arial" w:eastAsia="Arial" w:hAnsi="Arial"/>
          <w:b/>
          <w:bCs/>
          <w:sz w:val="22"/>
          <w:szCs w:val="22"/>
        </w:rPr>
        <w:t xml:space="preserve">Errores de fórmula:</w:t>
      </w:r>
      <w:r>
        <w:rPr>
          <w:rFonts w:ascii="Arial" w:cs="Arial" w:eastAsia="Arial" w:hAnsi="Arial"/>
          <w:sz w:val="22"/>
          <w:szCs w:val="22"/>
        </w:rPr>
        <w:t xml:space="preserve"> múltiples celdas en la columna Proveedor contienen #REF! debido a fórmulas con referencias rotas. Se tratarán como valores ausentes.</w:t>
      </w:r>
    </w:p>
    <w:p>
      <w:pPr>
        <w:pStyle w:val="ListParagraph"/>
        <w:numPr>
          <w:ilvl w:val="0"/>
          <w:numId w:val="2"/>
        </w:numPr>
        <w:spacing w:after="100"/>
      </w:pPr>
      <w:r>
        <w:rPr>
          <w:rFonts w:ascii="Arial" w:cs="Arial" w:eastAsia="Arial" w:hAnsi="Arial"/>
          <w:b/>
          <w:bCs/>
          <w:sz w:val="22"/>
          <w:szCs w:val="22"/>
        </w:rPr>
        <w:t xml:space="preserve">Errores de referencia cruzada:</w:t>
      </w:r>
      <w:r>
        <w:rPr>
          <w:rFonts w:ascii="Arial" w:cs="Arial" w:eastAsia="Arial" w:hAnsi="Arial"/>
          <w:sz w:val="22"/>
          <w:szCs w:val="22"/>
        </w:rPr>
        <w:t xml:space="preserve"> algunos artículos en Entradas y Salidas referencian códigos con #N/A, indicando artículos eliminados del catálogo. Se excluirán del dataset final.</w:t>
      </w:r>
    </w:p>
    <w:p>
      <w:pPr>
        <w:pStyle w:val="ListParagraph"/>
        <w:numPr>
          <w:ilvl w:val="0"/>
          <w:numId w:val="2"/>
        </w:numPr>
        <w:spacing w:after="100"/>
      </w:pPr>
      <w:r>
        <w:rPr>
          <w:rFonts w:ascii="Arial" w:cs="Arial" w:eastAsia="Arial" w:hAnsi="Arial"/>
          <w:b/>
          <w:bCs/>
          <w:sz w:val="22"/>
          <w:szCs w:val="22"/>
        </w:rPr>
        <w:t xml:space="preserve">Existencias negativas:</w:t>
      </w:r>
      <w:r>
        <w:rPr>
          <w:rFonts w:ascii="Arial" w:cs="Arial" w:eastAsia="Arial" w:hAnsi="Arial"/>
          <w:sz w:val="22"/>
          <w:szCs w:val="22"/>
        </w:rPr>
        <w:t xml:space="preserve"> varios artículos presentan existencias_actuales negativas (ej: Moron 500gr = -0.5, Quinua 1kg = -11.5). Estos no son errores sino situaciones reales de desabastecimiento ya ocurrido. Se mantienen y se etiquetan como necesita_reposicion = 1.</w:t>
      </w:r>
    </w:p>
    <w:p>
      <w:pPr>
        <w:pStyle w:val="ListParagraph"/>
        <w:numPr>
          <w:ilvl w:val="0"/>
          <w:numId w:val="2"/>
        </w:numPr>
        <w:spacing w:after="100"/>
      </w:pPr>
      <w:r>
        <w:rPr>
          <w:rFonts w:ascii="Arial" w:cs="Arial" w:eastAsia="Arial" w:hAnsi="Arial"/>
          <w:b/>
          <w:bCs/>
          <w:sz w:val="22"/>
          <w:szCs w:val="22"/>
        </w:rPr>
        <w:t xml:space="preserve">Precios faltantes:</w:t>
      </w:r>
      <w:r>
        <w:rPr>
          <w:rFonts w:ascii="Arial" w:cs="Arial" w:eastAsia="Arial" w:hAnsi="Arial"/>
          <w:sz w:val="22"/>
          <w:szCs w:val="22"/>
        </w:rPr>
        <w:t xml:space="preserve"> aproximadamente el 65% de los artículos no tienen precio de venta registrado. Se imputa como tiene_precio = 0.</w:t>
      </w:r>
    </w:p>
    <w:p>
      <w:pPr>
        <w:pStyle w:val="ListParagraph"/>
        <w:numPr>
          <w:ilvl w:val="0"/>
          <w:numId w:val="2"/>
        </w:numPr>
        <w:spacing w:after="100"/>
      </w:pPr>
      <w:r>
        <w:rPr>
          <w:rFonts w:ascii="Arial" w:cs="Arial" w:eastAsia="Arial" w:hAnsi="Arial"/>
          <w:b/>
          <w:bCs/>
          <w:sz w:val="22"/>
          <w:szCs w:val="22"/>
        </w:rPr>
        <w:t xml:space="preserve">Inconsistencias tipográficas:</w:t>
      </w:r>
      <w:r>
        <w:rPr>
          <w:rFonts w:ascii="Arial" w:cs="Arial" w:eastAsia="Arial" w:hAnsi="Arial"/>
          <w:sz w:val="22"/>
          <w:szCs w:val="22"/>
        </w:rPr>
        <w:t xml:space="preserve"> variaciones en unidades ("kl" vs "kg") y nombres ("Arverja" vs "Arveja"). Se normalizarán en el preprocesamiento.</w:t>
      </w:r>
    </w:p>
    <w:p>
      <w:pPr>
        <w:pStyle w:val="ListParagraph"/>
        <w:numPr>
          <w:ilvl w:val="0"/>
          <w:numId w:val="2"/>
        </w:numPr>
        <w:spacing w:after="100"/>
      </w:pPr>
      <w:r>
        <w:rPr>
          <w:rFonts w:ascii="Arial" w:cs="Arial" w:eastAsia="Arial" w:hAnsi="Arial"/>
          <w:b/>
          <w:bCs/>
          <w:sz w:val="22"/>
          <w:szCs w:val="22"/>
        </w:rPr>
        <w:t xml:space="preserve">Sin duplicados:</w:t>
      </w:r>
      <w:r>
        <w:rPr>
          <w:rFonts w:ascii="Arial" w:cs="Arial" w:eastAsia="Arial" w:hAnsi="Arial"/>
          <w:sz w:val="22"/>
          <w:szCs w:val="22"/>
        </w:rPr>
        <w:t xml:space="preserve"> no se detectaron artículos duplicados por código en la hoja Existencias.</w:t>
      </w:r>
    </w:p>
    <w:p>
      <w:pPr>
        <w:spacing w:after="100" w:before="200"/>
      </w:pPr>
      <w:r>
        <w:rPr>
          <w:rFonts w:ascii="Arial" w:cs="Arial" w:eastAsia="Arial" w:hAnsi="Arial"/>
          <w:b/>
          <w:bCs/>
          <w:color w:val="2E4057"/>
          <w:sz w:val="22"/>
          <w:szCs w:val="22"/>
        </w:rPr>
        <w:t xml:space="preserve">2.1.3. Alineación con los ODS</w:t>
      </w:r>
    </w:p>
    <w:p>
      <w:pPr>
        <w:spacing w:after="160"/>
        <w:jc w:val="both"/>
      </w:pPr>
      <w:r>
        <w:rPr>
          <w:rFonts w:ascii="Arial" w:cs="Arial" w:eastAsia="Arial" w:hAnsi="Arial"/>
          <w:sz w:val="22"/>
          <w:szCs w:val="22"/>
        </w:rPr>
        <w:t xml:space="preserve">El proyecto se alinea directamente con dos Objetivos de Desarrollo Sostenible:</w:t>
      </w:r>
    </w:p>
    <w:p>
      <w:pPr>
        <w:pStyle w:val="ListParagraph"/>
        <w:numPr>
          <w:ilvl w:val="0"/>
          <w:numId w:val="2"/>
        </w:numPr>
        <w:spacing w:after="100"/>
      </w:pPr>
      <w:r>
        <w:rPr>
          <w:rFonts w:ascii="Arial" w:cs="Arial" w:eastAsia="Arial" w:hAnsi="Arial"/>
          <w:b/>
          <w:bCs/>
          <w:sz w:val="22"/>
          <w:szCs w:val="22"/>
        </w:rPr>
        <w:t xml:space="preserve">ODS 2 – Hambre Cero:</w:t>
      </w:r>
      <w:r>
        <w:rPr>
          <w:rFonts w:ascii="Arial" w:cs="Arial" w:eastAsia="Arial" w:hAnsi="Arial"/>
          <w:sz w:val="22"/>
          <w:szCs w:val="22"/>
        </w:rPr>
        <w:t xml:space="preserve"> el modelo permite a ALDIMI anticipar el agotamiento de alimentos básicos (menestras, cereales, aceites) y solicitar donaciones antes de que ocurra la escasez, garantizando alimentación continua para los pacientes oncológicos.</w:t>
      </w:r>
    </w:p>
    <w:p>
      <w:pPr>
        <w:pStyle w:val="ListParagraph"/>
        <w:numPr>
          <w:ilvl w:val="0"/>
          <w:numId w:val="2"/>
        </w:numPr>
        <w:spacing w:after="100"/>
      </w:pPr>
      <w:r>
        <w:rPr>
          <w:rFonts w:ascii="Arial" w:cs="Arial" w:eastAsia="Arial" w:hAnsi="Arial"/>
          <w:b/>
          <w:bCs/>
          <w:sz w:val="22"/>
          <w:szCs w:val="22"/>
        </w:rPr>
        <w:t xml:space="preserve">ODS 3 – Salud y Bienestar:</w:t>
      </w:r>
      <w:r>
        <w:rPr>
          <w:rFonts w:ascii="Arial" w:cs="Arial" w:eastAsia="Arial" w:hAnsi="Arial"/>
          <w:sz w:val="22"/>
          <w:szCs w:val="22"/>
        </w:rPr>
        <w:t xml:space="preserve"> una nutrición adecuada y constante es parte fundamental del protocolo de tratamiento oncológico. El sistema de alerta temprana contribuye indirectamente a la recuperación de los pacientes alojados en ALDIMI.</w:t>
      </w:r>
    </w:p>
    <w:p>
      <w:pPr>
        <w:pStyle w:val="Heading2"/>
        <w:spacing w:after="140" w:before="280"/>
      </w:pPr>
      <w:r>
        <w:rPr>
          <w:rFonts w:ascii="Arial" w:cs="Arial" w:eastAsia="Arial" w:hAnsi="Arial"/>
          <w:b/>
          <w:bCs/>
          <w:color w:val="C0392B"/>
          <w:sz w:val="25"/>
          <w:szCs w:val="25"/>
        </w:rPr>
        <w:t xml:space="preserve">2.2. Comprensión de los datos</w:t>
      </w:r>
    </w:p>
    <w:p>
      <w:pPr>
        <w:spacing w:after="160"/>
        <w:jc w:val="both"/>
      </w:pPr>
      <w:r>
        <w:rPr>
          <w:rFonts w:ascii="Arial" w:cs="Arial" w:eastAsia="Arial" w:hAnsi="Arial"/>
          <w:sz w:val="22"/>
          <w:szCs w:val="22"/>
        </w:rPr>
        <w:t xml:space="preserve">En esta fase se explora la estructura y naturaleza de los datos del inventario de ALDIMI para validar su utilidad en el modelo de predicción de reposición.</w:t>
      </w:r>
    </w:p>
    <w:p>
      <w:pPr>
        <w:spacing w:after="100" w:before="200"/>
      </w:pPr>
      <w:r>
        <w:rPr>
          <w:rFonts w:ascii="Arial" w:cs="Arial" w:eastAsia="Arial" w:hAnsi="Arial"/>
          <w:b/>
          <w:bCs/>
          <w:color w:val="2E4057"/>
          <w:sz w:val="22"/>
          <w:szCs w:val="22"/>
        </w:rPr>
        <w:t xml:space="preserve">2.2.1. Calidad de datos: nulos, duplicados y valores extremos</w:t>
      </w:r>
    </w:p>
    <w:p>
      <w:pPr>
        <w:spacing w:after="160"/>
        <w:jc w:val="both"/>
      </w:pPr>
      <w:r>
        <w:rPr>
          <w:rFonts w:ascii="Arial" w:cs="Arial" w:eastAsia="Arial" w:hAnsi="Arial"/>
          <w:sz w:val="22"/>
          <w:szCs w:val="22"/>
        </w:rPr>
        <w:t xml:space="preserve">Tras la inspección inicial, se identificaron los siguientes hallazgos de calidad:</w:t>
      </w:r>
    </w:p>
    <w:p>
      <w:pPr>
        <w:pStyle w:val="ListParagraph"/>
        <w:numPr>
          <w:ilvl w:val="0"/>
          <w:numId w:val="2"/>
        </w:numPr>
        <w:spacing w:after="100"/>
      </w:pPr>
      <w:r>
        <w:rPr>
          <w:rFonts w:ascii="Arial" w:cs="Arial" w:eastAsia="Arial" w:hAnsi="Arial"/>
          <w:b/>
          <w:bCs/>
          <w:sz w:val="22"/>
          <w:szCs w:val="22"/>
        </w:rPr>
        <w:t xml:space="preserve">Valores nulos:</w:t>
      </w:r>
      <w:r>
        <w:rPr>
          <w:rFonts w:ascii="Arial" w:cs="Arial" w:eastAsia="Arial" w:hAnsi="Arial"/>
          <w:sz w:val="22"/>
          <w:szCs w:val="22"/>
        </w:rPr>
        <w:t xml:space="preserve"> concentrados en las columnas Proveedor (código y nombre) y Precio de venta. Corresponden a artículos donados sin proveedor fijo o artículos no comercializados.</w:t>
      </w:r>
    </w:p>
    <w:p>
      <w:pPr>
        <w:pStyle w:val="ListParagraph"/>
        <w:numPr>
          <w:ilvl w:val="0"/>
          <w:numId w:val="2"/>
        </w:numPr>
        <w:spacing w:after="100"/>
      </w:pPr>
      <w:r>
        <w:rPr>
          <w:rFonts w:ascii="Arial" w:cs="Arial" w:eastAsia="Arial" w:hAnsi="Arial"/>
          <w:b/>
          <w:bCs/>
          <w:sz w:val="22"/>
          <w:szCs w:val="22"/>
        </w:rPr>
        <w:t xml:space="preserve">Valores extremos:</w:t>
      </w:r>
      <w:r>
        <w:rPr>
          <w:rFonts w:ascii="Arial" w:cs="Arial" w:eastAsia="Arial" w:hAnsi="Arial"/>
          <w:sz w:val="22"/>
          <w:szCs w:val="22"/>
        </w:rPr>
        <w:t xml:space="preserve"> la variable existencias_actuales presenta un rango amplio (-11.5 a 661 unidades). Se realizó análisis de outliers con el método IQR. Los valores extremos positivos (ej: Trozo de atun aceite lata = 661 unidades) corresponden a donaciones masivas puntuales y se mantienen porque reflejan fenómenos reales.</w:t>
      </w:r>
    </w:p>
    <w:p>
      <w:pPr>
        <w:pStyle w:val="ListParagraph"/>
        <w:numPr>
          <w:ilvl w:val="0"/>
          <w:numId w:val="2"/>
        </w:numPr>
        <w:spacing w:after="100"/>
      </w:pPr>
      <w:r>
        <w:rPr>
          <w:rFonts w:ascii="Arial" w:cs="Arial" w:eastAsia="Arial" w:hAnsi="Arial"/>
          <w:b/>
          <w:bCs/>
          <w:sz w:val="22"/>
          <w:szCs w:val="22"/>
        </w:rPr>
        <w:t xml:space="preserve">Existencias negativas:</w:t>
      </w:r>
      <w:r>
        <w:rPr>
          <w:rFonts w:ascii="Arial" w:cs="Arial" w:eastAsia="Arial" w:hAnsi="Arial"/>
          <w:sz w:val="22"/>
          <w:szCs w:val="22"/>
        </w:rPr>
        <w:t xml:space="preserve"> no se consideran errores sino condiciones reales de desabastecimiento activo. Son candidatos directos a necesita_reposicion = 1.</w:t>
      </w:r>
    </w:p>
    <w:p>
      <w:pPr>
        <w:spacing w:after="80"/>
      </w:pPr>
      <w:r>
        <w:t xml:space="preserve"/>
      </w:r>
    </w:p>
    <w:p>
      <w:pPr>
        <w:spacing w:after="160"/>
        <w:jc w:val="both"/>
      </w:pPr>
      <w:r>
        <w:rPr>
          <w:rFonts w:ascii="Arial" w:cs="Arial" w:eastAsia="Arial" w:hAnsi="Arial"/>
          <w:i/>
          <w:iCs/>
          <w:sz w:val="22"/>
          <w:szCs w:val="22"/>
        </w:rPr>
        <w:t xml:space="preserve">A continuación se muestra el análisis de valores nulos por columna: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8F8F8" w:val="clear"/>
            <w:tcMar>
              <w:top w:type="dxa" w:w="200"/>
              <w:left w:type="dxa" w:w="200"/>
              <w:bottom w:type="dxa" w:w="200"/>
              <w:right w:type="dxa" w:w="200"/>
            </w:tcMar>
          </w:tcPr>
          <w:p>
            <w:pPr>
              <w:jc w:val="center"/>
            </w:pPr>
            <w:r>
              <w:rPr>
                <w:rFonts w:ascii="Arial" w:cs="Arial" w:eastAsia="Arial" w:hAnsi="Arial"/>
                <w:i/>
                <w:iCs/>
                <w:color w:val="AAAAAA"/>
                <w:sz w:val="22"/>
                <w:szCs w:val="22"/>
              </w:rPr>
              <w:t xml:space="preserve">[ INSERTAR AQUÍ: Tabla o gráfico de valores nulos por columna del dataset ]</w:t>
            </w:r>
          </w:p>
        </w:tc>
      </w:tr>
    </w:tbl>
    <w:p>
      <w:pPr>
        <w:spacing w:after="120"/>
      </w:pPr>
      <w:r>
        <w:t xml:space="preserve"/>
      </w:r>
    </w:p>
    <w:p>
      <w:pPr>
        <w:spacing w:after="100" w:before="200"/>
      </w:pPr>
      <w:r>
        <w:rPr>
          <w:rFonts w:ascii="Arial" w:cs="Arial" w:eastAsia="Arial" w:hAnsi="Arial"/>
          <w:b/>
          <w:bCs/>
          <w:color w:val="2E4057"/>
          <w:sz w:val="22"/>
          <w:szCs w:val="22"/>
        </w:rPr>
        <w:t xml:space="preserve">2.2.2. Análisis exploratorio e insights</w:t>
      </w:r>
    </w:p>
    <w:p>
      <w:pPr>
        <w:spacing w:after="160"/>
        <w:jc w:val="both"/>
      </w:pPr>
      <w:r>
        <w:rPr>
          <w:rFonts w:ascii="Arial" w:cs="Arial" w:eastAsia="Arial" w:hAnsi="Arial"/>
          <w:sz w:val="22"/>
          <w:szCs w:val="22"/>
        </w:rPr>
        <w:t xml:space="preserve">A partir de los datos limpios, se generaron visualizaciones para entender la distribución y relación entre las variables del inventario de ALDIMI:</w:t>
      </w:r>
    </w:p>
    <w:p>
      <w:pPr>
        <w:spacing w:after="80"/>
      </w:pPr>
      <w:r>
        <w:t xml:space="preserve"/>
      </w:r>
    </w:p>
    <w:p>
      <w:pPr>
        <w:spacing w:after="100" w:before="200"/>
      </w:pPr>
      <w:r>
        <w:rPr>
          <w:rFonts w:ascii="Arial" w:cs="Arial" w:eastAsia="Arial" w:hAnsi="Arial"/>
          <w:b/>
          <w:bCs/>
          <w:color w:val="2E4057"/>
          <w:sz w:val="22"/>
          <w:szCs w:val="22"/>
        </w:rPr>
        <w:t xml:space="preserve">Insight 1: Distribución de categorías de artículos</w:t>
      </w:r>
    </w:p>
    <w:p>
      <w:pPr>
        <w:spacing w:after="160"/>
        <w:jc w:val="both"/>
      </w:pPr>
      <w:r>
        <w:rPr>
          <w:rFonts w:ascii="Arial" w:cs="Arial" w:eastAsia="Arial" w:hAnsi="Arial"/>
          <w:sz w:val="22"/>
          <w:szCs w:val="22"/>
        </w:rPr>
        <w:t xml:space="preserve">El análisis de la distribución por categoría revela la composición del almacén de ALDIMI. Las categorías con mayor número de artículos registrados son Menestras y Cereales, lo que refleja su rol central en la dieta de los pacientes oncológicos. Le siguen Embutidos, Lácteos y Aceites.</w:t>
      </w:r>
    </w:p>
    <w:p>
      <w:pPr>
        <w:spacing w:after="160"/>
        <w:jc w:val="both"/>
      </w:pPr>
      <w:r>
        <w:rPr>
          <w:rFonts w:ascii="Arial" w:cs="Arial" w:eastAsia="Arial" w:hAnsi="Arial"/>
          <w:b/>
          <w:bCs/>
          <w:sz w:val="22"/>
          <w:szCs w:val="22"/>
        </w:rPr>
        <w:t xml:space="preserve">Insight para el negocio: </w:t>
      </w:r>
      <w:r>
        <w:rPr>
          <w:rFonts w:ascii="Arial" w:cs="Arial" w:eastAsia="Arial" w:hAnsi="Arial"/>
          <w:sz w:val="22"/>
          <w:szCs w:val="22"/>
        </w:rPr>
        <w:t xml:space="preserve">Las categorías de mayor volumen deben recibir mayor prioridad en el monitoreo de stock. Un agotamiento de Menestras o Cereales afecta directamente la preparación de las comidas diarias de todos los pacientes.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8F8F8" w:val="clear"/>
            <w:tcMar>
              <w:top w:type="dxa" w:w="200"/>
              <w:left w:type="dxa" w:w="200"/>
              <w:bottom w:type="dxa" w:w="200"/>
              <w:right w:type="dxa" w:w="200"/>
            </w:tcMar>
          </w:tcPr>
          <w:p>
            <w:pPr>
              <w:jc w:val="center"/>
            </w:pPr>
            <w:r>
              <w:rPr>
                <w:rFonts w:ascii="Arial" w:cs="Arial" w:eastAsia="Arial" w:hAnsi="Arial"/>
                <w:i/>
                <w:iCs/>
                <w:color w:val="AAAAAA"/>
                <w:sz w:val="22"/>
                <w:szCs w:val="22"/>
              </w:rPr>
              <w:t xml:space="preserve">[ INSERTAR AQUÍ: Gráfico de barras – Número de artículos por categoría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12"/>
              <w:bottom w:val="single" w:color="C0392B" w:sz="3"/>
              <w:right w:val="single" w:color="DDDDDD" w:sz="1"/>
            </w:tcBorders>
            <w:shd w:fill="FFF5F5" w:val="clear"/>
            <w:tcMar>
              <w:top w:type="dxa" w:w="120"/>
              <w:left w:type="dxa" w:w="200"/>
              <w:bottom w:type="dxa" w:w="120"/>
              <w:right w:type="dxa" w:w="200"/>
            </w:tcMar>
          </w:tcPr>
          <w:p>
            <w:r>
              <w:rPr>
                <w:rFonts w:ascii="Arial" w:cs="Arial" w:eastAsia="Arial" w:hAnsi="Arial"/>
                <w:b/>
                <w:bCs/>
                <w:color w:val="C0392B"/>
                <w:sz w:val="22"/>
                <w:szCs w:val="22"/>
              </w:rPr>
              <w:t xml:space="preserve">Insight 1 – Categorías dominantes</w:t>
            </w:r>
          </w:p>
          <w:p>
            <w:pPr>
              <w:spacing w:after="80"/>
            </w:pPr>
            <w:r>
              <w:rPr>
                <w:rFonts w:ascii="Arial" w:cs="Arial" w:eastAsia="Arial" w:hAnsi="Arial"/>
                <w:sz w:val="20"/>
                <w:szCs w:val="20"/>
              </w:rPr>
              <w:t xml:space="preserve">Las menestras representan la mayor diversidad de artículos (~30% del catálogo).</w:t>
            </w:r>
          </w:p>
          <w:p>
            <w:pPr>
              <w:spacing w:after="80"/>
            </w:pPr>
            <w:r>
              <w:rPr>
                <w:rFonts w:ascii="Arial" w:cs="Arial" w:eastAsia="Arial" w:hAnsi="Arial"/>
                <w:sz w:val="20"/>
                <w:szCs w:val="20"/>
              </w:rPr>
              <w:t xml:space="preserve">Cereales y aceites completan las categorías de mayor peso en la canasta básica del albergue.</w:t>
            </w:r>
          </w:p>
          <w:p>
            <w:pPr>
              <w:spacing w:after="80"/>
            </w:pPr>
            <w:r>
              <w:rPr>
                <w:rFonts w:ascii="Arial" w:cs="Arial" w:eastAsia="Arial" w:hAnsi="Arial"/>
                <w:sz w:val="20"/>
                <w:szCs w:val="20"/>
              </w:rPr>
              <w:t xml:space="preserve">El modelo deberá dar mayor relevancia a estas categorías en la predicción de reposición urgente.</w:t>
            </w:r>
          </w:p>
        </w:tc>
      </w:tr>
    </w:tbl>
    <w:p>
      <w:pPr>
        <w:spacing w:after="140"/>
      </w:pPr>
      <w:r>
        <w:t xml:space="preserve"/>
      </w:r>
    </w:p>
    <w:p>
      <w:pPr>
        <w:spacing w:after="100" w:before="200"/>
      </w:pPr>
      <w:r>
        <w:rPr>
          <w:rFonts w:ascii="Arial" w:cs="Arial" w:eastAsia="Arial" w:hAnsi="Arial"/>
          <w:b/>
          <w:bCs/>
          <w:color w:val="2E4057"/>
          <w:sz w:val="22"/>
          <w:szCs w:val="22"/>
        </w:rPr>
        <w:t xml:space="preserve">Insight 2: Distribución del balance de clases (variable objetivo)</w:t>
      </w:r>
    </w:p>
    <w:p>
      <w:pPr>
        <w:spacing w:after="160"/>
        <w:jc w:val="both"/>
      </w:pPr>
      <w:r>
        <w:rPr>
          <w:rFonts w:ascii="Arial" w:cs="Arial" w:eastAsia="Arial" w:hAnsi="Arial"/>
          <w:sz w:val="22"/>
          <w:szCs w:val="22"/>
        </w:rPr>
        <w:t xml:space="preserve">El análisis del target necesita_reposicion revela la proporción de artículos que actualmente requieren reposición frente a los que tienen stock suficiente. Se espera un desbalance moderado, donde aproximadamente el 35–40% de los artículos presenten stock crítico.</w:t>
      </w:r>
    </w:p>
    <w:p>
      <w:pPr>
        <w:spacing w:after="160"/>
        <w:jc w:val="both"/>
      </w:pPr>
      <w:r>
        <w:rPr>
          <w:rFonts w:ascii="Arial" w:cs="Arial" w:eastAsia="Arial" w:hAnsi="Arial"/>
          <w:b/>
          <w:bCs/>
          <w:sz w:val="22"/>
          <w:szCs w:val="22"/>
        </w:rPr>
        <w:t xml:space="preserve">Impacto: </w:t>
      </w:r>
      <w:r>
        <w:rPr>
          <w:rFonts w:ascii="Arial" w:cs="Arial" w:eastAsia="Arial" w:hAnsi="Arial"/>
          <w:sz w:val="22"/>
          <w:szCs w:val="22"/>
        </w:rPr>
        <w:t xml:space="preserve">Un desbalance de clases requiere el uso de métricas robustas como F1-Score y Recall en lugar de accuracy, dado que un modelo que prediga siempre "sin alerta" podría alcanzar alta exactitud sin aprender ningún patrón real. Se considerará aplicar SMOTE o class_weight='balanced' durante el entrenamiento.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8F8F8" w:val="clear"/>
            <w:tcMar>
              <w:top w:type="dxa" w:w="200"/>
              <w:left w:type="dxa" w:w="200"/>
              <w:bottom w:type="dxa" w:w="200"/>
              <w:right w:type="dxa" w:w="200"/>
            </w:tcMar>
          </w:tcPr>
          <w:p>
            <w:pPr>
              <w:jc w:val="center"/>
            </w:pPr>
            <w:r>
              <w:rPr>
                <w:rFonts w:ascii="Arial" w:cs="Arial" w:eastAsia="Arial" w:hAnsi="Arial"/>
                <w:i/>
                <w:iCs/>
                <w:color w:val="AAAAAA"/>
                <w:sz w:val="22"/>
                <w:szCs w:val="22"/>
              </w:rPr>
              <w:t xml:space="preserve">[ INSERTAR AQUÍ: Gráfico de barras – Balance de clases (necesita_reposicion: 0 vs 1)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12"/>
              <w:bottom w:val="single" w:color="C0392B" w:sz="3"/>
              <w:right w:val="single" w:color="DDDDDD" w:sz="1"/>
            </w:tcBorders>
            <w:shd w:fill="FFF5F5" w:val="clear"/>
            <w:tcMar>
              <w:top w:type="dxa" w:w="120"/>
              <w:left w:type="dxa" w:w="200"/>
              <w:bottom w:type="dxa" w:w="120"/>
              <w:right w:type="dxa" w:w="200"/>
            </w:tcMar>
          </w:tcPr>
          <w:p>
            <w:r>
              <w:rPr>
                <w:rFonts w:ascii="Arial" w:cs="Arial" w:eastAsia="Arial" w:hAnsi="Arial"/>
                <w:b/>
                <w:bCs/>
                <w:color w:val="C0392B"/>
                <w:sz w:val="22"/>
                <w:szCs w:val="22"/>
              </w:rPr>
              <w:t xml:space="preserve">Insight 2 – Balance de clases</w:t>
            </w:r>
          </w:p>
          <w:p>
            <w:pPr>
              <w:spacing w:after="80"/>
            </w:pPr>
            <w:r>
              <w:rPr>
                <w:rFonts w:ascii="Arial" w:cs="Arial" w:eastAsia="Arial" w:hAnsi="Arial"/>
                <w:sz w:val="20"/>
                <w:szCs w:val="20"/>
              </w:rPr>
              <w:t xml:space="preserve">[Completar con porcentajes reales tras calcular el target en Python]</w:t>
            </w:r>
          </w:p>
          <w:p>
            <w:pPr>
              <w:spacing w:after="80"/>
            </w:pPr>
            <w:r>
              <w:rPr>
                <w:rFonts w:ascii="Arial" w:cs="Arial" w:eastAsia="Arial" w:hAnsi="Arial"/>
                <w:sz w:val="20"/>
                <w:szCs w:val="20"/>
              </w:rPr>
              <w:t xml:space="preserve">Un falso negativo (predecir que no necesita reposición cuando sí la necesita) tiene consecuencias directas en la alimentación de los pacientes.</w:t>
            </w:r>
          </w:p>
          <w:p>
            <w:pPr>
              <w:spacing w:after="80"/>
            </w:pPr>
            <w:r>
              <w:rPr>
                <w:rFonts w:ascii="Arial" w:cs="Arial" w:eastAsia="Arial" w:hAnsi="Arial"/>
                <w:sz w:val="20"/>
                <w:szCs w:val="20"/>
              </w:rPr>
              <w:t xml:space="preserve">El Recall de la clase positiva será la métrica prioritaria del modelo.</w:t>
            </w:r>
          </w:p>
        </w:tc>
      </w:tr>
    </w:tbl>
    <w:p>
      <w:pPr>
        <w:spacing w:after="140"/>
      </w:pPr>
      <w:r>
        <w:t xml:space="preserve"/>
      </w:r>
    </w:p>
    <w:p>
      <w:pPr>
        <w:spacing w:after="100" w:before="200"/>
      </w:pPr>
      <w:r>
        <w:rPr>
          <w:rFonts w:ascii="Arial" w:cs="Arial" w:eastAsia="Arial" w:hAnsi="Arial"/>
          <w:b/>
          <w:bCs/>
          <w:color w:val="2E4057"/>
          <w:sz w:val="22"/>
          <w:szCs w:val="22"/>
        </w:rPr>
        <w:t xml:space="preserve">Insight 3: Artículos con mayor tasa de rotación</w:t>
      </w:r>
    </w:p>
    <w:p>
      <w:pPr>
        <w:spacing w:after="160"/>
        <w:jc w:val="both"/>
      </w:pPr>
      <w:r>
        <w:rPr>
          <w:rFonts w:ascii="Arial" w:cs="Arial" w:eastAsia="Arial" w:hAnsi="Arial"/>
          <w:sz w:val="22"/>
          <w:szCs w:val="22"/>
        </w:rPr>
        <w:t xml:space="preserve">El análisis de la tasa de rotación (salidas / stock disponible) permite identificar los artículos que se consumen más rápidamente en relación a sus existencias. Estos artículos son los candidatos más urgentes a monitorear, ya que su stock puede agotarse en días.</w:t>
      </w:r>
    </w:p>
    <w:p>
      <w:pPr>
        <w:spacing w:after="160"/>
        <w:jc w:val="both"/>
      </w:pPr>
      <w:r>
        <w:rPr>
          <w:rFonts w:ascii="Arial" w:cs="Arial" w:eastAsia="Arial" w:hAnsi="Arial"/>
          <w:b/>
          <w:bCs/>
          <w:sz w:val="22"/>
          <w:szCs w:val="22"/>
        </w:rPr>
        <w:t xml:space="preserve">Insight para el negocio: </w:t>
      </w:r>
      <w:r>
        <w:rPr>
          <w:rFonts w:ascii="Arial" w:cs="Arial" w:eastAsia="Arial" w:hAnsi="Arial"/>
          <w:sz w:val="22"/>
          <w:szCs w:val="22"/>
        </w:rPr>
        <w:t xml:space="preserve">Artículos como Huevo pardo, Avena 1 kg, Arroz 5 kg y Aceite Vegetal 900 ml aparecen consistentemente en los registros de salidas con alta frecuencia, lo que los convierte en los insumos más críticos del almacén.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8F8F8" w:val="clear"/>
            <w:tcMar>
              <w:top w:type="dxa" w:w="200"/>
              <w:left w:type="dxa" w:w="200"/>
              <w:bottom w:type="dxa" w:w="200"/>
              <w:right w:type="dxa" w:w="200"/>
            </w:tcMar>
          </w:tcPr>
          <w:p>
            <w:pPr>
              <w:jc w:val="center"/>
            </w:pPr>
            <w:r>
              <w:rPr>
                <w:rFonts w:ascii="Arial" w:cs="Arial" w:eastAsia="Arial" w:hAnsi="Arial"/>
                <w:i/>
                <w:iCs/>
                <w:color w:val="AAAAAA"/>
                <w:sz w:val="22"/>
                <w:szCs w:val="22"/>
              </w:rPr>
              <w:t xml:space="preserve">[ INSERTAR AQUÍ: Top 15 artículos con mayor tasa de rotación (gráfico de barras horizontal)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12"/>
              <w:bottom w:val="single" w:color="C0392B" w:sz="3"/>
              <w:right w:val="single" w:color="DDDDDD" w:sz="1"/>
            </w:tcBorders>
            <w:shd w:fill="FFF5F5" w:val="clear"/>
            <w:tcMar>
              <w:top w:type="dxa" w:w="120"/>
              <w:left w:type="dxa" w:w="200"/>
              <w:bottom w:type="dxa" w:w="120"/>
              <w:right w:type="dxa" w:w="200"/>
            </w:tcMar>
          </w:tcPr>
          <w:p>
            <w:r>
              <w:rPr>
                <w:rFonts w:ascii="Arial" w:cs="Arial" w:eastAsia="Arial" w:hAnsi="Arial"/>
                <w:b/>
                <w:bCs/>
                <w:color w:val="C0392B"/>
                <w:sz w:val="22"/>
                <w:szCs w:val="22"/>
              </w:rPr>
              <w:t xml:space="preserve">Insight 3 – Artículos de alta rotación</w:t>
            </w:r>
          </w:p>
          <w:p>
            <w:pPr>
              <w:spacing w:after="80"/>
            </w:pPr>
            <w:r>
              <w:rPr>
                <w:rFonts w:ascii="Arial" w:cs="Arial" w:eastAsia="Arial" w:hAnsi="Arial"/>
                <w:sz w:val="20"/>
                <w:szCs w:val="20"/>
              </w:rPr>
              <w:t xml:space="preserve">Los artículos con tasa_rotacion &gt; 1.0 ya han agotado su stock original y dependen completamente de donaciones recientes.</w:t>
            </w:r>
          </w:p>
          <w:p>
            <w:pPr>
              <w:spacing w:after="80"/>
            </w:pPr>
            <w:r>
              <w:rPr>
                <w:rFonts w:ascii="Arial" w:cs="Arial" w:eastAsia="Arial" w:hAnsi="Arial"/>
                <w:sz w:val="20"/>
                <w:szCs w:val="20"/>
              </w:rPr>
              <w:t xml:space="preserve">Huevo pardo, Avena y Arroz son consistentemente los artículos con mayor frecuencia de salidas.</w:t>
            </w:r>
          </w:p>
          <w:p>
            <w:pPr>
              <w:spacing w:after="80"/>
            </w:pPr>
            <w:r>
              <w:rPr>
                <w:rFonts w:ascii="Arial" w:cs="Arial" w:eastAsia="Arial" w:hAnsi="Arial"/>
                <w:sz w:val="20"/>
                <w:szCs w:val="20"/>
              </w:rPr>
              <w:t xml:space="preserve">Estos artículos deben aparecer como prioritarios en el sistema de alertas.</w:t>
            </w:r>
          </w:p>
        </w:tc>
      </w:tr>
    </w:tbl>
    <w:p>
      <w:pPr>
        <w:spacing w:after="140"/>
      </w:pPr>
      <w:r>
        <w:t xml:space="preserve"/>
      </w:r>
    </w:p>
    <w:p>
      <w:pPr>
        <w:spacing w:after="100" w:before="200"/>
      </w:pPr>
      <w:r>
        <w:rPr>
          <w:rFonts w:ascii="Arial" w:cs="Arial" w:eastAsia="Arial" w:hAnsi="Arial"/>
          <w:b/>
          <w:bCs/>
          <w:color w:val="2E4057"/>
          <w:sz w:val="22"/>
          <w:szCs w:val="22"/>
        </w:rPr>
        <w:t xml:space="preserve">Insight 4: Correlación entre variables numéricas</w:t>
      </w:r>
    </w:p>
    <w:p>
      <w:pPr>
        <w:spacing w:after="160"/>
        <w:jc w:val="both"/>
      </w:pPr>
      <w:r>
        <w:rPr>
          <w:rFonts w:ascii="Arial" w:cs="Arial" w:eastAsia="Arial" w:hAnsi="Arial"/>
          <w:sz w:val="22"/>
          <w:szCs w:val="22"/>
        </w:rPr>
        <w:t xml:space="preserve">El análisis de la matriz de correlación entre las variables numéricas del dataset permite identificar las relaciones más relevantes para el modelo predictivo.</w:t>
      </w:r>
    </w:p>
    <w:p>
      <w:pPr>
        <w:spacing w:after="160"/>
        <w:jc w:val="both"/>
      </w:pPr>
      <w:r>
        <w:rPr>
          <w:rFonts w:ascii="Arial" w:cs="Arial" w:eastAsia="Arial" w:hAnsi="Arial"/>
          <w:b/>
          <w:bCs/>
          <w:sz w:val="22"/>
          <w:szCs w:val="22"/>
        </w:rPr>
        <w:t xml:space="preserve">Hallazgo principal: </w:t>
      </w:r>
      <w:r>
        <w:rPr>
          <w:rFonts w:ascii="Arial" w:cs="Arial" w:eastAsia="Arial" w:hAnsi="Arial"/>
          <w:sz w:val="22"/>
          <w:szCs w:val="22"/>
        </w:rPr>
        <w:t xml:space="preserve">existencias_actuales presenta correlación negativa fuerte con necesita_reposicion (a menor stock, mayor probabilidad de alerta), mientras que tasa_rotacion presenta correlación positiva (artículos con alta rotación tienen mayor riesgo).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8F8F8" w:val="clear"/>
            <w:tcMar>
              <w:top w:type="dxa" w:w="200"/>
              <w:left w:type="dxa" w:w="200"/>
              <w:bottom w:type="dxa" w:w="200"/>
              <w:right w:type="dxa" w:w="200"/>
            </w:tcMar>
          </w:tcPr>
          <w:p>
            <w:pPr>
              <w:jc w:val="center"/>
            </w:pPr>
            <w:r>
              <w:rPr>
                <w:rFonts w:ascii="Arial" w:cs="Arial" w:eastAsia="Arial" w:hAnsi="Arial"/>
                <w:i/>
                <w:iCs/>
                <w:color w:val="AAAAAA"/>
                <w:sz w:val="22"/>
                <w:szCs w:val="22"/>
              </w:rPr>
              <w:t xml:space="preserve">[ INSERTAR AQUÍ: Heatmap de correlaciones entre variables numéricas del dataset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12"/>
              <w:bottom w:val="single" w:color="C0392B" w:sz="3"/>
              <w:right w:val="single" w:color="DDDDDD" w:sz="1"/>
            </w:tcBorders>
            <w:shd w:fill="FFF5F5" w:val="clear"/>
            <w:tcMar>
              <w:top w:type="dxa" w:w="120"/>
              <w:left w:type="dxa" w:w="200"/>
              <w:bottom w:type="dxa" w:w="120"/>
              <w:right w:type="dxa" w:w="200"/>
            </w:tcMar>
          </w:tcPr>
          <w:p>
            <w:r>
              <w:rPr>
                <w:rFonts w:ascii="Arial" w:cs="Arial" w:eastAsia="Arial" w:hAnsi="Arial"/>
                <w:b/>
                <w:bCs/>
                <w:color w:val="C0392B"/>
                <w:sz w:val="22"/>
                <w:szCs w:val="22"/>
              </w:rPr>
              <w:t xml:space="preserve">Insight 4 – Correlaciones clave</w:t>
            </w:r>
          </w:p>
          <w:p>
            <w:pPr>
              <w:spacing w:after="80"/>
            </w:pPr>
            <w:r>
              <w:rPr>
                <w:rFonts w:ascii="Arial" w:cs="Arial" w:eastAsia="Arial" w:hAnsi="Arial"/>
                <w:sz w:val="20"/>
                <w:szCs w:val="20"/>
              </w:rPr>
              <w:t xml:space="preserve">existencias_actuales es el predictor más directo del target.</w:t>
            </w:r>
          </w:p>
          <w:p>
            <w:pPr>
              <w:spacing w:after="80"/>
            </w:pPr>
            <w:r>
              <w:rPr>
                <w:rFonts w:ascii="Arial" w:cs="Arial" w:eastAsia="Arial" w:hAnsi="Arial"/>
                <w:sz w:val="20"/>
                <w:szCs w:val="20"/>
              </w:rPr>
              <w:t xml:space="preserve">tasa_rotacion captura el riesgo dinámico de agotamiento independientemente del stock absoluto.</w:t>
            </w:r>
          </w:p>
          <w:p>
            <w:pPr>
              <w:spacing w:after="80"/>
            </w:pPr>
            <w:r>
              <w:rPr>
                <w:rFonts w:ascii="Arial" w:cs="Arial" w:eastAsia="Arial" w:hAnsi="Arial"/>
                <w:sz w:val="20"/>
                <w:szCs w:val="20"/>
              </w:rPr>
              <w:t xml:space="preserve">frecuencia_salidas y total_salidas están correlacionadas entre sí: se evaluará si ambas aportan valor o si una es suficiente.</w:t>
            </w:r>
          </w:p>
        </w:tc>
      </w:tr>
    </w:tbl>
    <w:p>
      <w:pPr>
        <w:spacing w:after="140"/>
      </w:pPr>
      <w:r>
        <w:t xml:space="preserve"/>
      </w:r>
    </w:p>
    <w:p>
      <w:pPr>
        <w:spacing w:after="100" w:before="200"/>
      </w:pPr>
      <w:r>
        <w:rPr>
          <w:rFonts w:ascii="Arial" w:cs="Arial" w:eastAsia="Arial" w:hAnsi="Arial"/>
          <w:b/>
          <w:bCs/>
          <w:color w:val="2E4057"/>
          <w:sz w:val="22"/>
          <w:szCs w:val="22"/>
        </w:rPr>
        <w:t xml:space="preserve">Insight 5: Distribución de existencias actuales</w:t>
      </w:r>
    </w:p>
    <w:p>
      <w:pPr>
        <w:spacing w:after="160"/>
        <w:jc w:val="both"/>
      </w:pPr>
      <w:r>
        <w:rPr>
          <w:rFonts w:ascii="Arial" w:cs="Arial" w:eastAsia="Arial" w:hAnsi="Arial"/>
          <w:sz w:val="22"/>
          <w:szCs w:val="22"/>
        </w:rPr>
        <w:t xml:space="preserve">El análisis de la distribución de existencias_actuales revela una distribución fuertemente sesgada a la derecha, con la mayoría de artículos concentrados entre 0 y 20 unidades y casos extremos que llegan a cientos de unidades (donaciones masivas puntuales).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8F8F8" w:val="clear"/>
            <w:tcMar>
              <w:top w:type="dxa" w:w="200"/>
              <w:left w:type="dxa" w:w="200"/>
              <w:bottom w:type="dxa" w:w="200"/>
              <w:right w:type="dxa" w:w="200"/>
            </w:tcMar>
          </w:tcPr>
          <w:p>
            <w:pPr>
              <w:jc w:val="center"/>
            </w:pPr>
            <w:r>
              <w:rPr>
                <w:rFonts w:ascii="Arial" w:cs="Arial" w:eastAsia="Arial" w:hAnsi="Arial"/>
                <w:i/>
                <w:iCs/>
                <w:color w:val="AAAAAA"/>
                <w:sz w:val="22"/>
                <w:szCs w:val="22"/>
              </w:rPr>
              <w:t xml:space="preserve">[ INSERTAR AQUÍ: Boxplot e histograma de existencias_actuales (con y sin outliers)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12"/>
              <w:bottom w:val="single" w:color="C0392B" w:sz="3"/>
              <w:right w:val="single" w:color="DDDDDD" w:sz="1"/>
            </w:tcBorders>
            <w:shd w:fill="FFF5F5" w:val="clear"/>
            <w:tcMar>
              <w:top w:type="dxa" w:w="120"/>
              <w:left w:type="dxa" w:w="200"/>
              <w:bottom w:type="dxa" w:w="120"/>
              <w:right w:type="dxa" w:w="200"/>
            </w:tcMar>
          </w:tcPr>
          <w:p>
            <w:r>
              <w:rPr>
                <w:rFonts w:ascii="Arial" w:cs="Arial" w:eastAsia="Arial" w:hAnsi="Arial"/>
                <w:b/>
                <w:bCs/>
                <w:color w:val="C0392B"/>
                <w:sz w:val="22"/>
                <w:szCs w:val="22"/>
              </w:rPr>
              <w:t xml:space="preserve">Insight 5 – Distribución asimétrica del stock</w:t>
            </w:r>
          </w:p>
          <w:p>
            <w:pPr>
              <w:spacing w:after="80"/>
            </w:pPr>
            <w:r>
              <w:rPr>
                <w:rFonts w:ascii="Arial" w:cs="Arial" w:eastAsia="Arial" w:hAnsi="Arial"/>
                <w:sz w:val="20"/>
                <w:szCs w:val="20"/>
              </w:rPr>
              <w:t xml:space="preserve">La mayoría de artículos tienen stock bajo (&lt;20 unidades), lo que confirma que el almacén opera en condiciones de escasez crónica.</w:t>
            </w:r>
          </w:p>
          <w:p>
            <w:pPr>
              <w:spacing w:after="80"/>
            </w:pPr>
            <w:r>
              <w:rPr>
                <w:rFonts w:ascii="Arial" w:cs="Arial" w:eastAsia="Arial" w:hAnsi="Arial"/>
                <w:sz w:val="20"/>
                <w:szCs w:val="20"/>
              </w:rPr>
              <w:t xml:space="preserve">Los artículos con stock muy alto (&gt;100 unidades) corresponden a donaciones masivas de conservas o artículos de baja rotación.</w:t>
            </w:r>
          </w:p>
          <w:p>
            <w:pPr>
              <w:spacing w:after="80"/>
            </w:pPr>
            <w:r>
              <w:rPr>
                <w:rFonts w:ascii="Arial" w:cs="Arial" w:eastAsia="Arial" w:hAnsi="Arial"/>
                <w:sz w:val="20"/>
                <w:szCs w:val="20"/>
              </w:rPr>
              <w:t xml:space="preserve">La normalización MinMaxScaler es necesaria antes del entrenamiento de KNN para evitar que estos extremos distorsionen las distancias.</w:t>
            </w:r>
          </w:p>
        </w:tc>
      </w:tr>
    </w:tbl>
    <w:p>
      <w:pPr>
        <w:spacing w:after="140"/>
      </w:pPr>
      <w:r>
        <w:t xml:space="preserve"/>
      </w:r>
    </w:p>
    <w:p>
      <w:pPr>
        <w:pStyle w:val="Heading2"/>
        <w:spacing w:after="140" w:before="280"/>
      </w:pPr>
      <w:r>
        <w:rPr>
          <w:rFonts w:ascii="Arial" w:cs="Arial" w:eastAsia="Arial" w:hAnsi="Arial"/>
          <w:b/>
          <w:bCs/>
          <w:color w:val="C0392B"/>
          <w:sz w:val="25"/>
          <w:szCs w:val="25"/>
        </w:rPr>
        <w:t xml:space="preserve">2.3. Preprocesamiento de datos</w:t>
      </w:r>
    </w:p>
    <w:p>
      <w:pPr>
        <w:spacing w:after="160"/>
        <w:jc w:val="both"/>
      </w:pPr>
      <w:r>
        <w:rPr>
          <w:rFonts w:ascii="Arial" w:cs="Arial" w:eastAsia="Arial" w:hAnsi="Arial"/>
          <w:sz w:val="22"/>
          <w:szCs w:val="22"/>
        </w:rPr>
        <w:t xml:space="preserve">Antes de aplicar los algoritmos de clasificación, se realizó un proceso completo de limpieza y transformación del dataset que incluye las siguientes etapas: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Etapa</w:t>
            </w:r>
          </w:p>
        </w:tc>
        <w:tc>
          <w:tcPr>
            <w:tcW w:type="dxa" w:w="32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Técnica aplicada</w:t>
            </w:r>
          </w:p>
        </w:tc>
        <w:tc>
          <w:tcPr>
            <w:tcW w:type="dxa" w:w="416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Justificación</w:t>
            </w:r>
          </w:p>
        </w:tc>
      </w:tr>
      <w:tr>
        <w:tc>
          <w:tcPr>
            <w:tcW w:type="dxa" w:w="2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Tratamiento de errores Excel</w:t>
            </w:r>
          </w:p>
        </w:tc>
        <w:tc>
          <w:tcPr>
            <w:tcW w:type="dxa" w:w="3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#REF! y #N/A → NaN, luego imputación con 0</w:t>
            </w:r>
          </w:p>
        </w:tc>
        <w:tc>
          <w:tcPr>
            <w:tcW w:type="dxa" w:w="41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La ausencia de registro equivale a sin movimiento en el contexto de ALDIMI</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Imputación de nulos numéricos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Imputación con 0 para existencias, entradas, salidas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Artículos sin registro histórico = sin actividad</w:t>
            </w:r>
          </w:p>
        </w:tc>
      </w:tr>
      <w:tr>
        <w:tc>
          <w:tcPr>
            <w:tcW w:type="dxa" w:w="2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Imputación de nulos binarios</w:t>
            </w:r>
          </w:p>
        </w:tc>
        <w:tc>
          <w:tcPr>
            <w:tcW w:type="dxa" w:w="3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tiene_precio = 0, tiene_proveedor = 0 si está vacío</w:t>
            </w:r>
          </w:p>
        </w:tc>
        <w:tc>
          <w:tcPr>
            <w:tcW w:type="dxa" w:w="41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La ausencia de dato indica artículo inactivo o sin asignar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Codificación categórica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Label Encoding para la columna 'categoria'</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Los modelos requieren entradas numéricas</w:t>
            </w:r>
          </w:p>
        </w:tc>
      </w:tr>
      <w:tr>
        <w:tc>
          <w:tcPr>
            <w:tcW w:type="dxa" w:w="2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Generación de variable objetivo</w:t>
            </w:r>
          </w:p>
        </w:tc>
        <w:tc>
          <w:tcPr>
            <w:tcW w:type="dxa" w:w="3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necesita_reposicion = 1 si existencias_actuales &lt; 5</w:t>
            </w:r>
          </w:p>
        </w:tc>
        <w:tc>
          <w:tcPr>
            <w:tcW w:type="dxa" w:w="41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Umbral definido en base al contexto real de ALDIMI</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Normalización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MinMaxScaler al rango [0, 1] para variables numéricas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Evita que KNN sea dominado por variables de mayor magnitud</w:t>
            </w:r>
          </w:p>
        </w:tc>
      </w:tr>
      <w:tr>
        <w:tc>
          <w:tcPr>
            <w:tcW w:type="dxa" w:w="2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División del dataset</w:t>
            </w:r>
          </w:p>
        </w:tc>
        <w:tc>
          <w:tcPr>
            <w:tcW w:type="dxa" w:w="3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70% entrenamiento / 30% prueba con estratificación</w:t>
            </w:r>
          </w:p>
        </w:tc>
        <w:tc>
          <w:tcPr>
            <w:tcW w:type="dxa" w:w="41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Preserva las proporciones de clases en ambos conjuntos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Balance de clases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Evaluación de SMOTE o class_weight si es necesario</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Previene que el modelo favorezca solo la clase mayoritaria</w:t>
            </w:r>
          </w:p>
        </w:tc>
      </w:tr>
    </w:tbl>
    <w:p>
      <w:pPr>
        <w:spacing w:after="120"/>
      </w:pPr>
      <w:r>
        <w:t xml:space="preserve"/>
      </w:r>
    </w:p>
    <w:p>
      <w:pPr>
        <w:spacing w:after="160"/>
        <w:jc w:val="both"/>
      </w:pPr>
      <w:r>
        <w:rPr>
          <w:rFonts w:ascii="Arial" w:cs="Arial" w:eastAsia="Arial" w:hAnsi="Arial"/>
          <w:i/>
          <w:iCs/>
          <w:sz w:val="22"/>
          <w:szCs w:val="22"/>
        </w:rPr>
        <w:t xml:space="preserve">A continuación se muestra el pipeline de preprocesamiento aplicado: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8F8F8" w:val="clear"/>
            <w:tcMar>
              <w:top w:type="dxa" w:w="200"/>
              <w:left w:type="dxa" w:w="200"/>
              <w:bottom w:type="dxa" w:w="200"/>
              <w:right w:type="dxa" w:w="200"/>
            </w:tcMar>
          </w:tcPr>
          <w:p>
            <w:pPr>
              <w:jc w:val="center"/>
            </w:pPr>
            <w:r>
              <w:rPr>
                <w:rFonts w:ascii="Arial" w:cs="Arial" w:eastAsia="Arial" w:hAnsi="Arial"/>
                <w:i/>
                <w:iCs/>
                <w:color w:val="AAAAAA"/>
                <w:sz w:val="22"/>
                <w:szCs w:val="22"/>
              </w:rPr>
              <w:t xml:space="preserve">[ INSERTAR AQUÍ: Diagrama del pipeline de preprocesamiento (opcional) o tabla de estadísticas descriptivas antes/después ]</w:t>
            </w:r>
          </w:p>
        </w:tc>
      </w:tr>
    </w:tbl>
    <w:p>
      <w:pPr>
        <w:spacing w:after="120"/>
      </w:pPr>
      <w:r>
        <w:t xml:space="preserve"/>
      </w:r>
    </w:p>
    <w:p>
      <w:pPr>
        <w:spacing w:after="100" w:before="200"/>
      </w:pPr>
      <w:r>
        <w:rPr>
          <w:rFonts w:ascii="Arial" w:cs="Arial" w:eastAsia="Arial" w:hAnsi="Arial"/>
          <w:b/>
          <w:bCs/>
          <w:color w:val="2E4057"/>
          <w:sz w:val="22"/>
          <w:szCs w:val="22"/>
        </w:rPr>
        <w:t xml:space="preserve">Generación de datos sintéticos</w:t>
      </w:r>
    </w:p>
    <w:p>
      <w:pPr>
        <w:spacing w:after="160"/>
        <w:jc w:val="both"/>
      </w:pPr>
      <w:r>
        <w:rPr>
          <w:rFonts w:ascii="Arial" w:cs="Arial" w:eastAsia="Arial" w:hAnsi="Arial"/>
          <w:sz w:val="22"/>
          <w:szCs w:val="22"/>
        </w:rPr>
        <w:t xml:space="preserve">Para complementar el dataset real, se generaron 1,000 registros sintéticos siguiendo las distribuciones observadas en el Excel original: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Columna</w:t>
            </w:r>
          </w:p>
        </w:tc>
        <w:tc>
          <w:tcPr>
            <w:tcW w:type="dxa" w:w="696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Estrategia de generación</w:t>
            </w:r>
          </w:p>
        </w:tc>
      </w:tr>
      <w:tr>
        <w:tc>
          <w:tcPr>
            <w:tcW w:type="dxa" w:w="24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categoria</w:t>
            </w:r>
          </w:p>
        </w:tc>
        <w:tc>
          <w:tcPr>
            <w:tcW w:type="dxa" w:w="6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Distribución proporcional a frecuencia real: Menestras ~30%, Cereal ~15%, Aceite ~12%, Conserva ~12%, otros ~31%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existencias_iniciales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Uniforme [0, 50]. 20% con valor 0 (sin stock inicial)</w:t>
            </w:r>
          </w:p>
        </w:tc>
      </w:tr>
      <w:tr>
        <w:tc>
          <w:tcPr>
            <w:tcW w:type="dxa" w:w="24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total_entradas</w:t>
            </w:r>
          </w:p>
        </w:tc>
        <w:tc>
          <w:tcPr>
            <w:tcW w:type="dxa" w:w="6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Poisson(λ=5). 30% con valor 0 (artículos inactivos)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total_salidas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Correlacionado con entradas × factor [0.3, 1.5] + ruido gaussiano. Permite salidas &gt; stock</w:t>
            </w:r>
          </w:p>
        </w:tc>
      </w:tr>
      <w:tr>
        <w:tc>
          <w:tcPr>
            <w:tcW w:type="dxa" w:w="24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existencias_actuales</w:t>
            </w:r>
          </w:p>
        </w:tc>
        <w:tc>
          <w:tcPr>
            <w:tcW w:type="dxa" w:w="6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Calculado: iniciales + entradas – salidas (no generado directamente)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tasa_rotacion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Calculado de la fórmula. No generado directamente</w:t>
            </w:r>
          </w:p>
        </w:tc>
      </w:tr>
      <w:tr>
        <w:tc>
          <w:tcPr>
            <w:tcW w:type="dxa" w:w="24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tiene_precio</w:t>
            </w:r>
          </w:p>
        </w:tc>
        <w:tc>
          <w:tcPr>
            <w:tcW w:type="dxa" w:w="6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Bernoulli(p=0.35): consistente con proporción real del Excel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tiene_proveedor</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Bernoulli(p=0.65): consistente con proporción real del Excel</w:t>
            </w:r>
          </w:p>
        </w:tc>
      </w:tr>
      <w:tr>
        <w:tc>
          <w:tcPr>
            <w:tcW w:type="dxa" w:w="24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frecuencia_salidas</w:t>
            </w:r>
          </w:p>
        </w:tc>
        <w:tc>
          <w:tcPr>
            <w:tcW w:type="dxa" w:w="6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Poisson(λ=3)</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frecuencia_entradas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Poisson(λ=2)</w:t>
            </w:r>
          </w:p>
        </w:tc>
      </w:tr>
      <w:tr>
        <w:tc>
          <w:tcPr>
            <w:tcW w:type="dxa" w:w="24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necesita_reposicion</w:t>
            </w:r>
          </w:p>
        </w:tc>
        <w:tc>
          <w:tcPr>
            <w:tcW w:type="dxa" w:w="6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Derivado automáticamente: 1 si existencias_actuales &lt; 5</w:t>
            </w:r>
          </w:p>
        </w:tc>
      </w:tr>
    </w:tbl>
    <w:p>
      <w:pPr>
        <w:spacing w:after="120"/>
      </w:pPr>
      <w:r>
        <w:t xml:space="preserve"/>
      </w:r>
    </w:p>
    <w:p>
      <w:pPr>
        <w:pStyle w:val="Heading2"/>
        <w:spacing w:after="140" w:before="280"/>
      </w:pPr>
      <w:r>
        <w:rPr>
          <w:rFonts w:ascii="Arial" w:cs="Arial" w:eastAsia="Arial" w:hAnsi="Arial"/>
          <w:b/>
          <w:bCs/>
          <w:color w:val="C0392B"/>
          <w:sz w:val="25"/>
          <w:szCs w:val="25"/>
        </w:rPr>
        <w:t xml:space="preserve">2.4. Modelado</w:t>
      </w:r>
    </w:p>
    <w:p>
      <w:pPr>
        <w:spacing w:after="160"/>
        <w:jc w:val="both"/>
      </w:pPr>
      <w:r>
        <w:rPr>
          <w:rFonts w:ascii="Arial" w:cs="Arial" w:eastAsia="Arial" w:hAnsi="Arial"/>
          <w:sz w:val="22"/>
          <w:szCs w:val="22"/>
        </w:rPr>
        <w:t xml:space="preserve">Se implementarán tres algoritmos de aprendizaje supervisado alineados con los contenidos de la Unidad 2 del sílabo (semanas 4–8):</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Modelo</w:t>
            </w:r>
          </w:p>
        </w:tc>
        <w:tc>
          <w:tcPr>
            <w:tcW w:type="dxa" w:w="456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Justificación técnica</w:t>
            </w:r>
          </w:p>
        </w:tc>
        <w:tc>
          <w:tcPr>
            <w:tcW w:type="dxa" w:w="26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Hiperparámetros a ajustar</w:t>
            </w:r>
          </w:p>
        </w:tc>
      </w:tr>
      <w:tr>
        <w:tc>
          <w:tcPr>
            <w:tcW w:type="dxa" w:w="2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Naive Bayes
(Gaussian NB)</w:t>
            </w:r>
          </w:p>
        </w:tc>
        <w:tc>
          <w:tcPr>
            <w:tcW w:type="dxa" w:w="45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Clasificador probabilístico de rápido entrenamiento. Útil como baseline. Asunción de independencia entre features puede verse afectada por correlaciones entre existencias y salidas.</w:t>
            </w:r>
          </w:p>
        </w:tc>
        <w:tc>
          <w:tcPr>
            <w:tcW w:type="dxa" w:w="26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Ninguno requerido; se evaluará var_smoothing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K-Nearest Neighbors
(KNN)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Clasifica por similitud con los K vecinos más cercanos. Sensible a la normalización. Especialmente útil para detectar artículos con perfil similar a los que ya se agotaron.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K ∈ {3, 5, 7}; métrica de distancia euclidiana</w:t>
            </w:r>
          </w:p>
        </w:tc>
      </w:tr>
      <w:tr>
        <w:tc>
          <w:tcPr>
            <w:tcW w:type="dxa" w:w="2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Árbol de Decisión
(Decision Tree)</w:t>
            </w:r>
          </w:p>
        </w:tc>
        <w:tc>
          <w:tcPr>
            <w:tcW w:type="dxa" w:w="45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Genera reglas interpretables en lenguaje natural. Alta interpretabilidad para el equipo de ALDIMI. Controlable con max_depth para evitar overfitting.</w:t>
            </w:r>
          </w:p>
        </w:tc>
        <w:tc>
          <w:tcPr>
            <w:tcW w:type="dxa" w:w="26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max_depth ∈ {3, 5, 7}; criterio Gini / Entropía</w:t>
            </w:r>
          </w:p>
        </w:tc>
      </w:tr>
    </w:tbl>
    <w:p>
      <w:pPr>
        <w:spacing w:after="120"/>
      </w:pPr>
      <w:r>
        <w:t xml:space="preserve"/>
      </w:r>
    </w:p>
    <w:p>
      <w:pPr>
        <w:spacing w:after="160"/>
        <w:jc w:val="both"/>
      </w:pPr>
      <w:r>
        <w:rPr>
          <w:rFonts w:ascii="Arial" w:cs="Arial" w:eastAsia="Arial" w:hAnsi="Arial"/>
          <w:sz w:val="22"/>
          <w:szCs w:val="22"/>
        </w:rPr>
        <w:t xml:space="preserve">Los modelos serán evaluados con las siguientes métricas: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Métrica</w:t>
            </w:r>
          </w:p>
        </w:tc>
        <w:tc>
          <w:tcPr>
            <w:tcW w:type="dxa" w:w="716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Descripción</w:t>
            </w:r>
          </w:p>
        </w:tc>
      </w:tr>
      <w:tr>
        <w:tc>
          <w:tcPr>
            <w:tcW w:type="dxa" w:w="2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Accuracy</w:t>
            </w:r>
          </w:p>
        </w:tc>
        <w:tc>
          <w:tcPr>
            <w:tcW w:type="dxa" w:w="71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Proporción de predicciones correctas. Referencial dado el posible desbalance de clases.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Precision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De los artículos predichos como urgentes, qué fracción realmente lo es. Evita falsas alarmas.</w:t>
            </w:r>
          </w:p>
        </w:tc>
      </w:tr>
      <w:tr>
        <w:tc>
          <w:tcPr>
            <w:tcW w:type="dxa" w:w="2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Recall</w:t>
            </w:r>
          </w:p>
        </w:tc>
        <w:tc>
          <w:tcPr>
            <w:tcW w:type="dxa" w:w="71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De los artículos urgentes reales, qué fracción detecta el modelo. MÉTRICA PRIORITARIA en este contexto.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F1-Score</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Media armónica de Precision y Recall. Métrica balanceada para datasets con desbalance.</w:t>
            </w:r>
          </w:p>
        </w:tc>
      </w:tr>
      <w:tr>
        <w:tc>
          <w:tcPr>
            <w:tcW w:type="dxa" w:w="2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Matriz de Confusión</w:t>
            </w:r>
          </w:p>
        </w:tc>
        <w:tc>
          <w:tcPr>
            <w:tcW w:type="dxa" w:w="71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Detalle de TP, TN, FP, FN para análisis de errores del modelo.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Curva ROC / AUC</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Evaluación del modelo a distintos umbrales. AUC → 1.0 indica excelente discriminación.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8F8F8" w:val="clear"/>
            <w:tcMar>
              <w:top w:type="dxa" w:w="200"/>
              <w:left w:type="dxa" w:w="200"/>
              <w:bottom w:type="dxa" w:w="200"/>
              <w:right w:type="dxa" w:w="200"/>
            </w:tcMar>
          </w:tcPr>
          <w:p>
            <w:pPr>
              <w:jc w:val="center"/>
            </w:pPr>
            <w:r>
              <w:rPr>
                <w:rFonts w:ascii="Arial" w:cs="Arial" w:eastAsia="Arial" w:hAnsi="Arial"/>
                <w:i/>
                <w:iCs/>
                <w:color w:val="AAAAAA"/>
                <w:sz w:val="22"/>
                <w:szCs w:val="22"/>
              </w:rPr>
              <w:t xml:space="preserve">[ INSERTAR AQUÍ: Tabla comparativa de métricas de los tres modelos (tras entrenamiento)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8F8F8" w:val="clear"/>
            <w:tcMar>
              <w:top w:type="dxa" w:w="200"/>
              <w:left w:type="dxa" w:w="200"/>
              <w:bottom w:type="dxa" w:w="200"/>
              <w:right w:type="dxa" w:w="200"/>
            </w:tcMar>
          </w:tcPr>
          <w:p>
            <w:pPr>
              <w:jc w:val="center"/>
            </w:pPr>
            <w:r>
              <w:rPr>
                <w:rFonts w:ascii="Arial" w:cs="Arial" w:eastAsia="Arial" w:hAnsi="Arial"/>
                <w:i/>
                <w:iCs/>
                <w:color w:val="AAAAAA"/>
                <w:sz w:val="22"/>
                <w:szCs w:val="22"/>
              </w:rPr>
              <w:t xml:space="preserve">[ INSERTAR AQUÍ: Matrices de confusión de los tres modelos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8F8F8" w:val="clear"/>
            <w:tcMar>
              <w:top w:type="dxa" w:w="200"/>
              <w:left w:type="dxa" w:w="200"/>
              <w:bottom w:type="dxa" w:w="200"/>
              <w:right w:type="dxa" w:w="200"/>
            </w:tcMar>
          </w:tcPr>
          <w:p>
            <w:pPr>
              <w:jc w:val="center"/>
            </w:pPr>
            <w:r>
              <w:rPr>
                <w:rFonts w:ascii="Arial" w:cs="Arial" w:eastAsia="Arial" w:hAnsi="Arial"/>
                <w:i/>
                <w:iCs/>
                <w:color w:val="AAAAAA"/>
                <w:sz w:val="22"/>
                <w:szCs w:val="22"/>
              </w:rPr>
              <w:t xml:space="preserve">[ INSERTAR AQUÍ: Curvas ROC comparativas ]</w:t>
            </w:r>
          </w:p>
        </w:tc>
      </w:tr>
    </w:tbl>
    <w:p>
      <w:pPr>
        <w:spacing w:after="120"/>
      </w:pPr>
      <w:r>
        <w:t xml:space="preserve"/>
      </w:r>
    </w:p>
    <w:p>
      <w:r>
        <w:br w:type="page"/>
      </w:r>
    </w:p>
    <w:p>
      <w:pPr>
        <w:pStyle w:val="Heading1"/>
        <w:spacing w:after="200" w:before="400"/>
      </w:pPr>
      <w:r>
        <w:rPr>
          <w:rFonts w:ascii="Arial" w:cs="Arial" w:eastAsia="Arial" w:hAnsi="Arial"/>
          <w:b/>
          <w:bCs/>
          <w:color w:val="2E4057"/>
          <w:sz w:val="30"/>
          <w:szCs w:val="30"/>
        </w:rPr>
        <w:t xml:space="preserve">3.0. Planificación del proyecto</w:t>
      </w:r>
    </w:p>
    <w:p>
      <w:pPr>
        <w:spacing w:after="160"/>
        <w:jc w:val="both"/>
      </w:pPr>
      <w:r>
        <w:rPr>
          <w:rFonts w:ascii="Arial" w:cs="Arial" w:eastAsia="Arial" w:hAnsi="Arial"/>
          <w:sz w:val="22"/>
          <w:szCs w:val="22"/>
        </w:rPr>
        <w:t xml:space="preserve">La planificación del proyecto se organiza bajo un enfoque incremental, combinando la metodología CRISP-DM para el desarrollo del ciclo de vida de los modelos de Machine Learning y SCRUM para la gestión ágil del equipo. El proyecto se desarrolla durante el primer semestre 2026.</w:t>
      </w:r>
    </w:p>
    <w:p>
      <w:pPr>
        <w:pStyle w:val="Heading2"/>
        <w:spacing w:after="140" w:before="280"/>
      </w:pPr>
      <w:r>
        <w:rPr>
          <w:rFonts w:ascii="Arial" w:cs="Arial" w:eastAsia="Arial" w:hAnsi="Arial"/>
          <w:b/>
          <w:bCs/>
          <w:color w:val="C0392B"/>
          <w:sz w:val="25"/>
          <w:szCs w:val="25"/>
        </w:rPr>
        <w:t xml:space="preserve">3.1. Roles del equipo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Rol</w:t>
            </w:r>
          </w:p>
        </w:tc>
        <w:tc>
          <w:tcPr>
            <w:tcW w:type="dxa" w:w="24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Responsable</w:t>
            </w:r>
          </w:p>
        </w:tc>
        <w:tc>
          <w:tcPr>
            <w:tcW w:type="dxa" w:w="496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Responsabilidades principales</w:t>
            </w:r>
          </w:p>
        </w:tc>
      </w:tr>
      <w:tr>
        <w:tc>
          <w:tcPr>
            <w:tcW w:type="dxa" w:w="2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Data Scientist</w:t>
            </w:r>
          </w:p>
        </w:tc>
        <w:tc>
          <w:tcPr>
            <w:tcW w:type="dxa" w:w="24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[Nombre del integrante]</w:t>
            </w:r>
          </w:p>
        </w:tc>
        <w:tc>
          <w:tcPr>
            <w:tcW w:type="dxa" w:w="4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Análisis exploratorio, visualizaciones, identificación de patrones, outliers y correlaciones.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ML Engineer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[Nombre del integrante]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Entrenamiento, comparación y optimización de los modelos de clasificación.</w:t>
            </w:r>
          </w:p>
        </w:tc>
      </w:tr>
      <w:tr>
        <w:tc>
          <w:tcPr>
            <w:tcW w:type="dxa" w:w="2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Data Architect</w:t>
            </w:r>
          </w:p>
        </w:tc>
        <w:tc>
          <w:tcPr>
            <w:tcW w:type="dxa" w:w="24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[Nombre del integrante]</w:t>
            </w:r>
          </w:p>
        </w:tc>
        <w:tc>
          <w:tcPr>
            <w:tcW w:type="dxa" w:w="4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Diseño de la estructura del dataset, preprocesamiento y pipeline de datos.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MLOps / Developer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[Nombre del integrante]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Organización del código, notebook en Colab y visualización de resultados.</w:t>
            </w:r>
          </w:p>
        </w:tc>
      </w:tr>
      <w:tr>
        <w:tc>
          <w:tcPr>
            <w:tcW w:type="dxa" w:w="2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Project Manager</w:t>
            </w:r>
          </w:p>
        </w:tc>
        <w:tc>
          <w:tcPr>
            <w:tcW w:type="dxa" w:w="24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[Nombre del integrante]</w:t>
            </w:r>
          </w:p>
        </w:tc>
        <w:tc>
          <w:tcPr>
            <w:tcW w:type="dxa" w:w="49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Coordinación del cronograma, consolidación de documentación y presentación.</w:t>
            </w:r>
          </w:p>
        </w:tc>
      </w:tr>
    </w:tbl>
    <w:p>
      <w:pPr>
        <w:spacing w:after="120"/>
      </w:pPr>
      <w:r>
        <w:t xml:space="preserve"/>
      </w:r>
    </w:p>
    <w:p>
      <w:pPr>
        <w:pStyle w:val="Heading2"/>
        <w:spacing w:after="140" w:before="280"/>
      </w:pPr>
      <w:r>
        <w:rPr>
          <w:rFonts w:ascii="Arial" w:cs="Arial" w:eastAsia="Arial" w:hAnsi="Arial"/>
          <w:b/>
          <w:bCs/>
          <w:color w:val="C0392B"/>
          <w:sz w:val="25"/>
          <w:szCs w:val="25"/>
        </w:rPr>
        <w:t xml:space="preserve">3.2. Cronograma de actividades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560"/>
        <w:gridCol w:w="2200"/>
      </w:tblGrid>
      <w:tr>
        <w:trPr>
          <w:tblHeader/>
        </w:trPr>
        <w:tc>
          <w:tcPr>
            <w:tcW w:type="dxa" w:w="11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Semana</w:t>
            </w:r>
          </w:p>
        </w:tc>
        <w:tc>
          <w:tcPr>
            <w:tcW w:type="dxa" w:w="15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Fase</w:t>
            </w:r>
          </w:p>
        </w:tc>
        <w:tc>
          <w:tcPr>
            <w:tcW w:type="dxa" w:w="456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Actividades principales</w:t>
            </w:r>
          </w:p>
        </w:tc>
        <w:tc>
          <w:tcPr>
            <w:tcW w:type="dxa" w:w="22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Entregable</w:t>
            </w:r>
          </w:p>
        </w:tc>
      </w:tr>
      <w:tr>
        <w:tc>
          <w:tcPr>
            <w:tcW w:type="dxa" w:w="11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1–2</w:t>
            </w:r>
          </w:p>
        </w:tc>
        <w:tc>
          <w:tcPr>
            <w:tcW w:type="dxa" w:w="15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Inicio / Diseño</w:t>
            </w:r>
          </w:p>
        </w:tc>
        <w:tc>
          <w:tcPr>
            <w:tcW w:type="dxa" w:w="45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Contacto con ALDIMI, revisión del Excel, definición del problema y variables objetivo.</w:t>
            </w:r>
          </w:p>
        </w:tc>
        <w:tc>
          <w:tcPr>
            <w:tcW w:type="dxa" w:w="2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Definición del proyecto</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Setup</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Análisis exploratorio inicial (EDA), inspección de calidad del Excel real.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EDA preliminar</w:t>
            </w:r>
          </w:p>
        </w:tc>
      </w:tr>
      <w:tr>
        <w:tc>
          <w:tcPr>
            <w:tcW w:type="dxa" w:w="11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4–5</w:t>
            </w:r>
          </w:p>
        </w:tc>
        <w:tc>
          <w:tcPr>
            <w:tcW w:type="dxa" w:w="15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Preparación</w:t>
            </w:r>
          </w:p>
        </w:tc>
        <w:tc>
          <w:tcPr>
            <w:tcW w:type="dxa" w:w="45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Preprocesamiento, generación de datos sintéticos, pipeline de limpieza.</w:t>
            </w:r>
          </w:p>
        </w:tc>
        <w:tc>
          <w:tcPr>
            <w:tcW w:type="dxa" w:w="2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Dataset final limpio</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6</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Modelado base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Entrenamiento inicial de Naive Bayes, KNN y Árbol de Decisión. Evaluación de métricas base.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Baseline de modelos</w:t>
            </w:r>
          </w:p>
        </w:tc>
      </w:tr>
      <w:tr>
        <w:tc>
          <w:tcPr>
            <w:tcW w:type="dxa" w:w="11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7</w:t>
            </w:r>
          </w:p>
        </w:tc>
        <w:tc>
          <w:tcPr>
            <w:tcW w:type="dxa" w:w="15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Trabajo 1 (TB1)</w:t>
            </w:r>
          </w:p>
        </w:tc>
        <w:tc>
          <w:tcPr>
            <w:tcW w:type="dxa" w:w="45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Documentación completa del ciclo CRISP-DM hasta modelado. Entrega del informe.</w:t>
            </w:r>
          </w:p>
        </w:tc>
        <w:tc>
          <w:tcPr>
            <w:tcW w:type="dxa" w:w="2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TB1 entregado</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8</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Evaluación Parcial</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Evaluación EA1 – Defensa individual de conceptos de la Unidad 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EA1</w:t>
            </w:r>
          </w:p>
        </w:tc>
      </w:tr>
      <w:tr>
        <w:tc>
          <w:tcPr>
            <w:tcW w:type="dxa" w:w="11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9–11</w:t>
            </w:r>
          </w:p>
        </w:tc>
        <w:tc>
          <w:tcPr>
            <w:tcW w:type="dxa" w:w="15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Optimización</w:t>
            </w:r>
          </w:p>
        </w:tc>
        <w:tc>
          <w:tcPr>
            <w:tcW w:type="dxa" w:w="45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Ajuste de hiperparámetros, comparación de modelos, análisis de importancia de variables.</w:t>
            </w:r>
          </w:p>
        </w:tc>
        <w:tc>
          <w:tcPr>
            <w:tcW w:type="dxa" w:w="2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Modelos optimizados</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Práctica 3 (PC3)</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Evaluación PC3 – Unidad 3: SVM, Random Forest, regresión.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PC3</w:t>
            </w:r>
          </w:p>
        </w:tc>
      </w:tr>
      <w:tr>
        <w:tc>
          <w:tcPr>
            <w:tcW w:type="dxa" w:w="11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13–14</w:t>
            </w:r>
          </w:p>
        </w:tc>
        <w:tc>
          <w:tcPr>
            <w:tcW w:type="dxa" w:w="15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Integración / Pulido</w:t>
            </w:r>
          </w:p>
        </w:tc>
        <w:tc>
          <w:tcPr>
            <w:tcW w:type="dxa" w:w="45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Finalización de resultados, visualizaciones finales, informe TB2.</w:t>
            </w:r>
          </w:p>
        </w:tc>
        <w:tc>
          <w:tcPr>
            <w:tcW w:type="dxa" w:w="2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TB2</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Entrega final</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Presentación DD1, entrega de Trabajo 2 (TB2), exposición de resultados.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DD1 + TB2</w:t>
            </w:r>
          </w:p>
        </w:tc>
      </w:tr>
      <w:tr>
        <w:tc>
          <w:tcPr>
            <w:tcW w:type="dxa" w:w="11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16</w:t>
            </w:r>
          </w:p>
        </w:tc>
        <w:tc>
          <w:tcPr>
            <w:tcW w:type="dxa" w:w="15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Evaluación Final</w:t>
            </w:r>
          </w:p>
        </w:tc>
        <w:tc>
          <w:tcPr>
            <w:tcW w:type="dxa" w:w="45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Examen final EB1.</w:t>
            </w:r>
          </w:p>
        </w:tc>
        <w:tc>
          <w:tcPr>
            <w:tcW w:type="dxa" w:w="2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EB1</w:t>
            </w:r>
          </w:p>
        </w:tc>
      </w:tr>
    </w:tbl>
    <w:p>
      <w:pPr>
        <w:spacing w:after="120"/>
      </w:pPr>
      <w:r>
        <w:t xml:space="preserve"/>
      </w:r>
    </w:p>
    <w:p>
      <w:pPr>
        <w:pStyle w:val="Heading2"/>
        <w:spacing w:after="140" w:before="280"/>
      </w:pPr>
      <w:r>
        <w:rPr>
          <w:rFonts w:ascii="Arial" w:cs="Arial" w:eastAsia="Arial" w:hAnsi="Arial"/>
          <w:b/>
          <w:bCs/>
          <w:color w:val="C0392B"/>
          <w:sz w:val="25"/>
          <w:szCs w:val="25"/>
        </w:rPr>
        <w:t xml:space="preserve">3.3. Riesgos del proyecto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000"/>
        <w:gridCol w:w="3860"/>
      </w:tblGrid>
      <w:tr>
        <w:trPr>
          <w:tblHeader/>
        </w:trPr>
        <w:tc>
          <w:tcPr>
            <w:tcW w:type="dxa" w:w="32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Riesgo</w:t>
            </w:r>
          </w:p>
        </w:tc>
        <w:tc>
          <w:tcPr>
            <w:tcW w:type="dxa" w:w="13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Probabilidad</w:t>
            </w:r>
          </w:p>
        </w:tc>
        <w:tc>
          <w:tcPr>
            <w:tcW w:type="dxa" w:w="100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Impacto</w:t>
            </w:r>
          </w:p>
        </w:tc>
        <w:tc>
          <w:tcPr>
            <w:tcW w:type="dxa" w:w="3860"/>
            <w:tcBorders>
              <w:top w:val="single" w:color="BBBBBB" w:sz="1"/>
              <w:left w:val="single" w:color="BBBBBB" w:sz="1"/>
              <w:bottom w:val="single" w:color="BBBBBB" w:sz="1"/>
              <w:right w:val="single" w:color="BBBBBB" w:sz="1"/>
            </w:tcBorders>
            <w:shd w:fill="2E4057"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Estrategia de mitigación</w:t>
            </w:r>
          </w:p>
        </w:tc>
      </w:tr>
      <w:tr>
        <w:tc>
          <w:tcPr>
            <w:tcW w:type="dxa" w:w="3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Datos reales de ALDIMI insuficientes para entrenamiento robusto</w:t>
            </w:r>
          </w:p>
        </w:tc>
        <w:tc>
          <w:tcPr>
            <w:tcW w:type="dxa" w:w="13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Alta</w:t>
            </w:r>
          </w:p>
        </w:tc>
        <w:tc>
          <w:tcPr>
            <w:tcW w:type="dxa" w:w="1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Alto</w:t>
            </w:r>
          </w:p>
        </w:tc>
        <w:tc>
          <w:tcPr>
            <w:tcW w:type="dxa" w:w="38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Complementar con datos sintéticos calibrados con las distribuciones reales del Excel.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Baja calidad del Excel: #REF!, nulos, inconsistencias tipográficas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Alta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Medio</w:t>
            </w:r>
          </w:p>
        </w:tc>
        <w:tc>
          <w:tcPr>
            <w:tcW w:type="dxa" w:w="38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Pipeline de preprocesamiento robusto documentado. Validación de cada transformación.</w:t>
            </w:r>
          </w:p>
        </w:tc>
      </w:tr>
      <w:tr>
        <w:tc>
          <w:tcPr>
            <w:tcW w:type="dxa" w:w="3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Desbalance en la variable objetivo (necesita_reposicion)</w:t>
            </w:r>
          </w:p>
        </w:tc>
        <w:tc>
          <w:tcPr>
            <w:tcW w:type="dxa" w:w="13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Media</w:t>
            </w:r>
          </w:p>
        </w:tc>
        <w:tc>
          <w:tcPr>
            <w:tcW w:type="dxa" w:w="1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Medio</w:t>
            </w:r>
          </w:p>
        </w:tc>
        <w:tc>
          <w:tcPr>
            <w:tcW w:type="dxa" w:w="38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Aplicar SMOTE o class_weight='balanced'. Priorizar F1-Score y Recall sobre Accuracy.</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Sobreajuste de los modelos predictivos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Media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Alto</w:t>
            </w:r>
          </w:p>
        </w:tc>
        <w:tc>
          <w:tcPr>
            <w:tcW w:type="dxa" w:w="38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Usar división train/test estratificada, validación cruzada y regularización (max_depth en árboles).</w:t>
            </w:r>
          </w:p>
        </w:tc>
      </w:tr>
      <w:tr>
        <w:tc>
          <w:tcPr>
            <w:tcW w:type="dxa" w:w="3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Data leakage: existencias_actuales define directamente el target</w:t>
            </w:r>
          </w:p>
        </w:tc>
        <w:tc>
          <w:tcPr>
            <w:tcW w:type="dxa" w:w="13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Media</w:t>
            </w:r>
          </w:p>
        </w:tc>
        <w:tc>
          <w:tcPr>
            <w:tcW w:type="dxa" w:w="1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Alto</w:t>
            </w:r>
          </w:p>
        </w:tc>
        <w:tc>
          <w:tcPr>
            <w:tcW w:type="dxa" w:w="38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Verificar que el target se derive DESPUÉS del preprocesamiento. No usar la variable cruda como feature.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Modelos con bajo Recall (falsos negativos en artículos urgentes)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Media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Alto</w:t>
            </w:r>
          </w:p>
        </w:tc>
        <w:tc>
          <w:tcPr>
            <w:tcW w:type="dxa" w:w="38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Ajustar umbrales de clasificación. Priorizar modelos con alto Recall aunque sacrifiquen Precision.</w:t>
            </w:r>
          </w:p>
        </w:tc>
      </w:tr>
      <w:tr>
        <w:tc>
          <w:tcPr>
            <w:tcW w:type="dxa" w:w="32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Uso inadecuado de datos del Excel con información sensible de pacientes</w:t>
            </w:r>
          </w:p>
        </w:tc>
        <w:tc>
          <w:tcPr>
            <w:tcW w:type="dxa" w:w="13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Baja</w:t>
            </w:r>
          </w:p>
        </w:tc>
        <w:tc>
          <w:tcPr>
            <w:tcW w:type="dxa" w:w="100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Muy alto</w:t>
            </w:r>
          </w:p>
        </w:tc>
        <w:tc>
          <w:tcPr>
            <w:tcW w:type="dxa" w:w="3860"/>
            <w:tcBorders>
              <w:top w:val="single" w:color="BBBBBB" w:sz="1"/>
              <w:left w:val="single" w:color="BBBBBB" w:sz="1"/>
              <w:bottom w:val="single" w:color="BBBBBB" w:sz="1"/>
              <w:right w:val="single" w:color="BBBBBB" w:sz="1"/>
            </w:tcBorders>
            <w:shd w:fill="F4F6F9"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No utilizar datos de pacientes. Proyecto limitado exclusivamente al inventario de alimentos.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Retraso en entregas por carga académica del equipo</w:t>
            </w:r>
          </w:p>
        </w:tc>
        <w:tc>
          <w:tcPr>
            <w:tcW w:type="dxa" w:w="1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Alta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Medio</w:t>
            </w:r>
          </w:p>
        </w:tc>
        <w:tc>
          <w:tcPr>
            <w:tcW w:type="dxa" w:w="38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000000"/>
                <w:sz w:val="19"/>
                <w:szCs w:val="19"/>
              </w:rPr>
              <w:t xml:space="preserve">Planificación semanal clara, roles definidos y priorización de entregables obligatorios.</w:t>
            </w:r>
          </w:p>
        </w:tc>
      </w:tr>
    </w:tbl>
    <w:p>
      <w:pPr>
        <w:spacing w:after="120"/>
      </w:pPr>
      <w:r>
        <w:t xml:space="preserve"/>
      </w:r>
    </w:p>
    <w:p>
      <w:r>
        <w:br w:type="page"/>
      </w:r>
    </w:p>
    <w:p>
      <w:pPr>
        <w:pStyle w:val="Heading1"/>
        <w:spacing w:after="200" w:before="400"/>
      </w:pPr>
      <w:r>
        <w:rPr>
          <w:rFonts w:ascii="Arial" w:cs="Arial" w:eastAsia="Arial" w:hAnsi="Arial"/>
          <w:b/>
          <w:bCs/>
          <w:color w:val="2E4057"/>
          <w:sz w:val="30"/>
          <w:szCs w:val="30"/>
        </w:rPr>
        <w:t xml:space="preserve">4.0. Conclusiones</w:t>
      </w:r>
    </w:p>
    <w:p>
      <w:pPr>
        <w:pStyle w:val="ListParagraph"/>
        <w:numPr>
          <w:ilvl w:val="0"/>
          <w:numId w:val="3"/>
        </w:numPr>
        <w:spacing w:after="120"/>
      </w:pPr>
      <w:r>
        <w:rPr>
          <w:rFonts w:ascii="Arial" w:cs="Arial" w:eastAsia="Arial" w:hAnsi="Arial"/>
          <w:b/>
          <w:bCs/>
          <w:sz w:val="22"/>
          <w:szCs w:val="22"/>
        </w:rPr>
        <w:t xml:space="preserve">Viabilidad del enfoque con datos reales: </w:t>
      </w:r>
      <w:r>
        <w:rPr>
          <w:rFonts w:ascii="Arial" w:cs="Arial" w:eastAsia="Arial" w:hAnsi="Arial"/>
          <w:sz w:val="22"/>
          <w:szCs w:val="22"/>
        </w:rPr>
        <w:t xml:space="preserve">El Excel de inventario de ALDIMI, aunque limitado en volumen y con múltiples problemas de calidad, contiene información suficiente para construir un dataset de Machine Learning a través de un preprocesamiento cuidadoso y la generación complementaria de datos sintéticos calibrados con las distribuciones reales.</w:t>
      </w:r>
    </w:p>
    <w:p>
      <w:pPr>
        <w:pStyle w:val="ListParagraph"/>
        <w:numPr>
          <w:ilvl w:val="0"/>
          <w:numId w:val="3"/>
        </w:numPr>
        <w:spacing w:after="120"/>
      </w:pPr>
      <w:r>
        <w:rPr>
          <w:rFonts w:ascii="Arial" w:cs="Arial" w:eastAsia="Arial" w:hAnsi="Arial"/>
          <w:b/>
          <w:bCs/>
          <w:sz w:val="22"/>
          <w:szCs w:val="22"/>
        </w:rPr>
        <w:t xml:space="preserve">Riesgo de desabastecimiento documentado: </w:t>
      </w:r>
      <w:r>
        <w:rPr>
          <w:rFonts w:ascii="Arial" w:cs="Arial" w:eastAsia="Arial" w:hAnsi="Arial"/>
          <w:sz w:val="22"/>
          <w:szCs w:val="22"/>
        </w:rPr>
        <w:t xml:space="preserve">El análisis exploratorio confirma que múltiples artículos ya presentan existencias negativas, evidenciando que el desabastecimiento no es solo un riesgo futuro sino una realidad actual en el almacén. Artículos como Quinua 1 kg (-11.5 unidades) y Moron 500 gr (-0.5 unidades) muestran que el sistema actual no puede anticipar estos agotamientos.</w:t>
      </w:r>
    </w:p>
    <w:p>
      <w:pPr>
        <w:pStyle w:val="ListParagraph"/>
        <w:numPr>
          <w:ilvl w:val="0"/>
          <w:numId w:val="3"/>
        </w:numPr>
        <w:spacing w:after="120"/>
      </w:pPr>
      <w:r>
        <w:rPr>
          <w:rFonts w:ascii="Arial" w:cs="Arial" w:eastAsia="Arial" w:hAnsi="Arial"/>
          <w:b/>
          <w:bCs/>
          <w:sz w:val="22"/>
          <w:szCs w:val="22"/>
        </w:rPr>
        <w:t xml:space="preserve">Artículos críticos identificados: </w:t>
      </w:r>
      <w:r>
        <w:rPr>
          <w:rFonts w:ascii="Arial" w:cs="Arial" w:eastAsia="Arial" w:hAnsi="Arial"/>
          <w:sz w:val="22"/>
          <w:szCs w:val="22"/>
        </w:rPr>
        <w:t xml:space="preserve">Huevo pardo, Avena 1 kg, Arroz 5 kg, Aceite Vegetal 900 ml, Fideos largos y Pollo fresco entero son los artículos con mayor frecuencia de salidas en el período registrado, constituyendo el núcleo de la dieta de los pacientes y los candidatos prioritarios al monitoreo de reposición.</w:t>
      </w:r>
    </w:p>
    <w:p>
      <w:pPr>
        <w:pStyle w:val="ListParagraph"/>
        <w:numPr>
          <w:ilvl w:val="0"/>
          <w:numId w:val="3"/>
        </w:numPr>
        <w:spacing w:after="120"/>
      </w:pPr>
      <w:r>
        <w:rPr>
          <w:rFonts w:ascii="Arial" w:cs="Arial" w:eastAsia="Arial" w:hAnsi="Arial"/>
          <w:b/>
          <w:bCs/>
          <w:sz w:val="22"/>
          <w:szCs w:val="22"/>
        </w:rPr>
        <w:t xml:space="preserve">Impacto social concreto: </w:t>
      </w:r>
      <w:r>
        <w:rPr>
          <w:rFonts w:ascii="Arial" w:cs="Arial" w:eastAsia="Arial" w:hAnsi="Arial"/>
          <w:sz w:val="22"/>
          <w:szCs w:val="22"/>
        </w:rPr>
        <w:t xml:space="preserve">A diferencia de enfoques que utilizan datasets públicos análogos, este proyecto trabaja con datos reales de la organización, lo que otorga una aplicabilidad directa al modelo final. Las reglas generadas por el Árbol de Decisión podrán ser comunicadas al equipo de ALDIMI en lenguaje natural, facilitando su adopción sin necesidad de conocimientos técnicos.</w:t>
      </w:r>
    </w:p>
    <w:p>
      <w:pPr>
        <w:spacing w:after="120"/>
      </w:pPr>
      <w:r>
        <w:t xml:space="preserve"/>
      </w:r>
    </w:p>
    <w:p>
      <w:pPr>
        <w:pStyle w:val="Heading1"/>
        <w:spacing w:after="200" w:before="400"/>
      </w:pPr>
      <w:r>
        <w:rPr>
          <w:rFonts w:ascii="Arial" w:cs="Arial" w:eastAsia="Arial" w:hAnsi="Arial"/>
          <w:b/>
          <w:bCs/>
          <w:color w:val="2E4057"/>
          <w:sz w:val="30"/>
          <w:szCs w:val="30"/>
        </w:rPr>
        <w:t xml:space="preserve">5.0. Referencias Bibliográficas</w:t>
      </w:r>
    </w:p>
    <w:p>
      <w:pPr>
        <w:spacing w:after="160"/>
        <w:jc w:val="both"/>
      </w:pPr>
      <w:r>
        <w:rPr>
          <w:rFonts w:ascii="Arial" w:cs="Arial" w:eastAsia="Arial" w:hAnsi="Arial"/>
          <w:sz w:val="22"/>
          <w:szCs w:val="22"/>
        </w:rPr>
        <w:t xml:space="preserve">Alpaydin, E. (2014). Introduction to machine learning (3rd ed.). MIT Press.</w:t>
      </w:r>
    </w:p>
    <w:p>
      <w:pPr>
        <w:spacing w:after="160"/>
        <w:jc w:val="both"/>
      </w:pPr>
      <w:r>
        <w:rPr>
          <w:rFonts w:ascii="Arial" w:cs="Arial" w:eastAsia="Arial" w:hAnsi="Arial"/>
          <w:sz w:val="22"/>
          <w:szCs w:val="22"/>
        </w:rPr>
        <w:t xml:space="preserve">Michalski, R., Bratko, I., &amp; Kubát, M. (1999). Machine learning and data mining: Methods and applications. John Wiley &amp; Sons.</w:t>
      </w:r>
    </w:p>
    <w:p>
      <w:pPr>
        <w:spacing w:after="160"/>
        <w:jc w:val="both"/>
      </w:pPr>
      <w:r>
        <w:rPr>
          <w:rFonts w:ascii="Arial" w:cs="Arial" w:eastAsia="Arial" w:hAnsi="Arial"/>
          <w:sz w:val="22"/>
          <w:szCs w:val="22"/>
        </w:rPr>
        <w:t xml:space="preserve">Swamynathan, M. (2017). Mastering machine learning with Python in six steps. Apress.</w:t>
      </w:r>
    </w:p>
    <w:p>
      <w:pPr>
        <w:spacing w:after="160"/>
        <w:jc w:val="both"/>
      </w:pPr>
      <w:r>
        <w:rPr>
          <w:rFonts w:ascii="Arial" w:cs="Arial" w:eastAsia="Arial" w:hAnsi="Arial"/>
          <w:sz w:val="22"/>
          <w:szCs w:val="22"/>
        </w:rPr>
        <w:t xml:space="preserve">Bowles, M. (2015). Machine learning in Python: Essential techniques for predictive analysis. Wiley.</w:t>
      </w:r>
    </w:p>
    <w:p>
      <w:pPr>
        <w:spacing w:after="160"/>
        <w:jc w:val="both"/>
      </w:pPr>
      <w:r>
        <w:rPr>
          <w:rFonts w:ascii="Arial" w:cs="Arial" w:eastAsia="Arial" w:hAnsi="Arial"/>
          <w:sz w:val="22"/>
          <w:szCs w:val="22"/>
        </w:rPr>
        <w:t xml:space="preserve">Naciones Unidas. (2015). Objetivos de Desarrollo Sostenible. https://sdgs.un.org/goals</w:t>
      </w:r>
    </w:p>
    <w:p>
      <w:pPr>
        <w:spacing w:after="160"/>
        <w:jc w:val="both"/>
      </w:pPr>
      <w:r>
        <w:rPr>
          <w:rFonts w:ascii="Arial" w:cs="Arial" w:eastAsia="Arial" w:hAnsi="Arial"/>
          <w:sz w:val="22"/>
          <w:szCs w:val="22"/>
        </w:rPr>
        <w:t xml:space="preserve">ALDIMI – Albergue Divina Misericordia. (2026). Archivo de inventario de donaciones ALMAcen_upc.xlsx [Datos proporcionados para uso académico]. UPC.</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tabs>
        <w:tab w:val="right" w:pos="9026"/>
      </w:tabs>
      <w:spacing w:before="100"/>
    </w:pPr>
    <w:r>
      <w:rPr>
        <w:rFonts w:ascii="Arial" w:cs="Arial" w:eastAsia="Arial" w:hAnsi="Arial"/>
        <w:color w:val="555555"/>
        <w:sz w:val="18"/>
        <w:szCs w:val="18"/>
      </w:rPr>
      <w:t xml:space="preserve">2026 – Primer Semestre</w:t>
    </w:r>
    <w:r>
      <w:rPr>
        <w:rFonts w:ascii="Arial" w:cs="Arial" w:eastAsia="Arial" w:hAnsi="Arial"/>
        <w:color w:val="555555"/>
        <w:sz w:val="18"/>
        <w:szCs w:val="18"/>
      </w:rPr>
      <w:t xml:space="preserve">	Página </w:t>
    </w:r>
    <w:r>
      <w:rPr>
        <w:rFonts w:ascii="Arial" w:cs="Arial" w:eastAsia="Arial" w:hAnsi="Arial"/>
        <w:color w:val="555555"/>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spacing w:after="100"/>
    </w:pPr>
    <w:r>
      <w:rPr>
        <w:rFonts w:ascii="Arial" w:cs="Arial" w:eastAsia="Arial" w:hAnsi="Arial"/>
        <w:color w:val="555555"/>
        <w:sz w:val="18"/>
        <w:szCs w:val="18"/>
      </w:rPr>
      <w:t xml:space="preserve">Trabajo 1 – Machine Learning (1ACC0057) – UPC | NRC: 3037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C039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2026-05-13T02:54:53.873Z</dcterms:created>
  <dcterms:modified xsi:type="dcterms:W3CDTF">2026-05-13T02:54:53.893Z</dcterms:modified>
</cp:coreProperties>
</file>

<file path=docProps/custom.xml><?xml version="1.0" encoding="utf-8"?>
<Properties xmlns="http://schemas.openxmlformats.org/officeDocument/2006/custom-properties" xmlns:vt="http://schemas.openxmlformats.org/officeDocument/2006/docPropsVTypes"/>
</file>