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  <w:spacing w:before="0" w:after="220" w:line="300" w:lineRule="auto"/>
      </w:pPr>
      <w:r>
        <w:t xml:space="preserve">灵序智能 GEO 综合实施方案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测试对象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灵序智能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官网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https:​/​/​example.​com/​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测试场景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匿名化 B2B SaaS 示例，用于验证 GEO 综合实施方案 skill 的标准输出结构和四格式报告。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目标平台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DeepSeek；豆包；千问；Kimi；元宝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生成日期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2026-​05-​19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输出语言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中文简体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执行摘要</w:t>
      </w:r>
    </w:p>
    <w:p>
      <w:pPr>
        <w:spacing w:before="0" w:after="90" w:line="300" w:lineRule="auto"/>
      </w:pPr>
      <w:r>
        <w:t xml:space="preserve">1.​ 灵序智能示例用于验证报告结构、项目包拆解、国内平台适配和四格式生成能力。</w:t>
      </w:r>
    </w:p>
    <w:p>
      <w:pPr>
        <w:spacing w:before="0" w:after="90" w:line="300" w:lineRule="auto"/>
      </w:pPr>
      <w:r>
        <w:t xml:space="preserve">2.​ 90 天计划围绕页面技术、内容矩阵、标题体系、知识库、外部证据和监测闭环展开。</w:t>
      </w:r>
    </w:p>
    <w:p>
      <w:pPr>
        <w:spacing w:before="0" w:after="90" w:line="300" w:lineRule="auto"/>
      </w:pPr>
      <w:r>
        <w:t xml:space="preserve">3.​ 该示例不代表真实客户数据，所有指标均为匿名化测试口径。</w:t>
      </w:r>
    </w:p>
    <w:p>
      <w:pPr>
        <w:pStyle w:val="Heading1"/>
        <w:keepNext/>
        <w:spacing w:before="260" w:after="120" w:line="300" w:lineRule="auto"/>
      </w:pPr>
      <w:r>
        <w:t xml:space="preserve">诊断承接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4550"/>
        <w:gridCol w:w="5088"/>
      </w:tblGrid>
      <w:tr>
        <w:tc>
          <w:tcPr>
            <w:tcW w:w="45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诊断发现</w:t>
            </w:r>
          </w:p>
        </w:tc>
        <w:tc>
          <w:tcPr>
            <w:tcW w:w="50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实施转译</w:t>
            </w:r>
          </w:p>
        </w:tc>
      </w:tr>
      <w:tr>
        <w:tc>
          <w:tcPr>
            <w:tcW w:w="45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AI 答案能识别品牌名称，但缺少产品边界和证据来源。</w:t>
            </w:r>
          </w:p>
        </w:tc>
        <w:tc>
          <w:tcPr>
            <w:tcW w:w="5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先建设品牌事实页、产品线事实卡和来源台账。</w:t>
            </w:r>
          </w:p>
        </w:tc>
      </w:tr>
      <w:tr>
        <w:tc>
          <w:tcPr>
            <w:tcW w:w="45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高频购买问题缺少中文场景化答案。</w:t>
            </w:r>
          </w:p>
        </w:tc>
        <w:tc>
          <w:tcPr>
            <w:tcW w:w="5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围绕选型、价格、实施、案例和风险建立内容矩阵。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北极星指标</w:t>
      </w:r>
    </w:p>
    <w:p>
      <w:pPr>
        <w:pStyle w:val="Heading2"/>
        <w:keepNext/>
        <w:spacing w:before="120" w:after="120" w:line="300" w:lineRule="auto"/>
      </w:pPr>
      <w:r>
        <w:t xml:space="preserve">品牌推荐率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700"/>
        <w:gridCol w:w="7938"/>
      </w:tblGrid>
      <w:tr>
        <w:tc>
          <w:tcPr>
            <w:tcW w:w="17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基线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待采样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完成基线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60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提升 15%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90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提升 25%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增长负责人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被引用率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700"/>
        <w:gridCol w:w="7938"/>
      </w:tblGrid>
      <w:tr>
        <w:tc>
          <w:tcPr>
            <w:tcW w:w="17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基线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可引用来源不足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来源台账上线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60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核心断言 80% 有来源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90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核心断言 95% 有来源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内容负责人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答案准确率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700"/>
        <w:gridCol w:w="7938"/>
      </w:tblGrid>
      <w:tr>
        <w:tc>
          <w:tcPr>
            <w:tcW w:w="17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基线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待采样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30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建立事实卡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60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错误率低于 15%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90 天目标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错误率低于 8%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客户交付负责人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六个项目包</w:t>
      </w:r>
    </w:p>
    <w:p>
      <w:pPr>
        <w:pStyle w:val="Heading2"/>
        <w:keepNext/>
        <w:spacing w:before="160" w:after="120" w:line="300" w:lineRule="auto"/>
      </w:pPr>
      <w:r>
        <w:t xml:space="preserve">页面技术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提升核心页面可抓取、可理解和可抽取能力。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官网页面；产品资料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技术负责人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事实页；FAQ Schema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核心断言有来源；页面无排版溢出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知识库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上线品牌事实页</w:t>
              <w:br/>
              <w:t xml:space="preserve">步骤：整理事实卡；添加来源链接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技术负责人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品牌事实页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事实卡不少于 10 条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补充 FAQ 结构化数据</w:t>
              <w:br/>
              <w:t xml:space="preserve">步骤：抽取高频问题；发布 FAQ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技术负责人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FAQ Schema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20 个 FAQ 上线</w:t>
            </w:r>
          </w:p>
        </w:tc>
      </w:tr>
    </w:tbl>
    <w:p>
      <w:pPr>
        <w:pStyle w:val="Heading2"/>
        <w:keepNext/>
        <w:spacing w:before="160" w:after="120" w:line="300" w:lineRule="auto"/>
      </w:pPr>
      <w:r>
        <w:t xml:space="preserve">内容矩阵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覆盖核心购买问题和场景答案。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问题库；销售记录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内容负责人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场景页；对比页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核心问题覆盖率 80%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标题体系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建立问题库</w:t>
              <w:br/>
              <w:t xml:space="preserve">步骤：聚类问题；标记优先级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问题库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60 题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生产场景页</w:t>
              <w:br/>
              <w:t xml:space="preserve">步骤：撰写答案；绑定来源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场景页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上线 12 篇</w:t>
            </w:r>
          </w:p>
        </w:tc>
      </w:tr>
    </w:tbl>
    <w:p>
      <w:pPr>
        <w:pStyle w:val="Heading2"/>
        <w:keepNext/>
        <w:spacing w:before="160" w:after="120" w:line="300" w:lineRule="auto"/>
      </w:pPr>
      <w:r>
        <w:t xml:space="preserve">标题体系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提升标题与自然问法的匹配度。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问题库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编辑负责人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标题库；H1/​H2 规范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每个核心问题至少 2 个标题候选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内容矩阵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制定标题规范</w:t>
              <w:br/>
              <w:t xml:space="preserve">步骤：提取问法；生成标题候选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编辑负责人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标题规范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100 条标题候选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改写核心页面标题</w:t>
              <w:br/>
              <w:t xml:space="preserve">步骤：改写 H1/​H2；移动端检查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编辑负责人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标题改造清单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20 个页面完成</w:t>
            </w:r>
          </w:p>
        </w:tc>
      </w:tr>
    </w:tbl>
    <w:p>
      <w:pPr>
        <w:pStyle w:val="Heading2"/>
        <w:keepNext/>
        <w:spacing w:before="160" w:after="120" w:line="300" w:lineRule="auto"/>
      </w:pPr>
      <w:r>
        <w:t xml:space="preserve">知识库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建立品牌事实底座。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产品资料；客户案例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产品市场负责人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事实卡；术语表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事实卡 100% 标注来源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法务审核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建设事实卡</w:t>
              <w:br/>
              <w:t xml:space="preserve">步骤：整理事实；标注来源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产品市场负责人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事实卡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30 条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建设术语表</w:t>
              <w:br/>
              <w:t xml:space="preserve">步骤：统一产品词；统一行业词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产品市场负责人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术语表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50 个术语</w:t>
            </w:r>
          </w:p>
        </w:tc>
      </w:tr>
    </w:tbl>
    <w:p>
      <w:pPr>
        <w:pStyle w:val="Heading2"/>
        <w:keepNext/>
        <w:spacing w:before="160" w:after="120" w:line="300" w:lineRule="auto"/>
      </w:pPr>
      <w:r>
        <w:t xml:space="preserve">外部证据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补充第三方可信信号。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媒体稿；合作伙伴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PR 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信源清单；证据型内容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新增 10 个可信信源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客户授权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建立信源清单</w:t>
              <w:br/>
              <w:t xml:space="preserve">步骤：筛选来源；标记断言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PR 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信源清单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10 个来源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发布证据型内容</w:t>
              <w:br/>
              <w:t xml:space="preserve">步骤：撰写稿件；回链官网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PR 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证据内容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6 篇内容上线</w:t>
            </w:r>
          </w:p>
        </w:tc>
      </w:tr>
    </w:tbl>
    <w:p>
      <w:pPr>
        <w:pStyle w:val="Heading2"/>
        <w:keepNext/>
        <w:spacing w:before="160" w:after="120" w:line="300" w:lineRule="auto"/>
      </w:pPr>
      <w:r>
        <w:t xml:space="preserve">监测闭环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建立基线、复测和修复机制。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输入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问题库；采样表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负责人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数据负责人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交付物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采样表；复盘报告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90 天形成闭环复盘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依赖关系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平台账号</w:t>
            </w:r>
          </w:p>
        </w:tc>
      </w:tr>
    </w:tbl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3250"/>
        <w:gridCol w:w="1600"/>
        <w:gridCol w:w="2050"/>
        <w:gridCol w:w="2738"/>
      </w:tblGrid>
      <w:tr>
        <w:tc>
          <w:tcPr>
            <w:tcW w:w="32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任务与步骤</w:t>
            </w:r>
          </w:p>
        </w:tc>
        <w:tc>
          <w:tcPr>
            <w:tcW w:w="16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7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建立采样机制</w:t>
              <w:br/>
              <w:t xml:space="preserve">步骤：同题采样；记录字段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采样表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50 题三轮采样</w:t>
            </w:r>
          </w:p>
        </w:tc>
      </w:tr>
      <w:tr>
        <w:tc>
          <w:tcPr>
            <w:tcW w:w="32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建立复盘机制</w:t>
              <w:br/>
              <w:t xml:space="preserve">步骤：归因错误；回流 Backlog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客户交付负责人</w:t>
            </w:r>
          </w:p>
        </w:tc>
        <w:tc>
          <w:tcPr>
            <w:tcW w:w="20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复盘报告</w:t>
            </w:r>
          </w:p>
        </w:tc>
        <w:tc>
          <w:tcPr>
            <w:tcW w:w="27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每月复盘一次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90 天执行路线图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200"/>
        <w:gridCol w:w="1800"/>
        <w:gridCol w:w="2900"/>
        <w:gridCol w:w="1800"/>
        <w:gridCol w:w="1938"/>
      </w:tblGrid>
      <w:tr>
        <w:tc>
          <w:tcPr>
            <w:tcW w:w="12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阶段</w:t>
            </w:r>
          </w:p>
        </w:tc>
        <w:tc>
          <w:tcPr>
            <w:tcW w:w="18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目标</w:t>
            </w:r>
          </w:p>
        </w:tc>
        <w:tc>
          <w:tcPr>
            <w:tcW w:w="29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关键动作</w:t>
            </w:r>
          </w:p>
        </w:tc>
        <w:tc>
          <w:tcPr>
            <w:tcW w:w="18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19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验收口径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0-​30 天快赢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建立基线和事实底座。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完成采样；上线事实页；发布 FAQ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基线报告；事实页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50 题基线完成。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31-​60 天资产建设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批量补齐内容和知识库。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上线场景页；发布证据内容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内容矩阵；知识库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核心问题覆盖率 65%。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61-​90 天闭环优化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复测和修复。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二次复测；修复错误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复盘报告；下一轮计划</w:t>
            </w:r>
          </w:p>
        </w:tc>
        <w:tc>
          <w:tcPr>
            <w:tcW w:w="19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形成可复用闭环。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国内平台差异化动作</w:t>
      </w:r>
    </w:p>
    <w:p>
      <w:pPr>
        <w:pStyle w:val="Heading2"/>
        <w:keepNext/>
        <w:spacing w:before="120" w:after="120" w:line="300" w:lineRule="auto"/>
      </w:pPr>
      <w:r>
        <w:t xml:space="preserve">DeepSeek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执行重点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逻辑与证据链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选型；对比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具体动作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发布方法论页；建立证据链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资产要求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对比表；事实卡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答案能解释推荐理由。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风险提示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过期事实需复核。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豆包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执行重点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口语化问题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是什么；怎么用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具体动作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建设 FAQ；改写口语标题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资产要求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短问短答；场景页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口语问题覆盖率 80%。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风险提示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避免创作式夸大。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千问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执行重点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可追溯引用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官方来源；产品能力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具体动作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建立来源台账；补齐结构化数据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资产要求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来源台账；FAQ Schema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引用真实支持断言。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风险提示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引用需人工抽检。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Kimi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执行重点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长文本研究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深度研究；方案设计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具体动作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整理长文知识库；前置事实摘要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资产要求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资料包；术语表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关键事实不遗漏。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风险提示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避免信息埋在长文中部。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元宝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执行重点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微信生态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目标问题簇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中文介绍；案例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具体动作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建设公众号专题；官网回链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资产要求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公众号文章；视频号摘要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验收指标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Top 30 问题有微信内容承接。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风险提示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避免微信内容孤岛。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角色分工与验收指标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300"/>
        <w:gridCol w:w="1700"/>
        <w:gridCol w:w="2200"/>
        <w:gridCol w:w="2100"/>
        <w:gridCol w:w="2338"/>
      </w:tblGrid>
      <w:tr>
        <w:tc>
          <w:tcPr>
            <w:tcW w:w="13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项目包</w:t>
            </w:r>
          </w:p>
        </w:tc>
        <w:tc>
          <w:tcPr>
            <w:tcW w:w="17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责任角色</w:t>
            </w:r>
          </w:p>
        </w:tc>
        <w:tc>
          <w:tcPr>
            <w:tcW w:w="22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任务</w:t>
            </w:r>
          </w:p>
        </w:tc>
        <w:tc>
          <w:tcPr>
            <w:tcW w:w="21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交付物</w:t>
            </w:r>
          </w:p>
        </w:tc>
        <w:tc>
          <w:tcPr>
            <w:tcW w:w="23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页面技术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技术负责人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上线品牌事实页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品牌事实页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事实卡不少于 10 条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页面技术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技术负责人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补充 FAQ 结构化数据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FAQ Schema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20 个 FAQ 上线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内容矩阵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建立问题库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问题库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60 题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内容矩阵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生产场景页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场景页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上线 12 篇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标题体系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编辑负责人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制定标题规范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标题规范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100 条标题候选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标题体系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编辑负责人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改写核心页面标题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标题改造清单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20 个页面完成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知识库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产品市场负责人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建设事实卡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事实卡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30 条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知识库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产品市场负责人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建设术语表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术语表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不少于 50 个术语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外部证据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PR 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建立信源清单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信源清单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10 个来源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外部证据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PR 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发布证据型内容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证据内容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6 篇内容上线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监测闭环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建立采样机制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采样表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50 题三轮采样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监测闭环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客户交付负责人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建立复盘机制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复盘报告</w:t>
            </w:r>
          </w:p>
        </w:tc>
        <w:tc>
          <w:tcPr>
            <w:tcW w:w="23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每月复盘一次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监测闭环计划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450"/>
        <w:gridCol w:w="4200"/>
        <w:gridCol w:w="1450"/>
        <w:gridCol w:w="2538"/>
      </w:tblGrid>
      <w:tr>
        <w:tc>
          <w:tcPr>
            <w:tcW w:w="14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监测项</w:t>
            </w:r>
          </w:p>
        </w:tc>
        <w:tc>
          <w:tcPr>
            <w:tcW w:w="42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方法与频率</w:t>
            </w:r>
          </w:p>
        </w:tc>
        <w:tc>
          <w:tcPr>
            <w:tcW w:w="14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53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同题采样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五平台 50 题三轮采样。</w:t>
              <w:br/>
              <w:t xml:space="preserve">频率：第 1、45、90 天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  <w:tc>
          <w:tcPr>
            <w:tcW w:w="25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字段完整率 95%。</w:t>
            </w:r>
          </w:p>
        </w:tc>
      </w:tr>
      <w:tr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错误复核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对照来源台账检查事实。</w:t>
              <w:br/>
              <w:t xml:space="preserve">频率：每两周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客户交付负责人</w:t>
            </w:r>
          </w:p>
        </w:tc>
        <w:tc>
          <w:tcPr>
            <w:tcW w:w="253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Top 10 错误进入 Backlog。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风险预案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2500"/>
        <w:gridCol w:w="3700"/>
        <w:gridCol w:w="1350"/>
        <w:gridCol w:w="2088"/>
      </w:tblGrid>
      <w:tr>
        <w:tc>
          <w:tcPr>
            <w:tcW w:w="25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风险与触发</w:t>
            </w:r>
          </w:p>
        </w:tc>
        <w:tc>
          <w:tcPr>
            <w:tcW w:w="370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预案</w:t>
            </w:r>
          </w:p>
        </w:tc>
        <w:tc>
          <w:tcPr>
            <w:tcW w:w="13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负责人</w:t>
            </w:r>
          </w:p>
        </w:tc>
        <w:tc>
          <w:tcPr>
            <w:tcW w:w="20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6"/>
                <w:szCs w:val="16"/>
              </w:rPr>
              <w:t xml:space="preserve">验收指标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事实错误</w:t>
              <w:br/>
              <w:t xml:space="preserve">触发：AI 答案误写产品能力。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事实卡和来源复核。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产品市场负责人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错误率低于 8%。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引用缺失</w:t>
              <w:br/>
              <w:t xml:space="preserve">触发：答案无来源或来源不支持断言。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绑定来源台账。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内容负责人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核心断言 90% 有来源。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平台波动</w:t>
              <w:br/>
              <w:t xml:space="preserve">触发：同题结果变化大。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三轮采样并记录元数据。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数据负责人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6"/>
                <w:szCs w:val="16"/>
              </w:rPr>
              <w:t xml:space="preserve">报告标注波动范围。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来源台账</w:t>
      </w:r>
    </w:p>
    <w:p>
      <w:pPr>
        <w:pStyle w:val="Heading2"/>
        <w:keepNext/>
        <w:spacing w:before="120" w:after="120" w:line="300" w:lineRule="auto"/>
      </w:pPr>
      <w:r>
        <w:t xml:space="preserve">D-​001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匿名化示例诊断摘要。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内部测试输入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https:​/​/​example.​com/​</w:t>
            </w:r>
          </w:p>
        </w:tc>
      </w:tr>
    </w:tbl>
    <w:p>
      <w:pPr>
        <w:pStyle w:val="Heading2"/>
        <w:keepNext/>
        <w:spacing w:before="120" w:after="120" w:line="300" w:lineRule="auto"/>
      </w:pPr>
      <w:r>
        <w:t xml:space="preserve">R-​001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支持断言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RAG 支持可检索知识资产建设。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来源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Lewis et al.​, RAG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https:​/​/​arxiv.​org/​abs/​2005.​11401</w:t>
            </w:r>
          </w:p>
        </w:tc>
      </w:tr>
    </w:tbl>
    <w:p>
      <w:pPr>
        <w:pStyle w:val="Heading1"/>
        <w:keepNext/>
        <w:spacing w:before="260" w:after="120" w:line="300" w:lineRule="auto"/>
      </w:pPr>
      <w:r>
        <w:t xml:space="preserve">自检记录</w:t>
      </w:r>
    </w:p>
    <w:tbl>
      <w:tblPr>
        <w:tblW w:w="9638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9DEE8"/>
          <w:left w:val="single" w:sz="4" w:color="D9DEE8"/>
          <w:bottom w:val="single" w:sz="4" w:color="D9DEE8"/>
          <w:right w:val="single" w:sz="4" w:color="D9DEE8"/>
          <w:insideH w:val="single" w:sz="4" w:color="D9DEE8"/>
          <w:insideV w:val="single" w:sz="4" w:color="D9DEE8"/>
        </w:tblBorders>
      </w:tblPr>
      <w:tblGrid>
        <w:gridCol w:w="1650"/>
        <w:gridCol w:w="7988"/>
      </w:tblGrid>
      <w:tr>
        <w:tc>
          <w:tcPr>
            <w:tcW w:w="1650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7988" w:type="dxa"/>
            <w:shd w:fill="F6F8FB"/>
            <w:vAlign w:val="center"/>
          </w:tcPr>
          <w:p>
            <w:pPr>
              <w:spacing w:before="0" w:after="60" w:line="280" w:lineRule="auto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四格式文件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生成后由 quality-​report.​json 复核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平台覆盖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DeepSeek、豆包、千问、Kimi、元宝均有差异动作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项目包覆盖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页面技术、内容矩阵、标题体系、知识库、外部证据、监测闭环均有任务和验收指标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承诺边界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不承诺平台必定引用，只提升可发现性、可验证性和可抽取性</w:t>
            </w:r>
          </w:p>
        </w:tc>
      </w:tr>
      <w:tr>
        <w:tc>
          <w:tcPr>
            <w:tcW w:w="1650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Word 排版</w:t>
            </w:r>
          </w:p>
        </w:tc>
        <w:tc>
          <w:tcPr>
            <w:tcW w:w="7988" w:type="dxa"/>
            <w:vAlign w:val="center"/>
          </w:tcPr>
          <w:p>
            <w:pPr>
              <w:spacing w:before="0" w:after="60" w:line="280" w:lineRule="auto"/>
            </w:pPr>
            <w:r>
              <w:rPr>
                <w:sz w:val="17"/>
                <w:szCs w:val="17"/>
              </w:rPr>
              <w:t xml:space="preserve">使用固定页宽、固定列宽、固定表格布局和分组窄表，避免宽表向右溢出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eastAsia="宋体"/>
      <w:sz w:val="21"/>
    </w:rPr>
  </w:style>
  <w:style w:type="paragraph" w:styleId="Title">
    <w:name w:val="Title"/>
    <w:basedOn w:val="Normal"/>
    <w:rPr>
      <w:b/>
      <w:rFonts w:ascii="Times New Roman" w:eastAsia="黑体"/>
      <w:sz w:val="36"/>
    </w:rPr>
  </w:style>
  <w:style w:type="paragraph" w:styleId="Heading1">
    <w:name w:val="heading 1"/>
    <w:basedOn w:val="Normal"/>
    <w:rPr>
      <w:b/>
      <w:rFonts w:ascii="Times New Roman" w:eastAsia="黑体"/>
      <w:sz w:val="28"/>
    </w:rPr>
  </w:style>
  <w:style w:type="paragraph" w:styleId="Heading2">
    <w:name w:val="heading 2"/>
    <w:basedOn w:val="Normal"/>
    <w:rPr>
      <w:b/>
      <w:rFonts w:ascii="Times New Roman" w:eastAsia="黑体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