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44"/>
        </w:rPr>
        <w:t>增冲鼓楼破损检测单案例实验报告</w:t>
      </w:r>
    </w:p>
    <w:p/>
    <w:p>
      <w:pPr>
        <w:spacing w:line="360" w:lineRule="auto" w:before="240" w:after="80"/>
      </w:pPr>
      <w:r>
        <w:rPr>
          <w:rFonts w:ascii="Times New Roman" w:hAnsi="Times New Roman" w:eastAsia="宋体"/>
          <w:b/>
          <w:sz w:val="30"/>
        </w:rPr>
        <w:t>一、实验目的</w:t>
      </w:r>
    </w:p>
    <w:p>
      <w:pPr>
        <w:spacing w:line="360" w:lineRule="auto" w:after="40"/>
        <w:ind w:firstLine="480"/>
      </w:pPr>
      <w:r>
        <w:rPr>
          <w:rFonts w:ascii="Times New Roman" w:hAnsi="Times New Roman" w:eastAsia="宋体"/>
          <w:b w:val="0"/>
          <w:sz w:val="24"/>
        </w:rPr>
        <w:t>本实验以增冲鼓楼为单案例对象，基于已完成的人工标注样本训练YOLOv8n破损检测模型。实验重点为检验统一参数条件下模型在该鼓楼测试集上的检测效果，并为后续三鼓楼融合对比提供可复核的单案例结果。</w:t>
      </w:r>
    </w:p>
    <w:p>
      <w:pPr>
        <w:spacing w:line="360" w:lineRule="auto" w:before="240" w:after="80"/>
      </w:pPr>
      <w:r>
        <w:rPr>
          <w:rFonts w:ascii="Times New Roman" w:hAnsi="Times New Roman" w:eastAsia="宋体"/>
          <w:b/>
          <w:sz w:val="30"/>
        </w:rPr>
        <w:t>二、数据集构建</w:t>
      </w:r>
    </w:p>
    <w:p>
      <w:pPr>
        <w:spacing w:line="360" w:lineRule="auto" w:after="40"/>
        <w:ind w:firstLine="480"/>
      </w:pPr>
      <w:r>
        <w:rPr>
          <w:rFonts w:ascii="Times New Roman" w:hAnsi="Times New Roman" w:eastAsia="宋体"/>
          <w:b w:val="0"/>
          <w:sz w:val="24"/>
        </w:rPr>
        <w:t>增冲鼓楼数据集由无人机影像抽帧样本构成，标注类别统一为damage。正样本为人工确认并完成矩形框标注的破损图像，负样本为人工复核后未见明显破损的图像，负样本以空YOLO标签文件参与训练。该处理方式体现了病害识别研究中对数据清洗和人工复核的重视原则，有助于模型同时学习破损区域与无破损背景的差异，从而降低复杂木构纹理、阴影和瓦面边缘条件下的误检风险。</w:t>
      </w:r>
    </w:p>
    <w:p>
      <w:pPr>
        <w:jc w:val="center"/>
      </w:pPr>
      <w:r>
        <w:rPr>
          <w:rFonts w:ascii="Times New Roman" w:hAnsi="Times New Roman" w:eastAsia="宋体"/>
          <w:b/>
          <w:sz w:val="21"/>
        </w:rPr>
        <w:t>表1数据集总体统计</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rFonts w:ascii="Times New Roman" w:hAnsi="Times New Roman" w:eastAsia="宋体"/>
                <w:b/>
                <w:sz w:val="21"/>
              </w:rPr>
              <w:t>数据集</w:t>
            </w:r>
          </w:p>
        </w:tc>
        <w:tc>
          <w:tcPr>
            <w:tcW w:type="dxa" w:w="1383"/>
          </w:tcPr>
          <w:p>
            <w:pPr>
              <w:jc w:val="center"/>
            </w:pPr>
            <w:r/>
            <w:r>
              <w:rPr>
                <w:rFonts w:ascii="Times New Roman" w:hAnsi="Times New Roman" w:eastAsia="宋体"/>
                <w:b/>
                <w:sz w:val="21"/>
              </w:rPr>
              <w:t>图像数</w:t>
            </w:r>
          </w:p>
        </w:tc>
        <w:tc>
          <w:tcPr>
            <w:tcW w:type="dxa" w:w="1383"/>
          </w:tcPr>
          <w:p>
            <w:pPr>
              <w:jc w:val="center"/>
            </w:pPr>
            <w:r/>
            <w:r>
              <w:rPr>
                <w:rFonts w:ascii="Times New Roman" w:hAnsi="Times New Roman" w:eastAsia="宋体"/>
                <w:b/>
                <w:sz w:val="21"/>
              </w:rPr>
              <w:t>正样本</w:t>
            </w:r>
          </w:p>
        </w:tc>
        <w:tc>
          <w:tcPr>
            <w:tcW w:type="dxa" w:w="1383"/>
          </w:tcPr>
          <w:p>
            <w:pPr>
              <w:jc w:val="center"/>
            </w:pPr>
            <w:r/>
            <w:r>
              <w:rPr>
                <w:rFonts w:ascii="Times New Roman" w:hAnsi="Times New Roman" w:eastAsia="宋体"/>
                <w:b/>
                <w:sz w:val="21"/>
              </w:rPr>
              <w:t>负样本</w:t>
            </w:r>
          </w:p>
        </w:tc>
        <w:tc>
          <w:tcPr>
            <w:tcW w:type="dxa" w:w="1383"/>
          </w:tcPr>
          <w:p>
            <w:pPr>
              <w:jc w:val="center"/>
            </w:pPr>
            <w:r/>
            <w:r>
              <w:rPr>
                <w:rFonts w:ascii="Times New Roman" w:hAnsi="Times New Roman" w:eastAsia="宋体"/>
                <w:b/>
                <w:sz w:val="21"/>
              </w:rPr>
              <w:t>标注框数</w:t>
            </w:r>
          </w:p>
        </w:tc>
        <w:tc>
          <w:tcPr>
            <w:tcW w:type="dxa" w:w="1383"/>
          </w:tcPr>
          <w:p>
            <w:pPr>
              <w:jc w:val="center"/>
            </w:pPr>
            <w:r/>
            <w:r>
              <w:rPr>
                <w:rFonts w:ascii="Times New Roman" w:hAnsi="Times New Roman" w:eastAsia="宋体"/>
                <w:b/>
                <w:sz w:val="21"/>
              </w:rPr>
              <w:t>正样本比例</w:t>
            </w:r>
          </w:p>
        </w:tc>
      </w:tr>
      <w:tr>
        <w:tc>
          <w:tcPr>
            <w:tcW w:type="dxa" w:w="1383"/>
          </w:tcPr>
          <w:p>
            <w:pPr>
              <w:jc w:val="center"/>
            </w:pPr>
            <w:r/>
            <w:r>
              <w:rPr>
                <w:rFonts w:ascii="Times New Roman" w:hAnsi="Times New Roman" w:eastAsia="宋体"/>
                <w:b w:val="0"/>
                <w:sz w:val="19"/>
              </w:rPr>
              <w:t>增冲鼓楼</w:t>
            </w:r>
          </w:p>
        </w:tc>
        <w:tc>
          <w:tcPr>
            <w:tcW w:type="dxa" w:w="1383"/>
          </w:tcPr>
          <w:p>
            <w:pPr>
              <w:jc w:val="center"/>
            </w:pPr>
            <w:r/>
            <w:r>
              <w:rPr>
                <w:rFonts w:ascii="Times New Roman" w:hAnsi="Times New Roman" w:eastAsia="宋体"/>
                <w:b w:val="0"/>
                <w:sz w:val="19"/>
              </w:rPr>
              <w:t>236</w:t>
            </w:r>
          </w:p>
        </w:tc>
        <w:tc>
          <w:tcPr>
            <w:tcW w:type="dxa" w:w="1383"/>
          </w:tcPr>
          <w:p>
            <w:pPr>
              <w:jc w:val="center"/>
            </w:pPr>
            <w:r/>
            <w:r>
              <w:rPr>
                <w:rFonts w:ascii="Times New Roman" w:hAnsi="Times New Roman" w:eastAsia="宋体"/>
                <w:b w:val="0"/>
                <w:sz w:val="19"/>
              </w:rPr>
              <w:t>170</w:t>
            </w:r>
          </w:p>
        </w:tc>
        <w:tc>
          <w:tcPr>
            <w:tcW w:type="dxa" w:w="1383"/>
          </w:tcPr>
          <w:p>
            <w:pPr>
              <w:jc w:val="center"/>
            </w:pPr>
            <w:r/>
            <w:r>
              <w:rPr>
                <w:rFonts w:ascii="Times New Roman" w:hAnsi="Times New Roman" w:eastAsia="宋体"/>
                <w:b w:val="0"/>
                <w:sz w:val="19"/>
              </w:rPr>
              <w:t>66</w:t>
            </w:r>
          </w:p>
        </w:tc>
        <w:tc>
          <w:tcPr>
            <w:tcW w:type="dxa" w:w="1383"/>
          </w:tcPr>
          <w:p>
            <w:pPr>
              <w:jc w:val="center"/>
            </w:pPr>
            <w:r/>
            <w:r>
              <w:rPr>
                <w:rFonts w:ascii="Times New Roman" w:hAnsi="Times New Roman" w:eastAsia="宋体"/>
                <w:b w:val="0"/>
                <w:sz w:val="19"/>
              </w:rPr>
              <w:t>735</w:t>
            </w:r>
          </w:p>
        </w:tc>
        <w:tc>
          <w:tcPr>
            <w:tcW w:type="dxa" w:w="1383"/>
          </w:tcPr>
          <w:p>
            <w:pPr>
              <w:jc w:val="center"/>
            </w:pPr>
            <w:r/>
            <w:r>
              <w:rPr>
                <w:rFonts w:ascii="Times New Roman" w:hAnsi="Times New Roman" w:eastAsia="宋体"/>
                <w:b w:val="0"/>
                <w:sz w:val="19"/>
              </w:rPr>
              <w:t>72.03%</w:t>
            </w:r>
          </w:p>
        </w:tc>
      </w:tr>
    </w:tbl>
    <w:p/>
    <w:p>
      <w:pPr>
        <w:jc w:val="center"/>
      </w:pPr>
      <w:r>
        <w:rPr>
          <w:rFonts w:ascii="Times New Roman" w:hAnsi="Times New Roman" w:eastAsia="宋体"/>
          <w:b/>
          <w:sz w:val="21"/>
        </w:rPr>
        <w:t>表2数据集划分统计</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划分</w:t>
            </w:r>
          </w:p>
        </w:tc>
        <w:tc>
          <w:tcPr>
            <w:tcW w:type="dxa" w:w="1660"/>
          </w:tcPr>
          <w:p>
            <w:pPr>
              <w:jc w:val="center"/>
            </w:pPr>
            <w:r/>
            <w:r>
              <w:rPr>
                <w:rFonts w:ascii="Times New Roman" w:hAnsi="Times New Roman" w:eastAsia="宋体"/>
                <w:b/>
                <w:sz w:val="21"/>
              </w:rPr>
              <w:t>图像数</w:t>
            </w:r>
          </w:p>
        </w:tc>
        <w:tc>
          <w:tcPr>
            <w:tcW w:type="dxa" w:w="1660"/>
          </w:tcPr>
          <w:p>
            <w:pPr>
              <w:jc w:val="center"/>
            </w:pPr>
            <w:r/>
            <w:r>
              <w:rPr>
                <w:rFonts w:ascii="Times New Roman" w:hAnsi="Times New Roman" w:eastAsia="宋体"/>
                <w:b/>
                <w:sz w:val="21"/>
              </w:rPr>
              <w:t>正样本</w:t>
            </w:r>
          </w:p>
        </w:tc>
        <w:tc>
          <w:tcPr>
            <w:tcW w:type="dxa" w:w="1660"/>
          </w:tcPr>
          <w:p>
            <w:pPr>
              <w:jc w:val="center"/>
            </w:pPr>
            <w:r/>
            <w:r>
              <w:rPr>
                <w:rFonts w:ascii="Times New Roman" w:hAnsi="Times New Roman" w:eastAsia="宋体"/>
                <w:b/>
                <w:sz w:val="21"/>
              </w:rPr>
              <w:t>负样本</w:t>
            </w:r>
          </w:p>
        </w:tc>
        <w:tc>
          <w:tcPr>
            <w:tcW w:type="dxa" w:w="1660"/>
          </w:tcPr>
          <w:p>
            <w:pPr>
              <w:jc w:val="center"/>
            </w:pPr>
            <w:r/>
            <w:r>
              <w:rPr>
                <w:rFonts w:ascii="Times New Roman" w:hAnsi="Times New Roman" w:eastAsia="宋体"/>
                <w:b/>
                <w:sz w:val="21"/>
              </w:rPr>
              <w:t>标注框数</w:t>
            </w:r>
          </w:p>
        </w:tc>
      </w:tr>
      <w:tr>
        <w:tc>
          <w:tcPr>
            <w:tcW w:type="dxa" w:w="1660"/>
          </w:tcPr>
          <w:p>
            <w:pPr>
              <w:jc w:val="center"/>
            </w:pPr>
            <w:r/>
            <w:r>
              <w:rPr>
                <w:rFonts w:ascii="Times New Roman" w:hAnsi="Times New Roman" w:eastAsia="宋体"/>
                <w:b w:val="0"/>
                <w:sz w:val="19"/>
              </w:rPr>
              <w:t>train</w:t>
            </w:r>
          </w:p>
        </w:tc>
        <w:tc>
          <w:tcPr>
            <w:tcW w:type="dxa" w:w="1660"/>
          </w:tcPr>
          <w:p>
            <w:pPr>
              <w:jc w:val="center"/>
            </w:pPr>
            <w:r/>
            <w:r>
              <w:rPr>
                <w:rFonts w:ascii="Times New Roman" w:hAnsi="Times New Roman" w:eastAsia="宋体"/>
                <w:b w:val="0"/>
                <w:sz w:val="19"/>
              </w:rPr>
              <w:t>180</w:t>
            </w:r>
          </w:p>
        </w:tc>
        <w:tc>
          <w:tcPr>
            <w:tcW w:type="dxa" w:w="1660"/>
          </w:tcPr>
          <w:p>
            <w:pPr>
              <w:jc w:val="center"/>
            </w:pPr>
            <w:r/>
            <w:r>
              <w:rPr>
                <w:rFonts w:ascii="Times New Roman" w:hAnsi="Times New Roman" w:eastAsia="宋体"/>
                <w:b w:val="0"/>
                <w:sz w:val="19"/>
              </w:rPr>
              <w:t>132</w:t>
            </w:r>
          </w:p>
        </w:tc>
        <w:tc>
          <w:tcPr>
            <w:tcW w:type="dxa" w:w="1660"/>
          </w:tcPr>
          <w:p>
            <w:pPr>
              <w:jc w:val="center"/>
            </w:pPr>
            <w:r/>
            <w:r>
              <w:rPr>
                <w:rFonts w:ascii="Times New Roman" w:hAnsi="Times New Roman" w:eastAsia="宋体"/>
                <w:b w:val="0"/>
                <w:sz w:val="19"/>
              </w:rPr>
              <w:t>48</w:t>
            </w:r>
          </w:p>
        </w:tc>
        <w:tc>
          <w:tcPr>
            <w:tcW w:type="dxa" w:w="1660"/>
          </w:tcPr>
          <w:p>
            <w:pPr>
              <w:jc w:val="center"/>
            </w:pPr>
            <w:r/>
            <w:r>
              <w:rPr>
                <w:rFonts w:ascii="Times New Roman" w:hAnsi="Times New Roman" w:eastAsia="宋体"/>
                <w:b w:val="0"/>
                <w:sz w:val="19"/>
              </w:rPr>
              <w:t>572</w:t>
            </w:r>
          </w:p>
        </w:tc>
      </w:tr>
      <w:tr>
        <w:tc>
          <w:tcPr>
            <w:tcW w:type="dxa" w:w="1660"/>
          </w:tcPr>
          <w:p>
            <w:pPr>
              <w:jc w:val="center"/>
            </w:pPr>
            <w:r/>
            <w:r>
              <w:rPr>
                <w:rFonts w:ascii="Times New Roman" w:hAnsi="Times New Roman" w:eastAsia="宋体"/>
                <w:b w:val="0"/>
                <w:sz w:val="19"/>
              </w:rPr>
              <w:t>val</w:t>
            </w:r>
          </w:p>
        </w:tc>
        <w:tc>
          <w:tcPr>
            <w:tcW w:type="dxa" w:w="1660"/>
          </w:tcPr>
          <w:p>
            <w:pPr>
              <w:jc w:val="center"/>
            </w:pPr>
            <w:r/>
            <w:r>
              <w:rPr>
                <w:rFonts w:ascii="Times New Roman" w:hAnsi="Times New Roman" w:eastAsia="宋体"/>
                <w:b w:val="0"/>
                <w:sz w:val="19"/>
              </w:rPr>
              <w:t>30</w:t>
            </w:r>
          </w:p>
        </w:tc>
        <w:tc>
          <w:tcPr>
            <w:tcW w:type="dxa" w:w="1660"/>
          </w:tcPr>
          <w:p>
            <w:pPr>
              <w:jc w:val="center"/>
            </w:pPr>
            <w:r/>
            <w:r>
              <w:rPr>
                <w:rFonts w:ascii="Times New Roman" w:hAnsi="Times New Roman" w:eastAsia="宋体"/>
                <w:b w:val="0"/>
                <w:sz w:val="19"/>
              </w:rPr>
              <w:t>20</w:t>
            </w:r>
          </w:p>
        </w:tc>
        <w:tc>
          <w:tcPr>
            <w:tcW w:type="dxa" w:w="1660"/>
          </w:tcPr>
          <w:p>
            <w:pPr>
              <w:jc w:val="center"/>
            </w:pPr>
            <w:r/>
            <w:r>
              <w:rPr>
                <w:rFonts w:ascii="Times New Roman" w:hAnsi="Times New Roman" w:eastAsia="宋体"/>
                <w:b w:val="0"/>
                <w:sz w:val="19"/>
              </w:rPr>
              <w:t>10</w:t>
            </w:r>
          </w:p>
        </w:tc>
        <w:tc>
          <w:tcPr>
            <w:tcW w:type="dxa" w:w="1660"/>
          </w:tcPr>
          <w:p>
            <w:pPr>
              <w:jc w:val="center"/>
            </w:pPr>
            <w:r/>
            <w:r>
              <w:rPr>
                <w:rFonts w:ascii="Times New Roman" w:hAnsi="Times New Roman" w:eastAsia="宋体"/>
                <w:b w:val="0"/>
                <w:sz w:val="19"/>
              </w:rPr>
              <w:t>88</w:t>
            </w:r>
          </w:p>
        </w:tc>
      </w:tr>
      <w:tr>
        <w:tc>
          <w:tcPr>
            <w:tcW w:type="dxa" w:w="1660"/>
          </w:tcPr>
          <w:p>
            <w:pPr>
              <w:jc w:val="center"/>
            </w:pPr>
            <w:r/>
            <w:r>
              <w:rPr>
                <w:rFonts w:ascii="Times New Roman" w:hAnsi="Times New Roman" w:eastAsia="宋体"/>
                <w:b w:val="0"/>
                <w:sz w:val="19"/>
              </w:rPr>
              <w:t>test</w:t>
            </w:r>
          </w:p>
        </w:tc>
        <w:tc>
          <w:tcPr>
            <w:tcW w:type="dxa" w:w="1660"/>
          </w:tcPr>
          <w:p>
            <w:pPr>
              <w:jc w:val="center"/>
            </w:pPr>
            <w:r/>
            <w:r>
              <w:rPr>
                <w:rFonts w:ascii="Times New Roman" w:hAnsi="Times New Roman" w:eastAsia="宋体"/>
                <w:b w:val="0"/>
                <w:sz w:val="19"/>
              </w:rPr>
              <w:t>26</w:t>
            </w:r>
          </w:p>
        </w:tc>
        <w:tc>
          <w:tcPr>
            <w:tcW w:type="dxa" w:w="1660"/>
          </w:tcPr>
          <w:p>
            <w:pPr>
              <w:jc w:val="center"/>
            </w:pPr>
            <w:r/>
            <w:r>
              <w:rPr>
                <w:rFonts w:ascii="Times New Roman" w:hAnsi="Times New Roman" w:eastAsia="宋体"/>
                <w:b w:val="0"/>
                <w:sz w:val="19"/>
              </w:rPr>
              <w:t>18</w:t>
            </w:r>
          </w:p>
        </w:tc>
        <w:tc>
          <w:tcPr>
            <w:tcW w:type="dxa" w:w="1660"/>
          </w:tcPr>
          <w:p>
            <w:pPr>
              <w:jc w:val="center"/>
            </w:pPr>
            <w:r/>
            <w:r>
              <w:rPr>
                <w:rFonts w:ascii="Times New Roman" w:hAnsi="Times New Roman" w:eastAsia="宋体"/>
                <w:b w:val="0"/>
                <w:sz w:val="19"/>
              </w:rPr>
              <w:t>8</w:t>
            </w:r>
          </w:p>
        </w:tc>
        <w:tc>
          <w:tcPr>
            <w:tcW w:type="dxa" w:w="1660"/>
          </w:tcPr>
          <w:p>
            <w:pPr>
              <w:jc w:val="center"/>
            </w:pPr>
            <w:r/>
            <w:r>
              <w:rPr>
                <w:rFonts w:ascii="Times New Roman" w:hAnsi="Times New Roman" w:eastAsia="宋体"/>
                <w:b w:val="0"/>
                <w:sz w:val="19"/>
              </w:rPr>
              <w:t>75</w:t>
            </w:r>
          </w:p>
        </w:tc>
      </w:tr>
    </w:tbl>
    <w:p/>
    <w:p>
      <w:pPr>
        <w:spacing w:line="360" w:lineRule="auto" w:before="240" w:after="80"/>
      </w:pPr>
      <w:r>
        <w:rPr>
          <w:rFonts w:ascii="Times New Roman" w:hAnsi="Times New Roman" w:eastAsia="宋体"/>
          <w:b/>
          <w:sz w:val="30"/>
        </w:rPr>
        <w:t>三、实验方法</w:t>
      </w:r>
    </w:p>
    <w:p>
      <w:pPr>
        <w:spacing w:line="360" w:lineRule="auto" w:after="40"/>
        <w:ind w:firstLine="480"/>
      </w:pPr>
      <w:r>
        <w:rPr>
          <w:rFonts w:ascii="Times New Roman" w:hAnsi="Times New Roman" w:eastAsia="宋体"/>
          <w:b w:val="0"/>
          <w:sz w:val="24"/>
        </w:rPr>
        <w:t>本研究按照“数据采集—人工标注—模型训练—独立验证—结果讨论”的实验路线，建立面向鼓楼木构建筑破损识别的目标检测流程。考虑当前标注数据采用矩形框形式，本阶段选择YOLOv8n单阶段目标检测模型作为基础网络，重点评估其对可见破损区域的自动定位能力。模型由MS COCO预训练权重yolov8n.pt初始化，随后在对应鼓楼数据集上进行迁移训练。所有实验均保持输入尺寸、批大小、增强策略、早停机制和置信度阈值一致，以减少非数据因素对实验结果的影响。</w:t>
      </w:r>
    </w:p>
    <w:p>
      <w:pPr>
        <w:jc w:val="center"/>
      </w:pPr>
      <w:r>
        <w:rPr>
          <w:rFonts w:ascii="Times New Roman" w:hAnsi="Times New Roman" w:eastAsia="宋体"/>
          <w:b/>
          <w:sz w:val="21"/>
        </w:rPr>
        <w:t>表3实验流程设计</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Times New Roman" w:hAnsi="Times New Roman" w:eastAsia="宋体"/>
                <w:b/>
                <w:sz w:val="21"/>
              </w:rPr>
              <w:t>步骤</w:t>
            </w:r>
          </w:p>
        </w:tc>
        <w:tc>
          <w:tcPr>
            <w:tcW w:type="dxa" w:w="4150"/>
          </w:tcPr>
          <w:p>
            <w:pPr>
              <w:jc w:val="center"/>
            </w:pPr>
            <w:r/>
            <w:r>
              <w:rPr>
                <w:rFonts w:ascii="Times New Roman" w:hAnsi="Times New Roman" w:eastAsia="宋体"/>
                <w:b/>
                <w:sz w:val="21"/>
              </w:rPr>
              <w:t>处理内容</w:t>
            </w:r>
          </w:p>
        </w:tc>
      </w:tr>
      <w:tr>
        <w:tc>
          <w:tcPr>
            <w:tcW w:type="dxa" w:w="4150"/>
          </w:tcPr>
          <w:p>
            <w:pPr>
              <w:jc w:val="center"/>
            </w:pPr>
            <w:r/>
            <w:r>
              <w:rPr>
                <w:rFonts w:ascii="Times New Roman" w:hAnsi="Times New Roman" w:eastAsia="宋体"/>
                <w:b w:val="0"/>
                <w:sz w:val="19"/>
              </w:rPr>
              <w:t>影像样本整理</w:t>
            </w:r>
          </w:p>
        </w:tc>
        <w:tc>
          <w:tcPr>
            <w:tcW w:type="dxa" w:w="4150"/>
          </w:tcPr>
          <w:p>
            <w:pPr>
              <w:jc w:val="center"/>
            </w:pPr>
            <w:r/>
            <w:r>
              <w:rPr>
                <w:rFonts w:ascii="Times New Roman" w:hAnsi="Times New Roman" w:eastAsia="宋体"/>
                <w:b w:val="0"/>
                <w:sz w:val="19"/>
              </w:rPr>
              <w:t>从无人机影像中筛选有效图像样本，剔除明显模糊或不可判读样本</w:t>
            </w:r>
          </w:p>
        </w:tc>
      </w:tr>
      <w:tr>
        <w:tc>
          <w:tcPr>
            <w:tcW w:type="dxa" w:w="4150"/>
          </w:tcPr>
          <w:p>
            <w:pPr>
              <w:jc w:val="center"/>
            </w:pPr>
            <w:r/>
            <w:r>
              <w:rPr>
                <w:rFonts w:ascii="Times New Roman" w:hAnsi="Times New Roman" w:eastAsia="宋体"/>
                <w:b w:val="0"/>
                <w:sz w:val="19"/>
              </w:rPr>
              <w:t>人工标注</w:t>
            </w:r>
          </w:p>
        </w:tc>
        <w:tc>
          <w:tcPr>
            <w:tcW w:type="dxa" w:w="4150"/>
          </w:tcPr>
          <w:p>
            <w:pPr>
              <w:jc w:val="center"/>
            </w:pPr>
            <w:r/>
            <w:r>
              <w:rPr>
                <w:rFonts w:ascii="Times New Roman" w:hAnsi="Times New Roman" w:eastAsia="宋体"/>
                <w:b w:val="0"/>
                <w:sz w:val="19"/>
              </w:rPr>
              <w:t>采用统一damage类别标注可见破损区域，并补充经人工复核的负样本</w:t>
            </w:r>
          </w:p>
        </w:tc>
      </w:tr>
      <w:tr>
        <w:tc>
          <w:tcPr>
            <w:tcW w:type="dxa" w:w="4150"/>
          </w:tcPr>
          <w:p>
            <w:pPr>
              <w:jc w:val="center"/>
            </w:pPr>
            <w:r/>
            <w:r>
              <w:rPr>
                <w:rFonts w:ascii="Times New Roman" w:hAnsi="Times New Roman" w:eastAsia="宋体"/>
                <w:b w:val="0"/>
                <w:sz w:val="19"/>
              </w:rPr>
              <w:t>数据划分</w:t>
            </w:r>
          </w:p>
        </w:tc>
        <w:tc>
          <w:tcPr>
            <w:tcW w:type="dxa" w:w="4150"/>
          </w:tcPr>
          <w:p>
            <w:pPr>
              <w:jc w:val="center"/>
            </w:pPr>
            <w:r/>
            <w:r>
              <w:rPr>
                <w:rFonts w:ascii="Times New Roman" w:hAnsi="Times New Roman" w:eastAsia="宋体"/>
                <w:b w:val="0"/>
                <w:sz w:val="19"/>
              </w:rPr>
              <w:t>按训练集、验证集、测试集划分数据，测试集不参与模型训练</w:t>
            </w:r>
          </w:p>
        </w:tc>
      </w:tr>
      <w:tr>
        <w:tc>
          <w:tcPr>
            <w:tcW w:type="dxa" w:w="4150"/>
          </w:tcPr>
          <w:p>
            <w:pPr>
              <w:jc w:val="center"/>
            </w:pPr>
            <w:r/>
            <w:r>
              <w:rPr>
                <w:rFonts w:ascii="Times New Roman" w:hAnsi="Times New Roman" w:eastAsia="宋体"/>
                <w:b w:val="0"/>
                <w:sz w:val="19"/>
              </w:rPr>
              <w:t>模型训练</w:t>
            </w:r>
          </w:p>
        </w:tc>
        <w:tc>
          <w:tcPr>
            <w:tcW w:type="dxa" w:w="4150"/>
          </w:tcPr>
          <w:p>
            <w:pPr>
              <w:jc w:val="center"/>
            </w:pPr>
            <w:r/>
            <w:r>
              <w:rPr>
                <w:rFonts w:ascii="Times New Roman" w:hAnsi="Times New Roman" w:eastAsia="宋体"/>
                <w:b w:val="0"/>
                <w:sz w:val="19"/>
              </w:rPr>
              <w:t>使用统一YOLOv8n参数进行迁移训练，并由验证集性能确定最优权重</w:t>
            </w:r>
          </w:p>
        </w:tc>
      </w:tr>
      <w:tr>
        <w:tc>
          <w:tcPr>
            <w:tcW w:type="dxa" w:w="4150"/>
          </w:tcPr>
          <w:p>
            <w:pPr>
              <w:jc w:val="center"/>
            </w:pPr>
            <w:r/>
            <w:r>
              <w:rPr>
                <w:rFonts w:ascii="Times New Roman" w:hAnsi="Times New Roman" w:eastAsia="宋体"/>
                <w:b w:val="0"/>
                <w:sz w:val="19"/>
              </w:rPr>
              <w:t>独立评价</w:t>
            </w:r>
          </w:p>
        </w:tc>
        <w:tc>
          <w:tcPr>
            <w:tcW w:type="dxa" w:w="4150"/>
          </w:tcPr>
          <w:p>
            <w:pPr>
              <w:jc w:val="center"/>
            </w:pPr>
            <w:r/>
            <w:r>
              <w:rPr>
                <w:rFonts w:ascii="Times New Roman" w:hAnsi="Times New Roman" w:eastAsia="宋体"/>
                <w:b w:val="0"/>
                <w:sz w:val="19"/>
              </w:rPr>
              <w:t>在测试集上计算Precision、Recall、mAP50和mAP50-95</w:t>
            </w:r>
          </w:p>
        </w:tc>
      </w:tr>
    </w:tbl>
    <w:p/>
    <w:p>
      <w:pPr>
        <w:spacing w:line="360" w:lineRule="auto" w:before="240" w:after="80"/>
      </w:pPr>
      <w:r>
        <w:rPr>
          <w:rFonts w:ascii="Times New Roman" w:hAnsi="Times New Roman" w:eastAsia="宋体"/>
          <w:b/>
          <w:sz w:val="30"/>
        </w:rPr>
        <w:t>四、实验设置</w:t>
      </w:r>
    </w:p>
    <w:p>
      <w:pPr>
        <w:spacing w:line="360" w:lineRule="auto" w:after="40"/>
        <w:ind w:firstLine="480"/>
      </w:pPr>
      <w:r>
        <w:rPr>
          <w:rFonts w:ascii="Times New Roman" w:hAnsi="Times New Roman" w:eastAsia="宋体"/>
          <w:b w:val="0"/>
          <w:sz w:val="24"/>
        </w:rPr>
        <w:t>为保证三座鼓楼实验结果具有可比性，各单案例模型与三鼓楼通用模型均采用一致的训练参数。其中，通用模型以三座鼓楼合并数据集作为训练数据来源，单案例模型则分别使用对应鼓楼数据集进行训练。测试阶段统一使用各自独立测试集计算评价指标，测试集图像不参与模型训练和参数选择。</w:t>
      </w:r>
    </w:p>
    <w:p>
      <w:pPr>
        <w:jc w:val="center"/>
      </w:pPr>
      <w:r>
        <w:rPr>
          <w:rFonts w:ascii="Times New Roman" w:hAnsi="Times New Roman" w:eastAsia="宋体"/>
          <w:b/>
          <w:sz w:val="21"/>
        </w:rPr>
        <w:t>表4实验统一训练参数</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Times New Roman" w:hAnsi="Times New Roman" w:eastAsia="宋体"/>
                <w:b/>
                <w:sz w:val="21"/>
              </w:rPr>
              <w:t>参数</w:t>
            </w:r>
          </w:p>
        </w:tc>
        <w:tc>
          <w:tcPr>
            <w:tcW w:type="dxa" w:w="4150"/>
          </w:tcPr>
          <w:p>
            <w:pPr>
              <w:jc w:val="center"/>
            </w:pPr>
            <w:r/>
            <w:r>
              <w:rPr>
                <w:rFonts w:ascii="Times New Roman" w:hAnsi="Times New Roman" w:eastAsia="宋体"/>
                <w:b/>
                <w:sz w:val="21"/>
              </w:rPr>
              <w:t>配置</w:t>
            </w:r>
          </w:p>
        </w:tc>
      </w:tr>
      <w:tr>
        <w:tc>
          <w:tcPr>
            <w:tcW w:type="dxa" w:w="4150"/>
          </w:tcPr>
          <w:p>
            <w:pPr>
              <w:jc w:val="center"/>
            </w:pPr>
            <w:r/>
            <w:r>
              <w:rPr>
                <w:rFonts w:ascii="Times New Roman" w:hAnsi="Times New Roman" w:eastAsia="宋体"/>
                <w:b w:val="0"/>
                <w:sz w:val="19"/>
              </w:rPr>
              <w:t>检测任务</w:t>
            </w:r>
          </w:p>
        </w:tc>
        <w:tc>
          <w:tcPr>
            <w:tcW w:type="dxa" w:w="4150"/>
          </w:tcPr>
          <w:p>
            <w:pPr>
              <w:jc w:val="center"/>
            </w:pPr>
            <w:r/>
            <w:r>
              <w:rPr>
                <w:rFonts w:ascii="Times New Roman" w:hAnsi="Times New Roman" w:eastAsia="宋体"/>
                <w:b w:val="0"/>
                <w:sz w:val="19"/>
              </w:rPr>
              <w:t>单类别鼓楼破损目标检测</w:t>
            </w:r>
          </w:p>
        </w:tc>
      </w:tr>
      <w:tr>
        <w:tc>
          <w:tcPr>
            <w:tcW w:type="dxa" w:w="4150"/>
          </w:tcPr>
          <w:p>
            <w:pPr>
              <w:jc w:val="center"/>
            </w:pPr>
            <w:r/>
            <w:r>
              <w:rPr>
                <w:rFonts w:ascii="Times New Roman" w:hAnsi="Times New Roman" w:eastAsia="宋体"/>
                <w:b w:val="0"/>
                <w:sz w:val="19"/>
              </w:rPr>
              <w:t>基础模型</w:t>
            </w:r>
          </w:p>
        </w:tc>
        <w:tc>
          <w:tcPr>
            <w:tcW w:type="dxa" w:w="4150"/>
          </w:tcPr>
          <w:p>
            <w:pPr>
              <w:jc w:val="center"/>
            </w:pPr>
            <w:r/>
            <w:r>
              <w:rPr>
                <w:rFonts w:ascii="Times New Roman" w:hAnsi="Times New Roman" w:eastAsia="宋体"/>
                <w:b w:val="0"/>
                <w:sz w:val="19"/>
              </w:rPr>
              <w:t>YOLOv8n</w:t>
            </w:r>
          </w:p>
        </w:tc>
      </w:tr>
      <w:tr>
        <w:tc>
          <w:tcPr>
            <w:tcW w:type="dxa" w:w="4150"/>
          </w:tcPr>
          <w:p>
            <w:pPr>
              <w:jc w:val="center"/>
            </w:pPr>
            <w:r/>
            <w:r>
              <w:rPr>
                <w:rFonts w:ascii="Times New Roman" w:hAnsi="Times New Roman" w:eastAsia="宋体"/>
                <w:b w:val="0"/>
                <w:sz w:val="19"/>
              </w:rPr>
              <w:t>初始化权重</w:t>
            </w:r>
          </w:p>
        </w:tc>
        <w:tc>
          <w:tcPr>
            <w:tcW w:type="dxa" w:w="4150"/>
          </w:tcPr>
          <w:p>
            <w:pPr>
              <w:jc w:val="center"/>
            </w:pPr>
            <w:r/>
            <w:r>
              <w:rPr>
                <w:rFonts w:ascii="Times New Roman" w:hAnsi="Times New Roman" w:eastAsia="宋体"/>
                <w:b w:val="0"/>
                <w:sz w:val="19"/>
              </w:rPr>
              <w:t>yolov8n.pt</w:t>
            </w:r>
          </w:p>
        </w:tc>
      </w:tr>
      <w:tr>
        <w:tc>
          <w:tcPr>
            <w:tcW w:type="dxa" w:w="4150"/>
          </w:tcPr>
          <w:p>
            <w:pPr>
              <w:jc w:val="center"/>
            </w:pPr>
            <w:r/>
            <w:r>
              <w:rPr>
                <w:rFonts w:ascii="Times New Roman" w:hAnsi="Times New Roman" w:eastAsia="宋体"/>
                <w:b w:val="0"/>
                <w:sz w:val="19"/>
              </w:rPr>
              <w:t>标注类别</w:t>
            </w:r>
          </w:p>
        </w:tc>
        <w:tc>
          <w:tcPr>
            <w:tcW w:type="dxa" w:w="4150"/>
          </w:tcPr>
          <w:p>
            <w:pPr>
              <w:jc w:val="center"/>
            </w:pPr>
            <w:r/>
            <w:r>
              <w:rPr>
                <w:rFonts w:ascii="Times New Roman" w:hAnsi="Times New Roman" w:eastAsia="宋体"/>
                <w:b w:val="0"/>
                <w:sz w:val="19"/>
              </w:rPr>
              <w:t>damage</w:t>
            </w:r>
          </w:p>
        </w:tc>
      </w:tr>
      <w:tr>
        <w:tc>
          <w:tcPr>
            <w:tcW w:type="dxa" w:w="4150"/>
          </w:tcPr>
          <w:p>
            <w:pPr>
              <w:jc w:val="center"/>
            </w:pPr>
            <w:r/>
            <w:r>
              <w:rPr>
                <w:rFonts w:ascii="Times New Roman" w:hAnsi="Times New Roman" w:eastAsia="宋体"/>
                <w:b w:val="0"/>
                <w:sz w:val="19"/>
              </w:rPr>
              <w:t>输入尺寸</w:t>
            </w:r>
          </w:p>
        </w:tc>
        <w:tc>
          <w:tcPr>
            <w:tcW w:type="dxa" w:w="4150"/>
          </w:tcPr>
          <w:p>
            <w:pPr>
              <w:jc w:val="center"/>
            </w:pPr>
            <w:r/>
            <w:r>
              <w:rPr>
                <w:rFonts w:ascii="Times New Roman" w:hAnsi="Times New Roman" w:eastAsia="宋体"/>
                <w:b w:val="0"/>
                <w:sz w:val="19"/>
              </w:rPr>
              <w:t>640×640</w:t>
            </w:r>
          </w:p>
        </w:tc>
      </w:tr>
      <w:tr>
        <w:tc>
          <w:tcPr>
            <w:tcW w:type="dxa" w:w="4150"/>
          </w:tcPr>
          <w:p>
            <w:pPr>
              <w:jc w:val="center"/>
            </w:pPr>
            <w:r/>
            <w:r>
              <w:rPr>
                <w:rFonts w:ascii="Times New Roman" w:hAnsi="Times New Roman" w:eastAsia="宋体"/>
                <w:b w:val="0"/>
                <w:sz w:val="19"/>
              </w:rPr>
              <w:t>Batch size</w:t>
            </w:r>
          </w:p>
        </w:tc>
        <w:tc>
          <w:tcPr>
            <w:tcW w:type="dxa" w:w="4150"/>
          </w:tcPr>
          <w:p>
            <w:pPr>
              <w:jc w:val="center"/>
            </w:pPr>
            <w:r/>
            <w:r>
              <w:rPr>
                <w:rFonts w:ascii="Times New Roman" w:hAnsi="Times New Roman" w:eastAsia="宋体"/>
                <w:b w:val="0"/>
                <w:sz w:val="19"/>
              </w:rPr>
              <w:t>8</w:t>
            </w:r>
          </w:p>
        </w:tc>
      </w:tr>
      <w:tr>
        <w:tc>
          <w:tcPr>
            <w:tcW w:type="dxa" w:w="4150"/>
          </w:tcPr>
          <w:p>
            <w:pPr>
              <w:jc w:val="center"/>
            </w:pPr>
            <w:r/>
            <w:r>
              <w:rPr>
                <w:rFonts w:ascii="Times New Roman" w:hAnsi="Times New Roman" w:eastAsia="宋体"/>
                <w:b w:val="0"/>
                <w:sz w:val="19"/>
              </w:rPr>
              <w:t>最大训练轮数</w:t>
            </w:r>
          </w:p>
        </w:tc>
        <w:tc>
          <w:tcPr>
            <w:tcW w:type="dxa" w:w="4150"/>
          </w:tcPr>
          <w:p>
            <w:pPr>
              <w:jc w:val="center"/>
            </w:pPr>
            <w:r/>
            <w:r>
              <w:rPr>
                <w:rFonts w:ascii="Times New Roman" w:hAnsi="Times New Roman" w:eastAsia="宋体"/>
                <w:b w:val="0"/>
                <w:sz w:val="19"/>
              </w:rPr>
              <w:t>150</w:t>
            </w:r>
          </w:p>
        </w:tc>
      </w:tr>
      <w:tr>
        <w:tc>
          <w:tcPr>
            <w:tcW w:type="dxa" w:w="4150"/>
          </w:tcPr>
          <w:p>
            <w:pPr>
              <w:jc w:val="center"/>
            </w:pPr>
            <w:r/>
            <w:r>
              <w:rPr>
                <w:rFonts w:ascii="Times New Roman" w:hAnsi="Times New Roman" w:eastAsia="宋体"/>
                <w:b w:val="0"/>
                <w:sz w:val="19"/>
              </w:rPr>
              <w:t>早停耐心值</w:t>
            </w:r>
          </w:p>
        </w:tc>
        <w:tc>
          <w:tcPr>
            <w:tcW w:type="dxa" w:w="4150"/>
          </w:tcPr>
          <w:p>
            <w:pPr>
              <w:jc w:val="center"/>
            </w:pPr>
            <w:r/>
            <w:r>
              <w:rPr>
                <w:rFonts w:ascii="Times New Roman" w:hAnsi="Times New Roman" w:eastAsia="宋体"/>
                <w:b w:val="0"/>
                <w:sz w:val="19"/>
              </w:rPr>
              <w:t>30</w:t>
            </w:r>
          </w:p>
        </w:tc>
      </w:tr>
      <w:tr>
        <w:tc>
          <w:tcPr>
            <w:tcW w:type="dxa" w:w="4150"/>
          </w:tcPr>
          <w:p>
            <w:pPr>
              <w:jc w:val="center"/>
            </w:pPr>
            <w:r/>
            <w:r>
              <w:rPr>
                <w:rFonts w:ascii="Times New Roman" w:hAnsi="Times New Roman" w:eastAsia="宋体"/>
                <w:b w:val="0"/>
                <w:sz w:val="19"/>
              </w:rPr>
              <w:t>优化器</w:t>
            </w:r>
          </w:p>
        </w:tc>
        <w:tc>
          <w:tcPr>
            <w:tcW w:type="dxa" w:w="4150"/>
          </w:tcPr>
          <w:p>
            <w:pPr>
              <w:jc w:val="center"/>
            </w:pPr>
            <w:r/>
            <w:r>
              <w:rPr>
                <w:rFonts w:ascii="Times New Roman" w:hAnsi="Times New Roman" w:eastAsia="宋体"/>
                <w:b w:val="0"/>
                <w:sz w:val="19"/>
              </w:rPr>
              <w:t>auto(实际采用AdamW)</w:t>
            </w:r>
          </w:p>
        </w:tc>
      </w:tr>
      <w:tr>
        <w:tc>
          <w:tcPr>
            <w:tcW w:type="dxa" w:w="4150"/>
          </w:tcPr>
          <w:p>
            <w:pPr>
              <w:jc w:val="center"/>
            </w:pPr>
            <w:r/>
            <w:r>
              <w:rPr>
                <w:rFonts w:ascii="Times New Roman" w:hAnsi="Times New Roman" w:eastAsia="宋体"/>
                <w:b w:val="0"/>
                <w:sz w:val="19"/>
              </w:rPr>
              <w:t>学习率设置</w:t>
            </w:r>
          </w:p>
        </w:tc>
        <w:tc>
          <w:tcPr>
            <w:tcW w:type="dxa" w:w="4150"/>
          </w:tcPr>
          <w:p>
            <w:pPr>
              <w:jc w:val="center"/>
            </w:pPr>
            <w:r/>
            <w:r>
              <w:rPr>
                <w:rFonts w:ascii="Times New Roman" w:hAnsi="Times New Roman" w:eastAsia="宋体"/>
                <w:b w:val="0"/>
                <w:sz w:val="19"/>
              </w:rPr>
              <w:t>配置lr0=0.01、lrf=0.01；auto优化器按YOLO默认策略自动调整</w:t>
            </w:r>
          </w:p>
        </w:tc>
      </w:tr>
      <w:tr>
        <w:tc>
          <w:tcPr>
            <w:tcW w:type="dxa" w:w="4150"/>
          </w:tcPr>
          <w:p>
            <w:pPr>
              <w:jc w:val="center"/>
            </w:pPr>
            <w:r/>
            <w:r>
              <w:rPr>
                <w:rFonts w:ascii="Times New Roman" w:hAnsi="Times New Roman" w:eastAsia="宋体"/>
                <w:b w:val="0"/>
                <w:sz w:val="19"/>
              </w:rPr>
              <w:t>动量参数</w:t>
            </w:r>
          </w:p>
        </w:tc>
        <w:tc>
          <w:tcPr>
            <w:tcW w:type="dxa" w:w="4150"/>
          </w:tcPr>
          <w:p>
            <w:pPr>
              <w:jc w:val="center"/>
            </w:pPr>
            <w:r/>
            <w:r>
              <w:rPr>
                <w:rFonts w:ascii="Times New Roman" w:hAnsi="Times New Roman" w:eastAsia="宋体"/>
                <w:b w:val="0"/>
                <w:sz w:val="19"/>
              </w:rPr>
              <w:t>momentum=0.937</w:t>
            </w:r>
          </w:p>
        </w:tc>
      </w:tr>
      <w:tr>
        <w:tc>
          <w:tcPr>
            <w:tcW w:type="dxa" w:w="4150"/>
          </w:tcPr>
          <w:p>
            <w:pPr>
              <w:jc w:val="center"/>
            </w:pPr>
            <w:r/>
            <w:r>
              <w:rPr>
                <w:rFonts w:ascii="Times New Roman" w:hAnsi="Times New Roman" w:eastAsia="宋体"/>
                <w:b w:val="0"/>
                <w:sz w:val="19"/>
              </w:rPr>
              <w:t>权重衰减</w:t>
            </w:r>
          </w:p>
        </w:tc>
        <w:tc>
          <w:tcPr>
            <w:tcW w:type="dxa" w:w="4150"/>
          </w:tcPr>
          <w:p>
            <w:pPr>
              <w:jc w:val="center"/>
            </w:pPr>
            <w:r/>
            <w:r>
              <w:rPr>
                <w:rFonts w:ascii="Times New Roman" w:hAnsi="Times New Roman" w:eastAsia="宋体"/>
                <w:b w:val="0"/>
                <w:sz w:val="19"/>
              </w:rPr>
              <w:t>weight_decay=0.0005</w:t>
            </w:r>
          </w:p>
        </w:tc>
      </w:tr>
      <w:tr>
        <w:tc>
          <w:tcPr>
            <w:tcW w:type="dxa" w:w="4150"/>
          </w:tcPr>
          <w:p>
            <w:pPr>
              <w:jc w:val="center"/>
            </w:pPr>
            <w:r/>
            <w:r>
              <w:rPr>
                <w:rFonts w:ascii="Times New Roman" w:hAnsi="Times New Roman" w:eastAsia="宋体"/>
                <w:b w:val="0"/>
                <w:sz w:val="19"/>
              </w:rPr>
              <w:t>预热轮数</w:t>
            </w:r>
          </w:p>
        </w:tc>
        <w:tc>
          <w:tcPr>
            <w:tcW w:type="dxa" w:w="4150"/>
          </w:tcPr>
          <w:p>
            <w:pPr>
              <w:jc w:val="center"/>
            </w:pPr>
            <w:r/>
            <w:r>
              <w:rPr>
                <w:rFonts w:ascii="Times New Roman" w:hAnsi="Times New Roman" w:eastAsia="宋体"/>
                <w:b w:val="0"/>
                <w:sz w:val="19"/>
              </w:rPr>
              <w:t>warmup_epochs=3.0</w:t>
            </w:r>
          </w:p>
        </w:tc>
      </w:tr>
      <w:tr>
        <w:tc>
          <w:tcPr>
            <w:tcW w:type="dxa" w:w="4150"/>
          </w:tcPr>
          <w:p>
            <w:pPr>
              <w:jc w:val="center"/>
            </w:pPr>
            <w:r/>
            <w:r>
              <w:rPr>
                <w:rFonts w:ascii="Times New Roman" w:hAnsi="Times New Roman" w:eastAsia="宋体"/>
                <w:b w:val="0"/>
                <w:sz w:val="19"/>
              </w:rPr>
              <w:t>随机种子</w:t>
            </w:r>
          </w:p>
        </w:tc>
        <w:tc>
          <w:tcPr>
            <w:tcW w:type="dxa" w:w="4150"/>
          </w:tcPr>
          <w:p>
            <w:pPr>
              <w:jc w:val="center"/>
            </w:pPr>
            <w:r/>
            <w:r>
              <w:rPr>
                <w:rFonts w:ascii="Times New Roman" w:hAnsi="Times New Roman" w:eastAsia="宋体"/>
                <w:b w:val="0"/>
                <w:sz w:val="19"/>
              </w:rPr>
              <w:t>seed=0</w:t>
            </w:r>
          </w:p>
        </w:tc>
      </w:tr>
      <w:tr>
        <w:tc>
          <w:tcPr>
            <w:tcW w:type="dxa" w:w="4150"/>
          </w:tcPr>
          <w:p>
            <w:pPr>
              <w:jc w:val="center"/>
            </w:pPr>
            <w:r/>
            <w:r>
              <w:rPr>
                <w:rFonts w:ascii="Times New Roman" w:hAnsi="Times New Roman" w:eastAsia="宋体"/>
                <w:b w:val="0"/>
                <w:sz w:val="19"/>
              </w:rPr>
              <w:t>确定性训练</w:t>
            </w:r>
          </w:p>
        </w:tc>
        <w:tc>
          <w:tcPr>
            <w:tcW w:type="dxa" w:w="4150"/>
          </w:tcPr>
          <w:p>
            <w:pPr>
              <w:jc w:val="center"/>
            </w:pPr>
            <w:r/>
            <w:r>
              <w:rPr>
                <w:rFonts w:ascii="Times New Roman" w:hAnsi="Times New Roman" w:eastAsia="宋体"/>
                <w:b w:val="0"/>
                <w:sz w:val="19"/>
              </w:rPr>
              <w:t>deterministic=True</w:t>
            </w:r>
          </w:p>
        </w:tc>
      </w:tr>
      <w:tr>
        <w:tc>
          <w:tcPr>
            <w:tcW w:type="dxa" w:w="4150"/>
          </w:tcPr>
          <w:p>
            <w:pPr>
              <w:jc w:val="center"/>
            </w:pPr>
            <w:r/>
            <w:r>
              <w:rPr>
                <w:rFonts w:ascii="Times New Roman" w:hAnsi="Times New Roman" w:eastAsia="宋体"/>
                <w:b w:val="0"/>
                <w:sz w:val="19"/>
              </w:rPr>
              <w:t>混合精度训练</w:t>
            </w:r>
          </w:p>
        </w:tc>
        <w:tc>
          <w:tcPr>
            <w:tcW w:type="dxa" w:w="4150"/>
          </w:tcPr>
          <w:p>
            <w:pPr>
              <w:jc w:val="center"/>
            </w:pPr>
            <w:r/>
            <w:r>
              <w:rPr>
                <w:rFonts w:ascii="Times New Roman" w:hAnsi="Times New Roman" w:eastAsia="宋体"/>
                <w:b w:val="0"/>
                <w:sz w:val="19"/>
              </w:rPr>
              <w:t>AMP=True</w:t>
            </w:r>
          </w:p>
        </w:tc>
      </w:tr>
      <w:tr>
        <w:tc>
          <w:tcPr>
            <w:tcW w:type="dxa" w:w="4150"/>
          </w:tcPr>
          <w:p>
            <w:pPr>
              <w:jc w:val="center"/>
            </w:pPr>
            <w:r/>
            <w:r>
              <w:rPr>
                <w:rFonts w:ascii="Times New Roman" w:hAnsi="Times New Roman" w:eastAsia="宋体"/>
                <w:b w:val="0"/>
                <w:sz w:val="19"/>
              </w:rPr>
              <w:t>Mosaic关闭轮次</w:t>
            </w:r>
          </w:p>
        </w:tc>
        <w:tc>
          <w:tcPr>
            <w:tcW w:type="dxa" w:w="4150"/>
          </w:tcPr>
          <w:p>
            <w:pPr>
              <w:jc w:val="center"/>
            </w:pPr>
            <w:r/>
            <w:r>
              <w:rPr>
                <w:rFonts w:ascii="Times New Roman" w:hAnsi="Times New Roman" w:eastAsia="宋体"/>
                <w:b w:val="0"/>
                <w:sz w:val="19"/>
              </w:rPr>
              <w:t>close_mosaic=10</w:t>
            </w:r>
          </w:p>
        </w:tc>
      </w:tr>
      <w:tr>
        <w:tc>
          <w:tcPr>
            <w:tcW w:type="dxa" w:w="4150"/>
          </w:tcPr>
          <w:p>
            <w:pPr>
              <w:jc w:val="center"/>
            </w:pPr>
            <w:r/>
            <w:r>
              <w:rPr>
                <w:rFonts w:ascii="Times New Roman" w:hAnsi="Times New Roman" w:eastAsia="宋体"/>
                <w:b w:val="0"/>
                <w:sz w:val="19"/>
              </w:rPr>
              <w:t>数据增强</w:t>
            </w:r>
          </w:p>
        </w:tc>
        <w:tc>
          <w:tcPr>
            <w:tcW w:type="dxa" w:w="4150"/>
          </w:tcPr>
          <w:p>
            <w:pPr>
              <w:jc w:val="center"/>
            </w:pPr>
            <w:r/>
            <w:r>
              <w:rPr>
                <w:rFonts w:ascii="Times New Roman" w:hAnsi="Times New Roman" w:eastAsia="宋体"/>
                <w:b w:val="0"/>
                <w:sz w:val="19"/>
              </w:rPr>
              <w:t>Mosaic、HSV扰动、随机翻转、缩放、平移、随机擦除</w:t>
            </w:r>
          </w:p>
        </w:tc>
      </w:tr>
      <w:tr>
        <w:tc>
          <w:tcPr>
            <w:tcW w:type="dxa" w:w="4150"/>
          </w:tcPr>
          <w:p>
            <w:pPr>
              <w:jc w:val="center"/>
            </w:pPr>
            <w:r/>
            <w:r>
              <w:rPr>
                <w:rFonts w:ascii="Times New Roman" w:hAnsi="Times New Roman" w:eastAsia="宋体"/>
                <w:b w:val="0"/>
                <w:sz w:val="19"/>
              </w:rPr>
              <w:t>测试集评价方式</w:t>
            </w:r>
          </w:p>
        </w:tc>
        <w:tc>
          <w:tcPr>
            <w:tcW w:type="dxa" w:w="4150"/>
          </w:tcPr>
          <w:p>
            <w:pPr>
              <w:jc w:val="center"/>
            </w:pPr>
            <w:r/>
            <w:r>
              <w:rPr>
                <w:rFonts w:ascii="Times New Roman" w:hAnsi="Times New Roman" w:eastAsia="宋体"/>
                <w:b w:val="0"/>
                <w:sz w:val="19"/>
              </w:rPr>
              <w:t>基于测试集计算Precision、Recall、mAP50、mAP50-95</w:t>
            </w:r>
          </w:p>
        </w:tc>
      </w:tr>
      <w:tr>
        <w:tc>
          <w:tcPr>
            <w:tcW w:type="dxa" w:w="4150"/>
          </w:tcPr>
          <w:p>
            <w:pPr>
              <w:jc w:val="center"/>
            </w:pPr>
            <w:r/>
            <w:r>
              <w:rPr>
                <w:rFonts w:ascii="Times New Roman" w:hAnsi="Times New Roman" w:eastAsia="宋体"/>
                <w:b w:val="0"/>
                <w:sz w:val="19"/>
              </w:rPr>
              <w:t>检测样例置信度阈值</w:t>
            </w:r>
          </w:p>
        </w:tc>
        <w:tc>
          <w:tcPr>
            <w:tcW w:type="dxa" w:w="4150"/>
          </w:tcPr>
          <w:p>
            <w:pPr>
              <w:jc w:val="center"/>
            </w:pPr>
            <w:r/>
            <w:r>
              <w:rPr>
                <w:rFonts w:ascii="Times New Roman" w:hAnsi="Times New Roman" w:eastAsia="宋体"/>
                <w:b w:val="0"/>
                <w:sz w:val="19"/>
              </w:rPr>
              <w:t>0.4</w:t>
            </w:r>
          </w:p>
        </w:tc>
      </w:tr>
      <w:tr>
        <w:tc>
          <w:tcPr>
            <w:tcW w:type="dxa" w:w="4150"/>
          </w:tcPr>
          <w:p>
            <w:pPr>
              <w:jc w:val="center"/>
            </w:pPr>
            <w:r/>
            <w:r>
              <w:rPr>
                <w:rFonts w:ascii="Times New Roman" w:hAnsi="Times New Roman" w:eastAsia="宋体"/>
                <w:b w:val="0"/>
                <w:sz w:val="19"/>
              </w:rPr>
              <w:t>数据加载线程</w:t>
            </w:r>
          </w:p>
        </w:tc>
        <w:tc>
          <w:tcPr>
            <w:tcW w:type="dxa" w:w="4150"/>
          </w:tcPr>
          <w:p>
            <w:pPr>
              <w:jc w:val="center"/>
            </w:pPr>
            <w:r/>
            <w:r>
              <w:rPr>
                <w:rFonts w:ascii="Times New Roman" w:hAnsi="Times New Roman" w:eastAsia="宋体"/>
                <w:b w:val="0"/>
                <w:sz w:val="19"/>
              </w:rPr>
              <w:t>workers=0</w:t>
            </w:r>
          </w:p>
        </w:tc>
      </w:tr>
      <w:tr>
        <w:tc>
          <w:tcPr>
            <w:tcW w:type="dxa" w:w="4150"/>
          </w:tcPr>
          <w:p>
            <w:pPr>
              <w:jc w:val="center"/>
            </w:pPr>
            <w:r/>
            <w:r>
              <w:rPr>
                <w:rFonts w:ascii="Times New Roman" w:hAnsi="Times New Roman" w:eastAsia="宋体"/>
                <w:b w:val="0"/>
                <w:sz w:val="19"/>
              </w:rPr>
              <w:t>训练设备</w:t>
            </w:r>
          </w:p>
        </w:tc>
        <w:tc>
          <w:tcPr>
            <w:tcW w:type="dxa" w:w="4150"/>
          </w:tcPr>
          <w:p>
            <w:pPr>
              <w:jc w:val="center"/>
            </w:pPr>
            <w:r/>
            <w:r>
              <w:rPr>
                <w:rFonts w:ascii="Times New Roman" w:hAnsi="Times New Roman" w:eastAsia="宋体"/>
                <w:b w:val="0"/>
                <w:sz w:val="19"/>
              </w:rPr>
              <w:t>NVIDIA GeForce RTX 3050 Ti Laptop GPU</w:t>
            </w:r>
          </w:p>
        </w:tc>
      </w:tr>
    </w:tbl>
    <w:p/>
    <w:p>
      <w:pPr>
        <w:spacing w:line="360" w:lineRule="auto" w:before="240" w:after="80"/>
      </w:pPr>
      <w:r>
        <w:rPr>
          <w:rFonts w:ascii="Times New Roman" w:hAnsi="Times New Roman" w:eastAsia="宋体"/>
          <w:b/>
          <w:sz w:val="30"/>
        </w:rPr>
        <w:t>五、训练过程与图像级评估结果</w:t>
      </w:r>
    </w:p>
    <w:p>
      <w:pPr>
        <w:spacing w:line="360" w:lineRule="auto" w:after="40"/>
        <w:ind w:firstLine="480"/>
      </w:pPr>
      <w:r>
        <w:rPr>
          <w:rFonts w:ascii="Times New Roman" w:hAnsi="Times New Roman" w:eastAsia="宋体"/>
          <w:b w:val="0"/>
          <w:sz w:val="24"/>
        </w:rPr>
        <w:t>该模型在第76轮结束训练，训练过程采用早停策略自动保存验证集性能最优权重。验证过程中mAP50的最优值出现在第74轮，达到0.877；mAP50-95的最优值出现在第46轮，达到0.391。测试集作为未参与训练的数据子集，用于检验模型对该鼓楼场景下未见样本的泛化能力。</w:t>
      </w:r>
    </w:p>
    <w:p>
      <w:pPr>
        <w:jc w:val="center"/>
      </w:pPr>
      <w:r>
        <w:rPr>
          <w:rFonts w:ascii="Times New Roman" w:hAnsi="Times New Roman" w:eastAsia="宋体"/>
          <w:b/>
          <w:sz w:val="21"/>
        </w:rPr>
        <w:t>表5测试集检测指标</w:t>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Times New Roman" w:hAnsi="Times New Roman" w:eastAsia="宋体"/>
                <w:b/>
                <w:sz w:val="21"/>
              </w:rPr>
              <w:t>指标</w:t>
            </w:r>
          </w:p>
        </w:tc>
        <w:tc>
          <w:tcPr>
            <w:tcW w:type="dxa" w:w="4150"/>
          </w:tcPr>
          <w:p>
            <w:pPr>
              <w:jc w:val="center"/>
            </w:pPr>
            <w:r/>
            <w:r>
              <w:rPr>
                <w:rFonts w:ascii="Times New Roman" w:hAnsi="Times New Roman" w:eastAsia="宋体"/>
                <w:b/>
                <w:sz w:val="21"/>
              </w:rPr>
              <w:t>测试集结果</w:t>
            </w:r>
          </w:p>
        </w:tc>
      </w:tr>
      <w:tr>
        <w:tc>
          <w:tcPr>
            <w:tcW w:type="dxa" w:w="4150"/>
          </w:tcPr>
          <w:p>
            <w:pPr>
              <w:jc w:val="center"/>
            </w:pPr>
            <w:r/>
            <w:r>
              <w:rPr>
                <w:rFonts w:ascii="Times New Roman" w:hAnsi="Times New Roman" w:eastAsia="宋体"/>
                <w:b w:val="0"/>
                <w:sz w:val="19"/>
              </w:rPr>
              <w:t>Precision</w:t>
            </w:r>
          </w:p>
        </w:tc>
        <w:tc>
          <w:tcPr>
            <w:tcW w:type="dxa" w:w="4150"/>
          </w:tcPr>
          <w:p>
            <w:pPr>
              <w:jc w:val="center"/>
            </w:pPr>
            <w:r/>
            <w:r>
              <w:rPr>
                <w:rFonts w:ascii="Times New Roman" w:hAnsi="Times New Roman" w:eastAsia="宋体"/>
                <w:b w:val="0"/>
                <w:sz w:val="19"/>
              </w:rPr>
              <w:t>0.867</w:t>
            </w:r>
          </w:p>
        </w:tc>
      </w:tr>
      <w:tr>
        <w:tc>
          <w:tcPr>
            <w:tcW w:type="dxa" w:w="4150"/>
          </w:tcPr>
          <w:p>
            <w:pPr>
              <w:jc w:val="center"/>
            </w:pPr>
            <w:r/>
            <w:r>
              <w:rPr>
                <w:rFonts w:ascii="Times New Roman" w:hAnsi="Times New Roman" w:eastAsia="宋体"/>
                <w:b w:val="0"/>
                <w:sz w:val="19"/>
              </w:rPr>
              <w:t>Recall</w:t>
            </w:r>
          </w:p>
        </w:tc>
        <w:tc>
          <w:tcPr>
            <w:tcW w:type="dxa" w:w="4150"/>
          </w:tcPr>
          <w:p>
            <w:pPr>
              <w:jc w:val="center"/>
            </w:pPr>
            <w:r/>
            <w:r>
              <w:rPr>
                <w:rFonts w:ascii="Times New Roman" w:hAnsi="Times New Roman" w:eastAsia="宋体"/>
                <w:b w:val="0"/>
                <w:sz w:val="19"/>
              </w:rPr>
              <w:t>0.873</w:t>
            </w:r>
          </w:p>
        </w:tc>
      </w:tr>
      <w:tr>
        <w:tc>
          <w:tcPr>
            <w:tcW w:type="dxa" w:w="4150"/>
          </w:tcPr>
          <w:p>
            <w:pPr>
              <w:jc w:val="center"/>
            </w:pPr>
            <w:r/>
            <w:r>
              <w:rPr>
                <w:rFonts w:ascii="Times New Roman" w:hAnsi="Times New Roman" w:eastAsia="宋体"/>
                <w:b w:val="0"/>
                <w:sz w:val="19"/>
              </w:rPr>
              <w:t>mAP50</w:t>
            </w:r>
          </w:p>
        </w:tc>
        <w:tc>
          <w:tcPr>
            <w:tcW w:type="dxa" w:w="4150"/>
          </w:tcPr>
          <w:p>
            <w:pPr>
              <w:jc w:val="center"/>
            </w:pPr>
            <w:r/>
            <w:r>
              <w:rPr>
                <w:rFonts w:ascii="Times New Roman" w:hAnsi="Times New Roman" w:eastAsia="宋体"/>
                <w:b w:val="0"/>
                <w:sz w:val="19"/>
              </w:rPr>
              <w:t>0.890</w:t>
            </w:r>
          </w:p>
        </w:tc>
      </w:tr>
      <w:tr>
        <w:tc>
          <w:tcPr>
            <w:tcW w:type="dxa" w:w="4150"/>
          </w:tcPr>
          <w:p>
            <w:pPr>
              <w:jc w:val="center"/>
            </w:pPr>
            <w:r/>
            <w:r>
              <w:rPr>
                <w:rFonts w:ascii="Times New Roman" w:hAnsi="Times New Roman" w:eastAsia="宋体"/>
                <w:b w:val="0"/>
                <w:sz w:val="19"/>
              </w:rPr>
              <w:t>mAP50-95</w:t>
            </w:r>
          </w:p>
        </w:tc>
        <w:tc>
          <w:tcPr>
            <w:tcW w:type="dxa" w:w="4150"/>
          </w:tcPr>
          <w:p>
            <w:pPr>
              <w:jc w:val="center"/>
            </w:pPr>
            <w:r/>
            <w:r>
              <w:rPr>
                <w:rFonts w:ascii="Times New Roman" w:hAnsi="Times New Roman" w:eastAsia="宋体"/>
                <w:b w:val="0"/>
                <w:sz w:val="19"/>
              </w:rPr>
              <w:t>0.394</w:t>
            </w:r>
          </w:p>
        </w:tc>
      </w:tr>
    </w:tbl>
    <w:p/>
    <w:p>
      <w:pPr>
        <w:jc w:val="center"/>
      </w:pPr>
      <w:r>
        <w:drawing>
          <wp:inline xmlns:a="http://schemas.openxmlformats.org/drawingml/2006/main" xmlns:pic="http://schemas.openxmlformats.org/drawingml/2006/picture">
            <wp:extent cx="4680000" cy="23400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4680000" cy="2340000"/>
                    </a:xfrm>
                    <a:prstGeom prst="rect"/>
                  </pic:spPr>
                </pic:pic>
              </a:graphicData>
            </a:graphic>
          </wp:inline>
        </w:drawing>
      </w:r>
    </w:p>
    <w:p>
      <w:pPr>
        <w:jc w:val="center"/>
      </w:pPr>
      <w:r>
        <w:rPr>
          <w:rFonts w:ascii="Times New Roman" w:hAnsi="Times New Roman" w:eastAsia="宋体"/>
          <w:b/>
          <w:sz w:val="21"/>
        </w:rPr>
        <w:t>图1训练过程损失与评价指标变化</w:t>
      </w:r>
    </w:p>
    <w:p>
      <w:pPr>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680000" cy="3510000"/>
                    </a:xfrm>
                    <a:prstGeom prst="rect"/>
                  </pic:spPr>
                </pic:pic>
              </a:graphicData>
            </a:graphic>
          </wp:inline>
        </w:drawing>
      </w:r>
    </w:p>
    <w:p>
      <w:pPr>
        <w:jc w:val="center"/>
      </w:pPr>
      <w:r>
        <w:rPr>
          <w:rFonts w:ascii="Times New Roman" w:hAnsi="Times New Roman" w:eastAsia="宋体"/>
          <w:b/>
          <w:sz w:val="21"/>
        </w:rPr>
        <w:t>图2验证阶段混淆矩阵</w:t>
      </w:r>
    </w:p>
    <w:p>
      <w:pPr>
        <w:jc w:val="center"/>
      </w:pPr>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BoxPR_curve.png"/>
                    <pic:cNvPicPr/>
                  </pic:nvPicPr>
                  <pic:blipFill>
                    <a:blip r:embed="rId11"/>
                    <a:stretch>
                      <a:fillRect/>
                    </a:stretch>
                  </pic:blipFill>
                  <pic:spPr>
                    <a:xfrm>
                      <a:off x="0" y="0"/>
                      <a:ext cx="4680000" cy="3120000"/>
                    </a:xfrm>
                    <a:prstGeom prst="rect"/>
                  </pic:spPr>
                </pic:pic>
              </a:graphicData>
            </a:graphic>
          </wp:inline>
        </w:drawing>
      </w:r>
    </w:p>
    <w:p>
      <w:pPr>
        <w:jc w:val="center"/>
      </w:pPr>
      <w:r>
        <w:rPr>
          <w:rFonts w:ascii="Times New Roman" w:hAnsi="Times New Roman" w:eastAsia="宋体"/>
          <w:b/>
          <w:sz w:val="21"/>
        </w:rPr>
        <w:t>图3测试集Precision-Recall曲线</w:t>
      </w:r>
    </w:p>
    <w:p>
      <w:pPr>
        <w:jc w:val="center"/>
      </w:pPr>
      <w:r>
        <w:drawing>
          <wp:inline xmlns:a="http://schemas.openxmlformats.org/drawingml/2006/main" xmlns:pic="http://schemas.openxmlformats.org/drawingml/2006/picture">
            <wp:extent cx="4680000" cy="3510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680000" cy="3510000"/>
                    </a:xfrm>
                    <a:prstGeom prst="rect"/>
                  </pic:spPr>
                </pic:pic>
              </a:graphicData>
            </a:graphic>
          </wp:inline>
        </w:drawing>
      </w:r>
    </w:p>
    <w:p>
      <w:pPr>
        <w:jc w:val="center"/>
      </w:pPr>
      <w:r>
        <w:rPr>
          <w:rFonts w:ascii="Times New Roman" w:hAnsi="Times New Roman" w:eastAsia="宋体"/>
          <w:b/>
          <w:sz w:val="21"/>
        </w:rPr>
        <w:t>图4测试集混淆矩阵</w:t>
      </w:r>
    </w:p>
    <w:p>
      <w:pPr>
        <w:spacing w:line="360" w:lineRule="auto" w:after="40"/>
        <w:ind w:firstLine="480"/>
      </w:pPr>
      <w:r>
        <w:rPr>
          <w:rFonts w:ascii="Times New Roman" w:hAnsi="Times New Roman" w:eastAsia="宋体"/>
          <w:b w:val="0"/>
          <w:sz w:val="24"/>
        </w:rPr>
        <w:t>为直观展示模型在测试样本上的检测效果，选取测试集中带有人工标注且模型产生检测框的样本进行推理。下图左侧为原始测试图像，右侧为同一图像叠加检测框后的结果。</w:t>
      </w:r>
    </w:p>
    <w:p>
      <w:pPr>
        <w:jc w:val="center"/>
      </w:pPr>
      <w:r>
        <w:drawing>
          <wp:inline xmlns:a="http://schemas.openxmlformats.org/drawingml/2006/main" xmlns:pic="http://schemas.openxmlformats.org/drawingml/2006/picture">
            <wp:extent cx="5400000" cy="1507853"/>
            <wp:docPr id="5" name="Picture 5"/>
            <wp:cNvGraphicFramePr>
              <a:graphicFrameLocks noChangeAspect="1"/>
            </wp:cNvGraphicFramePr>
            <a:graphic>
              <a:graphicData uri="http://schemas.openxmlformats.org/drawingml/2006/picture">
                <pic:pic>
                  <pic:nvPicPr>
                    <pic:cNvPr id="0" name="zengchong_single_original_detection.jpg"/>
                    <pic:cNvPicPr/>
                  </pic:nvPicPr>
                  <pic:blipFill>
                    <a:blip r:embed="rId13"/>
                    <a:stretch>
                      <a:fillRect/>
                    </a:stretch>
                  </pic:blipFill>
                  <pic:spPr>
                    <a:xfrm>
                      <a:off x="0" y="0"/>
                      <a:ext cx="5400000" cy="1507853"/>
                    </a:xfrm>
                    <a:prstGeom prst="rect"/>
                  </pic:spPr>
                </pic:pic>
              </a:graphicData>
            </a:graphic>
          </wp:inline>
        </w:drawing>
      </w:r>
    </w:p>
    <w:p>
      <w:pPr>
        <w:jc w:val="center"/>
      </w:pPr>
      <w:r>
        <w:rPr>
          <w:rFonts w:ascii="Times New Roman" w:hAnsi="Times New Roman" w:eastAsia="宋体"/>
          <w:b/>
          <w:sz w:val="21"/>
        </w:rPr>
        <w:t>图5测试集样本检测对照（左为原始图像，右为检测结果）</w:t>
      </w:r>
    </w:p>
    <w:p>
      <w:pPr>
        <w:spacing w:line="360" w:lineRule="auto" w:after="40"/>
        <w:ind w:firstLine="480"/>
      </w:pPr>
      <w:r>
        <w:rPr>
          <w:rFonts w:ascii="Times New Roman" w:hAnsi="Times New Roman" w:eastAsia="宋体"/>
          <w:b w:val="0"/>
          <w:sz w:val="24"/>
        </w:rPr>
        <w:t>从测试集结果看，模型在该案例上取得mAP50=0.890、mAP50-95=0.394。mAP50主要反映模型能否发现破损目标，mAP50-95则进一步考察检测框位置是否足够贴合真实标注。由于木构件纹理、阴影、瓦片边缘和局部遮挡容易与破损区域形成相似视觉特征，当破损边界不规则或目标较小时，mAP50-95通常会低于mAP50。</w:t>
      </w:r>
    </w:p>
    <w:p>
      <w:pPr>
        <w:spacing w:line="360" w:lineRule="auto" w:before="240" w:after="80"/>
      </w:pPr>
      <w:r>
        <w:rPr>
          <w:rFonts w:ascii="Times New Roman" w:hAnsi="Times New Roman" w:eastAsia="宋体"/>
          <w:b/>
          <w:sz w:val="30"/>
        </w:rPr>
        <w:t>六、结果分析与小结</w:t>
      </w:r>
    </w:p>
    <w:p>
      <w:pPr>
        <w:spacing w:line="360" w:lineRule="auto" w:after="40"/>
        <w:ind w:firstLine="480"/>
      </w:pPr>
      <w:r>
        <w:rPr>
          <w:rFonts w:ascii="Times New Roman" w:hAnsi="Times New Roman" w:eastAsia="宋体"/>
          <w:b w:val="0"/>
          <w:sz w:val="24"/>
        </w:rPr>
        <w:t>增冲鼓楼测试集上的检测结果较为稳定，Precision、Recall与mAP50分别达到0.867、0.873和0.890。该结果表明，在样本视角相对集中、破损目标较清晰的条件下，轻量化YOLOv8n模型能够形成较可靠的病害区域识别能力。与此同时，mAP50-95低于mAP50，说明模型虽然能够有效发现破损目标，但对不规则边界和小尺度细部的精确定位仍存在一定限制。</w:t>
      </w:r>
    </w:p>
    <w:p>
      <w:pPr>
        <w:spacing w:line="360" w:lineRule="auto" w:after="40"/>
        <w:ind w:firstLine="480"/>
      </w:pPr>
      <w:r>
        <w:rPr>
          <w:rFonts w:ascii="Times New Roman" w:hAnsi="Times New Roman" w:eastAsia="宋体"/>
          <w:b w:val="0"/>
          <w:sz w:val="24"/>
        </w:rPr>
        <w:t>综合测试集评估结果可见，模型能够对鼓楼影像中较为明显的瓦片缺失、局部开裂、构件破损等区域形成自动检测结果。同时，破损边界不规则、目标尺度较小、视角变化和局部阴影仍会影响检测框定位的稳定性。后续可进一步补充不同季节、不同光照和不同距离下的样本，并在条件允许时引入实例分割方法，以提升破损边界刻画和面积量化能力。</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