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6B424C"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bookmarkStart w:id="0" w:name="_GoBack"/>
        <w:bookmarkEnd w:id="0"/>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6B424C"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96B9F"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CF65D6">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6B424C">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6B424C">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6B424C">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6B424C">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6B424C">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6B424C">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6B424C">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6B424C">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6B424C">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6B424C">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6B424C">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6B424C">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6B424C">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6B424C">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6B424C">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6B424C">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6B424C">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6B424C">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6B424C">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6B424C">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6B424C">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6B424C">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6B424C">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6B424C">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6B424C">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6B424C">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6B424C">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6B424C">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6B424C">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6B424C">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6B424C">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6B424C">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6B424C">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6B424C">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6B424C">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6B424C">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6B424C">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6B424C">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6B424C">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6B424C">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6B424C">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6B424C">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6B424C">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6B424C">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6B424C">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6B424C">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6B424C">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6B424C">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6B424C">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6B424C">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6B424C">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6B424C">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6B424C">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6B424C">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6B424C">
      <w:pPr>
        <w:pStyle w:val="TableofFigures"/>
        <w:rPr>
          <w:rFonts w:asciiTheme="minorHAnsi" w:eastAsiaTheme="minorEastAsia" w:hAnsiTheme="minorHAnsi" w:cstheme="minorBidi"/>
          <w:b w:val="0"/>
          <w:noProof/>
          <w:color w:val="auto"/>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6B424C"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fldSimple w:instr=" SEQ Tableau \* ARABIC ">
        <w:r w:rsidR="00CF65D6">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fldSimple w:instr=" SEQ Tableau \* ARABIC ">
        <w:r w:rsidR="00CF65D6">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fldSimple w:instr=" SEQ Tableau \* ARABIC ">
        <w:r w:rsidR="00CF65D6">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fldSimple w:instr=" SEQ Tableau \* ARABIC ">
        <w:r>
          <w:rPr>
            <w:noProof/>
          </w:rPr>
          <w:t>4</w:t>
        </w:r>
      </w:fldSimple>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fldSimple w:instr=" SEQ Tableau \* ARABIC ">
        <w:r w:rsidR="00CF65D6">
          <w:rPr>
            <w:noProof/>
          </w:rPr>
          <w:t>5</w:t>
        </w:r>
      </w:fldSimple>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fldSimple w:instr=" SEQ Tableau \* ARABIC ">
        <w:r w:rsidR="00CF65D6">
          <w:rPr>
            <w:noProof/>
          </w:rPr>
          <w:t>6</w:t>
        </w:r>
      </w:fldSimple>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fldSimple w:instr=" SEQ Tableau \* ARABIC ">
        <w:r w:rsidR="00CF65D6">
          <w:rPr>
            <w:noProof/>
          </w:rPr>
          <w:t>7</w:t>
        </w:r>
      </w:fldSimple>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fldSimple w:instr=" SEQ Tableau \* ARABIC ">
        <w:r w:rsidR="00CF65D6">
          <w:rPr>
            <w:noProof/>
          </w:rPr>
          <w:t>8</w:t>
        </w:r>
      </w:fldSimple>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fldSimple w:instr=" SEQ Tableau \* ARABIC ">
        <w:r w:rsidR="00CF65D6">
          <w:rPr>
            <w:noProof/>
          </w:rPr>
          <w:t>9</w:t>
        </w:r>
      </w:fldSimple>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fldSimple w:instr=" SEQ Tableau \* ARABIC ">
        <w:r w:rsidR="00CF65D6">
          <w:rPr>
            <w:noProof/>
          </w:rPr>
          <w:t>10</w:t>
        </w:r>
      </w:fldSimple>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fldSimple w:instr=" SEQ Tableau \* ARABIC ">
        <w:r w:rsidR="00CF65D6">
          <w:rPr>
            <w:noProof/>
          </w:rPr>
          <w:t>11</w:t>
        </w:r>
      </w:fldSimple>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fldSimple w:instr=" SEQ Figure \* ARABIC ">
        <w:r w:rsidR="00CF65D6">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fldSimple w:instr=" SEQ Figure \* ARABIC ">
        <w:r w:rsidR="00CF65D6">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fldSimple w:instr=" SEQ Figure \* ARABIC ">
        <w:r w:rsidR="00CF65D6">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fldSimple w:instr=" SEQ Figure \* ARABIC ">
        <w:r w:rsidR="00CF65D6">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7777777" w:rsidR="00173B00" w:rsidRPr="003A248B" w:rsidRDefault="00173B00" w:rsidP="00442B90">
      <w:pPr>
        <w:pStyle w:val="Heading1"/>
        <w:rPr>
          <w:lang w:val="fr-FR"/>
        </w:rPr>
      </w:pPr>
      <w:bookmarkStart w:id="101" w:name="_Toc419965550"/>
      <w:r w:rsidRPr="003A248B">
        <w:rPr>
          <w:lang w:val="fr-FR"/>
        </w:rPr>
        <w:lastRenderedPageBreak/>
        <w:t>Niveau d’implémentation ISO 27002</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D312EA4"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fldSimple w:instr=" SEQ Tableau \* ARABIC ">
        <w:r w:rsidR="00CF65D6">
          <w:rPr>
            <w:noProof/>
          </w:rPr>
          <w:t>12</w:t>
        </w:r>
      </w:fldSimple>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9" w:name="_Toc259478538"/>
      <w:r>
        <w:rPr>
          <w:noProof/>
          <w:lang w:eastAsia="fr-FR"/>
        </w:rPr>
        <w:drawing>
          <wp:inline distT="0" distB="0" distL="0" distR="0" wp14:anchorId="4C7460F6" wp14:editId="2F758D6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10" w:name="_Toc419965564"/>
      <w:r>
        <w:t xml:space="preserve">Figure </w:t>
      </w:r>
      <w:fldSimple w:instr=" SEQ Figure \* ARABIC ">
        <w:r w:rsidR="00CF65D6">
          <w:rPr>
            <w:noProof/>
          </w:rPr>
          <w:t>6</w:t>
        </w:r>
      </w:fldSimple>
      <w:r>
        <w:t> :</w:t>
      </w:r>
      <w:r>
        <w:rPr>
          <w:lang w:eastAsia="en-GB"/>
        </w:rPr>
        <w:t xml:space="preserve"> </w:t>
      </w:r>
      <w:r w:rsidR="000B25F1" w:rsidRPr="003A248B">
        <w:t>Niveau de conformité d</w:t>
      </w:r>
      <w:bookmarkEnd w:id="109"/>
      <w:r w:rsidR="000B25F1" w:rsidRPr="003A248B">
        <w:t xml:space="preserve">e la sécurité </w:t>
      </w:r>
      <w:r w:rsidR="00CF1F48">
        <w:t>actuelle</w:t>
      </w:r>
      <w:bookmarkEnd w:id="110"/>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6"/>
      <w:r w:rsidR="00ED0E7D" w:rsidRPr="00ED0E7D">
        <w:rPr>
          <w:highlight w:val="yellow"/>
          <w:lang w:eastAsia="en-GB"/>
        </w:rPr>
        <w:t>…</w:t>
      </w:r>
      <w:commentRangeEnd w:id="116"/>
      <w:r w:rsidR="00ED0E7D">
        <w:rPr>
          <w:rStyle w:val="CommentReference"/>
        </w:rPr>
        <w:commentReference w:id="116"/>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4BBD6514">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7" w:name="_Toc419965565"/>
      <w:r>
        <w:t xml:space="preserve">Figure </w:t>
      </w:r>
      <w:fldSimple w:instr=" SEQ Figure \* ARABIC ">
        <w:r w:rsidR="00CF65D6">
          <w:rPr>
            <w:noProof/>
          </w:rPr>
          <w:t>7</w:t>
        </w:r>
      </w:fldSimple>
      <w:r>
        <w:t> :</w:t>
      </w:r>
      <w:r>
        <w:rPr>
          <w:lang w:eastAsia="en-GB"/>
        </w:rPr>
        <w:t xml:space="preserve"> </w:t>
      </w:r>
      <w:r w:rsidR="00173B00" w:rsidRPr="003A248B">
        <w:rPr>
          <w:lang w:eastAsia="en-GB"/>
        </w:rPr>
        <w:t>Conformité ISO 27002 avant et après traitement des risques</w:t>
      </w:r>
      <w:bookmarkEnd w:id="117"/>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8"/>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8"/>
      <w:r w:rsidR="00CF1F48">
        <w:rPr>
          <w:rStyle w:val="CommentReference"/>
          <w:lang w:val="fr-FR"/>
        </w:rPr>
        <w:commentReference w:id="118"/>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9" w:name="_Toc419965579"/>
      <w:r>
        <w:t xml:space="preserve">Tableau </w:t>
      </w:r>
      <w:fldSimple w:instr=" SEQ Tableau \* ARABIC ">
        <w:r w:rsidR="00CF65D6">
          <w:rPr>
            <w:noProof/>
          </w:rPr>
          <w:t>13</w:t>
        </w:r>
      </w:fldSimple>
      <w:r>
        <w:t> :</w:t>
      </w:r>
      <w:r w:rsidR="00E95115" w:rsidRPr="003A248B">
        <w:t xml:space="preserve"> </w:t>
      </w:r>
      <w:r w:rsidR="00615C1F" w:rsidRPr="003A248B">
        <w:t>Résumé des caractéristiques des phases d’implémentation</w:t>
      </w:r>
      <w:bookmarkEnd w:id="119"/>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20" w:name="_Toc419965566"/>
      <w:r>
        <w:t xml:space="preserve">Figure </w:t>
      </w:r>
      <w:fldSimple w:instr=" SEQ Figure \* ARABIC ">
        <w:r w:rsidR="00CF65D6">
          <w:rPr>
            <w:noProof/>
          </w:rPr>
          <w:t>8</w:t>
        </w:r>
      </w:fldSimple>
      <w:r>
        <w:t> :</w:t>
      </w:r>
      <w:r>
        <w:rPr>
          <w:lang w:eastAsia="en-GB"/>
        </w:rPr>
        <w:t xml:space="preserve"> </w:t>
      </w:r>
      <w:r w:rsidR="00173B00" w:rsidRPr="003A248B">
        <w:rPr>
          <w:lang w:eastAsia="en-GB"/>
        </w:rPr>
        <w:t>Rentabilité du plan de traitement des risques</w:t>
      </w:r>
      <w:bookmarkEnd w:id="120"/>
    </w:p>
    <w:p w14:paraId="3083F363" w14:textId="77777777" w:rsidR="00173B00" w:rsidRPr="003A248B" w:rsidRDefault="00173B00" w:rsidP="00E53229">
      <w:pPr>
        <w:pStyle w:val="Heading3"/>
      </w:pPr>
      <w:bookmarkStart w:id="121" w:name="_Toc419965557"/>
      <w:r w:rsidRPr="003A248B">
        <w:t>Plan de traitement pour une mise en conformité</w:t>
      </w:r>
      <w:bookmarkEnd w:id="121"/>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2"/>
      <w:r w:rsidRPr="003A248B">
        <w:rPr>
          <w:lang w:eastAsia="en-GB"/>
        </w:rPr>
        <w:t xml:space="preserve">ISO 27002 </w:t>
      </w:r>
      <w:commentRangeEnd w:id="122"/>
      <w:r w:rsidR="00CF1F48">
        <w:rPr>
          <w:rStyle w:val="CommentReference"/>
        </w:rPr>
        <w:commentReference w:id="122"/>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3"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3"/>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4" w:name="_Ref394648345"/>
      <w:bookmarkStart w:id="125" w:name="_Toc419965558"/>
      <w:r>
        <w:rPr>
          <w:lang w:val="fr-FR"/>
        </w:rPr>
        <w:lastRenderedPageBreak/>
        <w:t>Annexe</w:t>
      </w:r>
      <w:bookmarkEnd w:id="124"/>
      <w:bookmarkEnd w:id="125"/>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8" w:author="bfetler" w:date="2014-11-19T12:10:00Z" w:initials="b">
    <w:p w14:paraId="1A97EE90" w14:textId="77777777" w:rsidR="00F87EB2" w:rsidRDefault="00F87EB2">
      <w:pPr>
        <w:pStyle w:val="CommentText"/>
      </w:pPr>
      <w:r>
        <w:rPr>
          <w:rStyle w:val="CommentReference"/>
        </w:rPr>
        <w:annotationRef/>
      </w:r>
      <w:r>
        <w:t>Compléter conclusion.</w:t>
      </w:r>
    </w:p>
  </w:comment>
  <w:comment w:id="76" w:author="bfetler" w:date="2014-11-19T12:10:00Z" w:initials="b">
    <w:p w14:paraId="51A7C608" w14:textId="77777777" w:rsidR="00F87EB2" w:rsidRDefault="00F87EB2">
      <w:pPr>
        <w:pStyle w:val="CommentText"/>
      </w:pPr>
      <w:r>
        <w:rPr>
          <w:rStyle w:val="CommentReference"/>
        </w:rPr>
        <w:annotationRef/>
      </w:r>
      <w:r>
        <w:t>Compléter conclusion.</w:t>
      </w:r>
    </w:p>
  </w:comment>
  <w:comment w:id="82" w:author="bfetler" w:date="2014-11-19T12:10:00Z" w:initials="b">
    <w:p w14:paraId="2C64F1D5" w14:textId="77777777" w:rsidR="00F87EB2" w:rsidRDefault="00F87EB2">
      <w:pPr>
        <w:pStyle w:val="CommentText"/>
      </w:pPr>
      <w:r>
        <w:rPr>
          <w:rStyle w:val="CommentReference"/>
        </w:rPr>
        <w:annotationRef/>
      </w:r>
      <w:r>
        <w:t>Compléter conclusion.</w:t>
      </w:r>
    </w:p>
  </w:comment>
  <w:comment w:id="90"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6"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8"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2"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B424C">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B424C">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B424C">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6B424C">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6B424C"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6B424C"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146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95A12"/>
    <w:rsid w:val="004A2970"/>
    <w:rsid w:val="004A2D5C"/>
    <w:rsid w:val="004B0F7C"/>
    <w:rsid w:val="004C25F9"/>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96B9F"/>
    <w:rsid w:val="009A2443"/>
    <w:rsid w:val="009A3380"/>
    <w:rsid w:val="009B3CE6"/>
    <w:rsid w:val="009D64BE"/>
    <w:rsid w:val="00A16838"/>
    <w:rsid w:val="00A25875"/>
    <w:rsid w:val="00A32B8F"/>
    <w:rsid w:val="00A354A6"/>
    <w:rsid w:val="00A56E12"/>
    <w:rsid w:val="00A679FC"/>
    <w:rsid w:val="00A77762"/>
    <w:rsid w:val="00A90D15"/>
    <w:rsid w:val="00A923F5"/>
    <w:rsid w:val="00A942BC"/>
    <w:rsid w:val="00AA00FC"/>
    <w:rsid w:val="00AA086F"/>
    <w:rsid w:val="00AA5489"/>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1468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75060248"/>
        <c:axId val="278427000"/>
      </c:barChart>
      <c:catAx>
        <c:axId val="2750602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27000"/>
        <c:crosses val="autoZero"/>
        <c:auto val="1"/>
        <c:lblAlgn val="ctr"/>
        <c:lblOffset val="100"/>
        <c:noMultiLvlLbl val="0"/>
      </c:catAx>
      <c:valAx>
        <c:axId val="2784270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506024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78430920"/>
        <c:axId val="278431704"/>
      </c:barChart>
      <c:catAx>
        <c:axId val="2784309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1704"/>
        <c:crosses val="autoZero"/>
        <c:auto val="1"/>
        <c:lblAlgn val="ctr"/>
        <c:lblOffset val="100"/>
        <c:noMultiLvlLbl val="0"/>
      </c:catAx>
      <c:valAx>
        <c:axId val="2784317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09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78432096"/>
        <c:axId val="278433664"/>
      </c:barChart>
      <c:catAx>
        <c:axId val="2784320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3664"/>
        <c:crosses val="autoZero"/>
        <c:auto val="1"/>
        <c:lblAlgn val="ctr"/>
        <c:lblOffset val="100"/>
        <c:noMultiLvlLbl val="0"/>
      </c:catAx>
      <c:valAx>
        <c:axId val="27843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20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78426608"/>
        <c:axId val="278427784"/>
      </c:barChart>
      <c:catAx>
        <c:axId val="2784266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27784"/>
        <c:crosses val="autoZero"/>
        <c:auto val="1"/>
        <c:lblAlgn val="ctr"/>
        <c:lblOffset val="100"/>
        <c:noMultiLvlLbl val="0"/>
      </c:catAx>
      <c:valAx>
        <c:axId val="2784277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266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78432488"/>
        <c:axId val="278432880"/>
      </c:radarChart>
      <c:catAx>
        <c:axId val="2784324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2880"/>
        <c:crosses val="autoZero"/>
        <c:auto val="1"/>
        <c:lblAlgn val="ctr"/>
        <c:lblOffset val="100"/>
        <c:noMultiLvlLbl val="0"/>
      </c:catAx>
      <c:valAx>
        <c:axId val="27843288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3248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78428176"/>
        <c:axId val="278429352"/>
      </c:radarChart>
      <c:catAx>
        <c:axId val="2784281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29352"/>
        <c:crosses val="autoZero"/>
        <c:auto val="1"/>
        <c:lblAlgn val="ctr"/>
        <c:lblOffset val="100"/>
        <c:noMultiLvlLbl val="0"/>
      </c:catAx>
      <c:valAx>
        <c:axId val="27842935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4281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36724232"/>
        <c:axId val="33672148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36723056"/>
        <c:axId val="336722664"/>
      </c:lineChart>
      <c:valAx>
        <c:axId val="336722664"/>
        <c:scaling>
          <c:orientation val="minMax"/>
        </c:scaling>
        <c:delete val="0"/>
        <c:axPos val="r"/>
        <c:numFmt formatCode="###\ ###\ ###\ ###0\k\€" sourceLinked="1"/>
        <c:majorTickMark val="out"/>
        <c:minorTickMark val="none"/>
        <c:tickLblPos val="nextTo"/>
        <c:crossAx val="336723056"/>
        <c:crosses val="max"/>
        <c:crossBetween val="between"/>
      </c:valAx>
      <c:catAx>
        <c:axId val="336723056"/>
        <c:scaling>
          <c:orientation val="minMax"/>
        </c:scaling>
        <c:delete val="0"/>
        <c:axPos val="b"/>
        <c:numFmt formatCode="General" sourceLinked="1"/>
        <c:majorTickMark val="out"/>
        <c:minorTickMark val="none"/>
        <c:tickLblPos val="nextTo"/>
        <c:crossAx val="336722664"/>
        <c:crosses val="autoZero"/>
        <c:auto val="1"/>
        <c:lblAlgn val="ctr"/>
        <c:lblOffset val="100"/>
        <c:noMultiLvlLbl val="0"/>
      </c:catAx>
      <c:valAx>
        <c:axId val="336721488"/>
        <c:scaling>
          <c:orientation val="minMax"/>
        </c:scaling>
        <c:delete val="0"/>
        <c:axPos val="l"/>
        <c:numFmt formatCode="0%" sourceLinked="1"/>
        <c:majorTickMark val="out"/>
        <c:minorTickMark val="none"/>
        <c:tickLblPos val="nextTo"/>
        <c:crossAx val="336724232"/>
        <c:crosses val="autoZero"/>
        <c:crossBetween val="between"/>
      </c:valAx>
      <c:catAx>
        <c:axId val="336724232"/>
        <c:scaling>
          <c:orientation val="minMax"/>
        </c:scaling>
        <c:delete val="1"/>
        <c:axPos val="b"/>
        <c:numFmt formatCode="General" sourceLinked="1"/>
        <c:majorTickMark val="out"/>
        <c:minorTickMark val="none"/>
        <c:tickLblPos val="nextTo"/>
        <c:crossAx val="33672148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86F2C" w:rsidP="00D86F2C">
          <w:pPr>
            <w:pStyle w:val="0E1370F4B668442EB2B5E5EACAD992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2FF7"/>
    <w:rsid w:val="0096583D"/>
    <w:rsid w:val="00974AC3"/>
    <w:rsid w:val="00A14D51"/>
    <w:rsid w:val="00AC3294"/>
    <w:rsid w:val="00AC3591"/>
    <w:rsid w:val="00D86F2C"/>
    <w:rsid w:val="00DD22FF"/>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6F2C"/>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978843B-C40F-42A9-BB4C-20E8FD2CF8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TOD_Q040_analysis-report-FR_V4.0.dotm</Template>
  <TotalTime>103</TotalTime>
  <Pages>24</Pages>
  <Words>5504</Words>
  <Characters>30273</Characters>
  <Application>Microsoft Office Word</Application>
  <DocSecurity>0</DocSecurity>
  <Lines>252</Lines>
  <Paragraphs>71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35706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49</cp:revision>
  <cp:lastPrinted>2012-08-03T08:03:00Z</cp:lastPrinted>
  <dcterms:created xsi:type="dcterms:W3CDTF">2014-11-19T11:19:00Z</dcterms:created>
  <dcterms:modified xsi:type="dcterms:W3CDTF">2015-06-10T09:53:00Z</dcterms:modified>
  <cp:category>Nom de l’organisation</cp:category>
  <cp:contentStatus>Secret/Confidentiel/Restreint/Interne/Public</cp:contentStatus>
</cp:coreProperties>
</file>