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942B7E"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942B7E"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942B7E"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04511258"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404E75">
              <w:rPr>
                <w:noProof/>
              </w:rPr>
              <w:t>27/09/2017</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proofErr w:type="spellStart"/>
            <w:r w:rsidRPr="00BE4B28">
              <w:t>itrust</w:t>
            </w:r>
            <w:proofErr w:type="spellEnd"/>
            <w:r w:rsidRPr="00BE4B28">
              <w:t xml:space="preserve">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942B7E">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942B7E">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942B7E">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942B7E">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942B7E">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942B7E">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942B7E">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942B7E">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942B7E">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942B7E">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942B7E">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942B7E">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942B7E">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942B7E">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942B7E">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942B7E">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942B7E">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942B7E">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942B7E">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942B7E">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942B7E">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942B7E">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942B7E">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942B7E">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942B7E">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942B7E">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942B7E">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942B7E">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942B7E">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942B7E">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942B7E">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942B7E">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942B7E">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942B7E">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942B7E">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942B7E">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942B7E">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942B7E">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942B7E">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942B7E">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942B7E">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942B7E">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942B7E">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942B7E">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942B7E">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942B7E">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942B7E">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942B7E">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942B7E">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942B7E">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942B7E">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942B7E">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942B7E">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942B7E">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942B7E">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942B7E">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942B7E">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942B7E">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942B7E">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942B7E">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942B7E">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942B7E">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942B7E">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942B7E">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942B7E">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942B7E">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942B7E">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942B7E">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942B7E">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942B7E">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942B7E">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942B7E">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942B7E">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942B7E">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942B7E">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w:t>
      </w:r>
      <w:proofErr w:type="spellStart"/>
      <w:r>
        <w:t>itrust</w:t>
      </w:r>
      <w:proofErr w:type="spellEnd"/>
      <w:r>
        <w:t xml:space="preserve">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Coordinated activities to direct and control an organization </w:t>
            </w:r>
            <w:proofErr w:type="gramStart"/>
            <w:r w:rsidRPr="003D6091">
              <w:rPr>
                <w:bCs/>
              </w:rPr>
              <w:t>with regard to</w:t>
            </w:r>
            <w:proofErr w:type="gramEnd"/>
            <w:r w:rsidRPr="003D6091">
              <w:rPr>
                <w:bCs/>
              </w:rPr>
              <w:t xml:space="preserve">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Acceptance of the burden of loss, or benefit of gain from a </w:t>
            </w:r>
            <w:proofErr w:type="gramStart"/>
            <w:r w:rsidRPr="003D6091">
              <w:rPr>
                <w:bCs/>
              </w:rPr>
              <w:t>particular risk</w:t>
            </w:r>
            <w:proofErr w:type="gramEnd"/>
            <w:r w:rsidRPr="003D6091">
              <w:rPr>
                <w:bCs/>
              </w:rPr>
              <w:t>.</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 xml:space="preserve">Risk assessment tool developed by </w:t>
            </w:r>
            <w:proofErr w:type="spellStart"/>
            <w:r>
              <w:rPr>
                <w:bCs/>
              </w:rPr>
              <w:t>itrust</w:t>
            </w:r>
            <w:proofErr w:type="spellEnd"/>
            <w:r>
              <w:rPr>
                <w:bCs/>
              </w:rPr>
              <w:t xml:space="preserve">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Risk"/>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4BEEDC6A" w:rsidR="00DD4793" w:rsidRDefault="00DD4793" w:rsidP="00714B91">
      <w:pPr>
        <w:pStyle w:val="Caption"/>
      </w:pPr>
      <w:bookmarkStart w:id="90" w:name="Threat"/>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Risk specificities</w:t>
      </w:r>
      <w:bookmarkEnd w:id="91"/>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lastRenderedPageBreak/>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rPr>
          <w:lang w:eastAsia="en-US"/>
        </w:rPr>
      </w:pPr>
      <w:bookmarkStart w:id="132" w:name="_Hlk484961390"/>
      <w:bookmarkEnd w:id="131"/>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lastRenderedPageBreak/>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lastRenderedPageBreak/>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pPr>
        <w:jc w:val="left"/>
      </w:pPr>
    </w:p>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bookmarkStart w:id="166" w:name="_GoBack"/>
      <w:bookmarkEnd w:id="166"/>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proofErr w:type="spellStart"/>
      <w:r w:rsidRPr="00710352">
        <w:rPr>
          <w:b/>
        </w:rPr>
        <w:t>Resp</w:t>
      </w:r>
      <w:proofErr w:type="spellEnd"/>
      <w:r>
        <w:t xml:space="preserve">: </w:t>
      </w:r>
      <w:r w:rsidRPr="0044762E">
        <w:t>The person(s) responsible for the implementation of the security measure</w:t>
      </w:r>
      <w:r w:rsidRPr="00A37CE5">
        <w:t>.</w:t>
      </w:r>
    </w:p>
    <w:p w14:paraId="63D636AE" w14:textId="4E26B2B9" w:rsidR="0030543D" w:rsidRDefault="0030543D" w:rsidP="00007339">
      <w:pPr>
        <w:pStyle w:val="Endlist"/>
        <w:ind w:left="0"/>
        <w:jc w:val="both"/>
      </w:pPr>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03052" w14:textId="77777777" w:rsidR="00942B7E" w:rsidRDefault="00942B7E" w:rsidP="00E5766B">
      <w:r>
        <w:separator/>
      </w:r>
    </w:p>
  </w:endnote>
  <w:endnote w:type="continuationSeparator" w:id="0">
    <w:p w14:paraId="68C237F0" w14:textId="77777777" w:rsidR="00942B7E" w:rsidRDefault="00942B7E"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2180E68F"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404E75">
                <w:rPr>
                  <w:noProof/>
                </w:rPr>
                <w:t>23</w:t>
              </w:r>
              <w:r w:rsidRPr="0007775C">
                <w:fldChar w:fldCharType="end"/>
              </w:r>
              <w:r w:rsidRPr="0007775C">
                <w:t xml:space="preserve"> de </w:t>
              </w:r>
              <w:r>
                <w:fldChar w:fldCharType="begin"/>
              </w:r>
              <w:r>
                <w:instrText xml:space="preserve"> NUMPAGES  </w:instrText>
              </w:r>
              <w:r>
                <w:fldChar w:fldCharType="separate"/>
              </w:r>
              <w:r w:rsidR="00404E75">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BA687" w14:textId="77777777" w:rsidR="00942B7E" w:rsidRDefault="00942B7E" w:rsidP="00E5766B">
      <w:r>
        <w:separator/>
      </w:r>
    </w:p>
  </w:footnote>
  <w:footnote w:type="continuationSeparator" w:id="0">
    <w:p w14:paraId="63FA7B8C" w14:textId="77777777" w:rsidR="00942B7E" w:rsidRDefault="00942B7E"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942B7E"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595"/>
      <w:gridCol w:w="6161"/>
      <w:gridCol w:w="2532"/>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942B7E"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D8F34A33E4D14FA48D80BDEE09B11E0F">
    <w:name w:val="D8F34A33E4D14FA48D80BDEE09B11E0F"/>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27E91D8739BF41F9AE8D2F47E2CF3910">
    <w:name w:val="27E91D8739BF41F9AE8D2F47E2CF3910"/>
  </w:style>
  <w:style w:type="paragraph" w:customStyle="1" w:styleId="369D2ADE639B4D7E8B8484250BBC68E9">
    <w:name w:val="369D2ADE639B4D7E8B8484250BBC68E9"/>
  </w:style>
  <w:style w:type="paragraph" w:customStyle="1" w:styleId="7B8A13FBFF6646E8A16F72BEDF931CAA">
    <w:name w:val="7B8A13FBFF6646E8A16F72BEDF931CAA"/>
  </w:style>
  <w:style w:type="paragraph" w:customStyle="1" w:styleId="6907947D1FF14888B40855291CAE4C13">
    <w:name w:val="6907947D1FF14888B40855291CAE4C13"/>
  </w:style>
  <w:style w:type="paragraph" w:customStyle="1" w:styleId="A8A10523F3294697BC41E5A307A82155">
    <w:name w:val="A8A10523F3294697BC41E5A307A82155"/>
  </w:style>
  <w:style w:type="paragraph" w:customStyle="1" w:styleId="0F95F0C717BC41C09657934EC4498289">
    <w:name w:val="0F95F0C717BC41C09657934EC4498289"/>
  </w:style>
  <w:style w:type="paragraph" w:customStyle="1" w:styleId="BD5543BB2E584A1C8FF397B2BB61710E">
    <w:name w:val="BD5543BB2E584A1C8FF397B2BB61710E"/>
  </w:style>
  <w:style w:type="paragraph" w:customStyle="1" w:styleId="3EEF982E43C7487196EA8C2E863826EB">
    <w:name w:val="3EEF982E43C7487196EA8C2E863826EB"/>
  </w:style>
  <w:style w:type="paragraph" w:customStyle="1" w:styleId="96BA25DA7518406BA34408AFB5D8AD89">
    <w:name w:val="96BA25DA7518406BA34408AFB5D8AD89"/>
  </w:style>
  <w:style w:type="paragraph" w:customStyle="1" w:styleId="1181591FD9544924B1C4F4ED33DD73A5">
    <w:name w:val="1181591FD9544924B1C4F4ED33DD73A5"/>
  </w:style>
  <w:style w:type="paragraph" w:customStyle="1" w:styleId="817CA681642E4CB4A4BC467D300CC775">
    <w:name w:val="817CA681642E4CB4A4BC467D300CC775"/>
  </w:style>
  <w:style w:type="paragraph" w:customStyle="1" w:styleId="BFCB48C1283F4C16B5565ED24DF05CF7">
    <w:name w:val="BFCB48C1283F4C16B5565ED24DF05CF7"/>
  </w:style>
  <w:style w:type="paragraph" w:customStyle="1" w:styleId="50C65ABA8BBC4CC58B73A946B700E851">
    <w:name w:val="50C65ABA8BBC4CC58B73A946B700E851"/>
  </w:style>
  <w:style w:type="paragraph" w:customStyle="1" w:styleId="BD976BCF88CC4659B31AC52688E0D8AC">
    <w:name w:val="BD976BCF88CC4659B31AC52688E0D8AC"/>
  </w:style>
  <w:style w:type="paragraph" w:customStyle="1" w:styleId="43BB4DA9B41F4891B5BA59800C7C37A7">
    <w:name w:val="43BB4DA9B41F4891B5BA59800C7C37A7"/>
  </w:style>
  <w:style w:type="paragraph" w:customStyle="1" w:styleId="AD56B07E3647422F94466995AD520A8B">
    <w:name w:val="AD56B07E3647422F94466995AD520A8B"/>
  </w:style>
  <w:style w:type="paragraph" w:customStyle="1" w:styleId="E08779187B7D4528B5BE31E31BE7A89F">
    <w:name w:val="E08779187B7D4528B5BE31E31BE7A89F"/>
  </w:style>
  <w:style w:type="paragraph" w:customStyle="1" w:styleId="B14321F0B322426BB3108B2488AEF198">
    <w:name w:val="B14321F0B322426BB3108B2488AEF198"/>
  </w:style>
  <w:style w:type="paragraph" w:customStyle="1" w:styleId="3F9AF37D16224A26A0CF00455A030185">
    <w:name w:val="3F9AF37D16224A26A0CF00455A030185"/>
  </w:style>
  <w:style w:type="paragraph" w:customStyle="1" w:styleId="F8FDF649AB9C42009EE37D426D579E53">
    <w:name w:val="F8FDF649AB9C42009EE37D426D579E53"/>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1041A69321945A494A14CDFB94D80DF">
    <w:name w:val="51041A69321945A494A14CDFB94D80DF"/>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E0FF4FA3BD4D492F973C8D123288227F">
    <w:name w:val="E0FF4FA3BD4D492F973C8D123288227F"/>
    <w:rsid w:val="000E6430"/>
    <w:rPr>
      <w:lang w:val="fr-FR" w:eastAsia="fr-FR"/>
    </w:rPr>
  </w:style>
  <w:style w:type="paragraph" w:customStyle="1" w:styleId="4768F72F70B549819953C72D9371DC75">
    <w:name w:val="4768F72F70B549819953C72D9371DC75"/>
    <w:rsid w:val="000E6430"/>
    <w:rPr>
      <w:lang w:val="fr-FR" w:eastAsia="fr-FR"/>
    </w:rPr>
  </w:style>
  <w:style w:type="paragraph" w:customStyle="1" w:styleId="746FC9852ED447A28FE5DA1810B83AEE">
    <w:name w:val="746FC9852ED447A28FE5DA1810B83AEE"/>
    <w:rsid w:val="000E6430"/>
    <w:rPr>
      <w:lang w:val="fr-FR" w:eastAsia="fr-FR"/>
    </w:rPr>
  </w:style>
  <w:style w:type="paragraph" w:customStyle="1" w:styleId="E3110B978CA341FE9829B4B3BB074443">
    <w:name w:val="E3110B978CA341FE9829B4B3BB074443"/>
    <w:rsid w:val="006D2336"/>
    <w:rPr>
      <w:lang w:val="fr-FR" w:eastAsia="fr-FR"/>
    </w:rPr>
  </w:style>
  <w:style w:type="paragraph" w:customStyle="1" w:styleId="137DF563102F433C82C45A2B065777A4">
    <w:name w:val="137DF563102F433C82C45A2B065777A4"/>
    <w:rsid w:val="006D2336"/>
    <w:rPr>
      <w:lang w:val="fr-FR" w:eastAsia="fr-FR"/>
    </w:rPr>
  </w:style>
  <w:style w:type="paragraph" w:customStyle="1" w:styleId="2C66685227224C2EBF5F297604B45905">
    <w:name w:val="2C66685227224C2EBF5F297604B45905"/>
    <w:rsid w:val="006D2336"/>
    <w:rPr>
      <w:lang w:val="fr-FR" w:eastAsia="fr-FR"/>
    </w:rPr>
  </w:style>
  <w:style w:type="paragraph" w:customStyle="1" w:styleId="4DE5C557B8944471856970BF6C4A2F93">
    <w:name w:val="4DE5C557B8944471856970BF6C4A2F93"/>
    <w:rsid w:val="006D2336"/>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BF281-04AD-4065-AB1D-201ED9D6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5444</Words>
  <Characters>31031</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eomar</cp:lastModifiedBy>
  <cp:revision>5</cp:revision>
  <cp:lastPrinted>2015-12-10T10:05:00Z</cp:lastPrinted>
  <dcterms:created xsi:type="dcterms:W3CDTF">2017-07-14T14:26:00Z</dcterms:created>
  <dcterms:modified xsi:type="dcterms:W3CDTF">2017-09-27T15:20:00Z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