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F253C7"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F253C7"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F253C7"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F253C7"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1FA5544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F253C7">
              <w:rPr>
                <w:noProof/>
                <w:lang w:val="fr-FR"/>
              </w:rPr>
              <w:t>15/04/19</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r w:rsidRPr="00AA3889">
              <w:rPr>
                <w:lang w:val="fr-FR"/>
              </w:rPr>
              <w:t>itrust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une valeur total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F253C7"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TS_QT_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asciiTheme="minorHAnsi" w:eastAsiaTheme="minorEastAsia" w:hAnsiTheme="minorHAnsi" w:cstheme="minorBidi"/>
              <w:b w:val="0"/>
              <w:color w:val="auto"/>
              <w:kern w:val="0"/>
              <w:szCs w:val="22"/>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506976207" w:history="1">
            <w:r w:rsidR="00410011" w:rsidRPr="008941E3">
              <w:rPr>
                <w:rStyle w:val="Hyperlink"/>
                <w:lang w:val="fr-FR"/>
              </w:rPr>
              <w:t>1</w:t>
            </w:r>
            <w:r w:rsidR="00410011">
              <w:rPr>
                <w:rFonts w:asciiTheme="minorHAnsi" w:eastAsiaTheme="minorEastAsia" w:hAnsiTheme="minorHAnsi" w:cstheme="minorBidi"/>
                <w:b w:val="0"/>
                <w:color w:val="auto"/>
                <w:kern w:val="0"/>
                <w:szCs w:val="22"/>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F253C7">
          <w:pPr>
            <w:pStyle w:val="TOC2"/>
            <w:rPr>
              <w:rFonts w:asciiTheme="minorHAnsi" w:eastAsiaTheme="minorEastAsia" w:hAnsiTheme="minorHAnsi" w:cstheme="minorBidi"/>
              <w:color w:val="auto"/>
              <w:kern w:val="0"/>
              <w:sz w:val="22"/>
              <w:szCs w:val="22"/>
            </w:rPr>
          </w:pPr>
          <w:hyperlink w:anchor="_Toc506976208" w:history="1">
            <w:r w:rsidR="00410011" w:rsidRPr="008941E3">
              <w:rPr>
                <w:rStyle w:val="Hyperlink"/>
                <w:lang w:val="fr-FR"/>
              </w:rPr>
              <w:t>1.1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F253C7">
          <w:pPr>
            <w:pStyle w:val="TOC2"/>
            <w:rPr>
              <w:rFonts w:asciiTheme="minorHAnsi" w:eastAsiaTheme="minorEastAsia" w:hAnsiTheme="minorHAnsi" w:cstheme="minorBidi"/>
              <w:color w:val="auto"/>
              <w:kern w:val="0"/>
              <w:sz w:val="22"/>
              <w:szCs w:val="22"/>
            </w:rPr>
          </w:pPr>
          <w:hyperlink w:anchor="_Toc506976209" w:history="1">
            <w:r w:rsidR="00410011" w:rsidRPr="008941E3">
              <w:rPr>
                <w:rStyle w:val="Hyperlink"/>
                <w:lang w:val="fr-FR"/>
              </w:rPr>
              <w:t>1.2</w:t>
            </w:r>
            <w:r w:rsidR="00410011">
              <w:rPr>
                <w:rFonts w:asciiTheme="minorHAnsi" w:eastAsiaTheme="minorEastAsia" w:hAnsiTheme="minorHAnsi" w:cstheme="minorBidi"/>
                <w:color w:val="auto"/>
                <w:kern w:val="0"/>
                <w:sz w:val="22"/>
                <w:szCs w:val="22"/>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F253C7">
          <w:pPr>
            <w:pStyle w:val="TOC2"/>
            <w:rPr>
              <w:rFonts w:asciiTheme="minorHAnsi" w:eastAsiaTheme="minorEastAsia" w:hAnsiTheme="minorHAnsi" w:cstheme="minorBidi"/>
              <w:color w:val="auto"/>
              <w:kern w:val="0"/>
              <w:sz w:val="22"/>
              <w:szCs w:val="22"/>
            </w:rPr>
          </w:pPr>
          <w:hyperlink w:anchor="_Toc506976210" w:history="1">
            <w:r w:rsidR="00410011" w:rsidRPr="008941E3">
              <w:rPr>
                <w:rStyle w:val="Hyperlink"/>
                <w:lang w:val="fr-FR"/>
              </w:rPr>
              <w:t>1.3</w:t>
            </w:r>
            <w:r w:rsidR="00410011">
              <w:rPr>
                <w:rFonts w:asciiTheme="minorHAnsi" w:eastAsiaTheme="minorEastAsia" w:hAnsiTheme="minorHAnsi" w:cstheme="minorBidi"/>
                <w:color w:val="auto"/>
                <w:kern w:val="0"/>
                <w:sz w:val="22"/>
                <w:szCs w:val="22"/>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F253C7">
          <w:pPr>
            <w:pStyle w:val="TOC2"/>
            <w:rPr>
              <w:rFonts w:asciiTheme="minorHAnsi" w:eastAsiaTheme="minorEastAsia" w:hAnsiTheme="minorHAnsi" w:cstheme="minorBidi"/>
              <w:color w:val="auto"/>
              <w:kern w:val="0"/>
              <w:sz w:val="22"/>
              <w:szCs w:val="22"/>
            </w:rPr>
          </w:pPr>
          <w:hyperlink w:anchor="_Toc506976211" w:history="1">
            <w:r w:rsidR="00410011" w:rsidRPr="008941E3">
              <w:rPr>
                <w:rStyle w:val="Hyperlink"/>
                <w:lang w:val="fr-FR"/>
              </w:rPr>
              <w:t>1.4</w:t>
            </w:r>
            <w:r w:rsidR="00410011">
              <w:rPr>
                <w:rFonts w:asciiTheme="minorHAnsi" w:eastAsiaTheme="minorEastAsia" w:hAnsiTheme="minorHAnsi" w:cstheme="minorBidi"/>
                <w:color w:val="auto"/>
                <w:kern w:val="0"/>
                <w:sz w:val="22"/>
                <w:szCs w:val="22"/>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F253C7">
          <w:pPr>
            <w:pStyle w:val="TOC2"/>
            <w:rPr>
              <w:rFonts w:asciiTheme="minorHAnsi" w:eastAsiaTheme="minorEastAsia" w:hAnsiTheme="minorHAnsi" w:cstheme="minorBidi"/>
              <w:color w:val="auto"/>
              <w:kern w:val="0"/>
              <w:sz w:val="22"/>
              <w:szCs w:val="22"/>
            </w:rPr>
          </w:pPr>
          <w:hyperlink w:anchor="_Toc506976212" w:history="1">
            <w:r w:rsidR="00410011" w:rsidRPr="008941E3">
              <w:rPr>
                <w:rStyle w:val="Hyperlink"/>
                <w:lang w:val="fr-FR"/>
              </w:rPr>
              <w:t>1.5</w:t>
            </w:r>
            <w:r w:rsidR="00410011">
              <w:rPr>
                <w:rFonts w:asciiTheme="minorHAnsi" w:eastAsiaTheme="minorEastAsia" w:hAnsiTheme="minorHAnsi" w:cstheme="minorBidi"/>
                <w:color w:val="auto"/>
                <w:kern w:val="0"/>
                <w:sz w:val="22"/>
                <w:szCs w:val="22"/>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F253C7">
          <w:pPr>
            <w:pStyle w:val="TOC2"/>
            <w:rPr>
              <w:rFonts w:asciiTheme="minorHAnsi" w:eastAsiaTheme="minorEastAsia" w:hAnsiTheme="minorHAnsi" w:cstheme="minorBidi"/>
              <w:color w:val="auto"/>
              <w:kern w:val="0"/>
              <w:sz w:val="22"/>
              <w:szCs w:val="22"/>
            </w:rPr>
          </w:pPr>
          <w:hyperlink w:anchor="_Toc506976213" w:history="1">
            <w:r w:rsidR="00410011" w:rsidRPr="008941E3">
              <w:rPr>
                <w:rStyle w:val="Hyperlink"/>
                <w:lang w:val="fr-FR"/>
              </w:rPr>
              <w:t>1.6</w:t>
            </w:r>
            <w:r w:rsidR="00410011">
              <w:rPr>
                <w:rFonts w:asciiTheme="minorHAnsi" w:eastAsiaTheme="minorEastAsia" w:hAnsiTheme="minorHAnsi" w:cstheme="minorBidi"/>
                <w:color w:val="auto"/>
                <w:kern w:val="0"/>
                <w:sz w:val="22"/>
                <w:szCs w:val="22"/>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F253C7">
          <w:pPr>
            <w:pStyle w:val="TOC2"/>
            <w:rPr>
              <w:rFonts w:asciiTheme="minorHAnsi" w:eastAsiaTheme="minorEastAsia" w:hAnsiTheme="minorHAnsi" w:cstheme="minorBidi"/>
              <w:color w:val="auto"/>
              <w:kern w:val="0"/>
              <w:sz w:val="22"/>
              <w:szCs w:val="22"/>
            </w:rPr>
          </w:pPr>
          <w:hyperlink w:anchor="_Toc506976214" w:history="1">
            <w:r w:rsidR="00410011" w:rsidRPr="008941E3">
              <w:rPr>
                <w:rStyle w:val="Hyperlink"/>
                <w:lang w:val="fr-FR"/>
              </w:rPr>
              <w:t>1.7</w:t>
            </w:r>
            <w:r w:rsidR="00410011">
              <w:rPr>
                <w:rFonts w:asciiTheme="minorHAnsi" w:eastAsiaTheme="minorEastAsia" w:hAnsiTheme="minorHAnsi" w:cstheme="minorBidi"/>
                <w:color w:val="auto"/>
                <w:kern w:val="0"/>
                <w:sz w:val="22"/>
                <w:szCs w:val="22"/>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F253C7">
          <w:pPr>
            <w:pStyle w:val="TOC2"/>
            <w:rPr>
              <w:rFonts w:asciiTheme="minorHAnsi" w:eastAsiaTheme="minorEastAsia" w:hAnsiTheme="minorHAnsi" w:cstheme="minorBidi"/>
              <w:color w:val="auto"/>
              <w:kern w:val="0"/>
              <w:sz w:val="22"/>
              <w:szCs w:val="22"/>
            </w:rPr>
          </w:pPr>
          <w:hyperlink w:anchor="_Toc506976215" w:history="1">
            <w:r w:rsidR="00410011" w:rsidRPr="008941E3">
              <w:rPr>
                <w:rStyle w:val="Hyperlink"/>
                <w:lang w:val="fr-FR"/>
              </w:rPr>
              <w:t>1.8</w:t>
            </w:r>
            <w:r w:rsidR="00410011">
              <w:rPr>
                <w:rFonts w:asciiTheme="minorHAnsi" w:eastAsiaTheme="minorEastAsia" w:hAnsiTheme="minorHAnsi" w:cstheme="minorBidi"/>
                <w:color w:val="auto"/>
                <w:kern w:val="0"/>
                <w:sz w:val="22"/>
                <w:szCs w:val="22"/>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F253C7">
          <w:pPr>
            <w:pStyle w:val="TOC1"/>
            <w:rPr>
              <w:rFonts w:asciiTheme="minorHAnsi" w:eastAsiaTheme="minorEastAsia" w:hAnsiTheme="minorHAnsi" w:cstheme="minorBidi"/>
              <w:b w:val="0"/>
              <w:color w:val="auto"/>
              <w:kern w:val="0"/>
              <w:szCs w:val="22"/>
            </w:rPr>
          </w:pPr>
          <w:hyperlink w:anchor="_Toc506976216" w:history="1">
            <w:r w:rsidR="00410011" w:rsidRPr="008941E3">
              <w:rPr>
                <w:rStyle w:val="Hyperlink"/>
                <w:lang w:val="fr-FR"/>
              </w:rPr>
              <w:t>2</w:t>
            </w:r>
            <w:r w:rsidR="00410011">
              <w:rPr>
                <w:rFonts w:asciiTheme="minorHAnsi" w:eastAsiaTheme="minorEastAsia" w:hAnsiTheme="minorHAnsi" w:cstheme="minorBidi"/>
                <w:b w:val="0"/>
                <w:color w:val="auto"/>
                <w:kern w:val="0"/>
                <w:szCs w:val="22"/>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F253C7">
          <w:pPr>
            <w:pStyle w:val="TOC2"/>
            <w:rPr>
              <w:rFonts w:asciiTheme="minorHAnsi" w:eastAsiaTheme="minorEastAsia" w:hAnsiTheme="minorHAnsi" w:cstheme="minorBidi"/>
              <w:color w:val="auto"/>
              <w:kern w:val="0"/>
              <w:sz w:val="22"/>
              <w:szCs w:val="22"/>
            </w:rPr>
          </w:pPr>
          <w:hyperlink w:anchor="_Toc506976217" w:history="1">
            <w:r w:rsidR="00410011" w:rsidRPr="008941E3">
              <w:rPr>
                <w:rStyle w:val="Hyperlink"/>
                <w:lang w:val="fr-FR"/>
              </w:rPr>
              <w:t>2.1</w:t>
            </w:r>
            <w:r w:rsidR="00410011">
              <w:rPr>
                <w:rFonts w:asciiTheme="minorHAnsi" w:eastAsiaTheme="minorEastAsia" w:hAnsiTheme="minorHAnsi" w:cstheme="minorBidi"/>
                <w:color w:val="auto"/>
                <w:kern w:val="0"/>
                <w:sz w:val="22"/>
                <w:szCs w:val="22"/>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F253C7">
          <w:pPr>
            <w:pStyle w:val="TOC3"/>
            <w:rPr>
              <w:rFonts w:asciiTheme="minorHAnsi" w:eastAsiaTheme="minorEastAsia" w:hAnsiTheme="minorHAnsi" w:cstheme="minorBidi"/>
              <w:color w:val="auto"/>
              <w:kern w:val="0"/>
              <w:sz w:val="22"/>
              <w:szCs w:val="22"/>
            </w:rPr>
          </w:pPr>
          <w:hyperlink w:anchor="_Toc506976218" w:history="1">
            <w:r w:rsidR="00410011" w:rsidRPr="008941E3">
              <w:rPr>
                <w:rStyle w:val="Hyperlink"/>
                <w:lang w:val="fr-FR"/>
              </w:rPr>
              <w:t>2.1.1</w:t>
            </w:r>
            <w:r w:rsidR="00410011">
              <w:rPr>
                <w:rFonts w:asciiTheme="minorHAnsi" w:eastAsiaTheme="minorEastAsia" w:hAnsiTheme="minorHAnsi" w:cstheme="minorBidi"/>
                <w:color w:val="auto"/>
                <w:kern w:val="0"/>
                <w:sz w:val="22"/>
                <w:szCs w:val="22"/>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F253C7">
          <w:pPr>
            <w:pStyle w:val="TOC3"/>
            <w:rPr>
              <w:rFonts w:asciiTheme="minorHAnsi" w:eastAsiaTheme="minorEastAsia" w:hAnsiTheme="minorHAnsi" w:cstheme="minorBidi"/>
              <w:color w:val="auto"/>
              <w:kern w:val="0"/>
              <w:sz w:val="22"/>
              <w:szCs w:val="22"/>
            </w:rPr>
          </w:pPr>
          <w:hyperlink w:anchor="_Toc506976219" w:history="1">
            <w:r w:rsidR="00410011" w:rsidRPr="008941E3">
              <w:rPr>
                <w:rStyle w:val="Hyperlink"/>
                <w:lang w:val="fr-FR"/>
              </w:rPr>
              <w:t>2.1.2</w:t>
            </w:r>
            <w:r w:rsidR="00410011">
              <w:rPr>
                <w:rFonts w:asciiTheme="minorHAnsi" w:eastAsiaTheme="minorEastAsia" w:hAnsiTheme="minorHAnsi" w:cstheme="minorBidi"/>
                <w:color w:val="auto"/>
                <w:kern w:val="0"/>
                <w:sz w:val="22"/>
                <w:szCs w:val="22"/>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F253C7">
          <w:pPr>
            <w:pStyle w:val="TOC3"/>
            <w:rPr>
              <w:rFonts w:asciiTheme="minorHAnsi" w:eastAsiaTheme="minorEastAsia" w:hAnsiTheme="minorHAnsi" w:cstheme="minorBidi"/>
              <w:color w:val="auto"/>
              <w:kern w:val="0"/>
              <w:sz w:val="22"/>
              <w:szCs w:val="22"/>
            </w:rPr>
          </w:pPr>
          <w:hyperlink w:anchor="_Toc506976220" w:history="1">
            <w:r w:rsidR="00410011" w:rsidRPr="008941E3">
              <w:rPr>
                <w:rStyle w:val="Hyperlink"/>
                <w:lang w:val="fr-FR"/>
              </w:rPr>
              <w:t>2.1.3</w:t>
            </w:r>
            <w:r w:rsidR="00410011">
              <w:rPr>
                <w:rFonts w:asciiTheme="minorHAnsi" w:eastAsiaTheme="minorEastAsia" w:hAnsiTheme="minorHAnsi" w:cstheme="minorBidi"/>
                <w:color w:val="auto"/>
                <w:kern w:val="0"/>
                <w:sz w:val="22"/>
                <w:szCs w:val="22"/>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F253C7">
          <w:pPr>
            <w:pStyle w:val="TOC3"/>
            <w:rPr>
              <w:rFonts w:asciiTheme="minorHAnsi" w:eastAsiaTheme="minorEastAsia" w:hAnsiTheme="minorHAnsi" w:cstheme="minorBidi"/>
              <w:color w:val="auto"/>
              <w:kern w:val="0"/>
              <w:sz w:val="22"/>
              <w:szCs w:val="22"/>
            </w:rPr>
          </w:pPr>
          <w:hyperlink w:anchor="_Toc506976221" w:history="1">
            <w:r w:rsidR="00410011" w:rsidRPr="008941E3">
              <w:rPr>
                <w:rStyle w:val="Hyperlink"/>
                <w:lang w:val="fr-FR"/>
              </w:rPr>
              <w:t>2.1.4</w:t>
            </w:r>
            <w:r w:rsidR="00410011">
              <w:rPr>
                <w:rFonts w:asciiTheme="minorHAnsi" w:eastAsiaTheme="minorEastAsia" w:hAnsiTheme="minorHAnsi" w:cstheme="minorBidi"/>
                <w:color w:val="auto"/>
                <w:kern w:val="0"/>
                <w:sz w:val="22"/>
                <w:szCs w:val="22"/>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F253C7">
          <w:pPr>
            <w:pStyle w:val="TOC2"/>
            <w:rPr>
              <w:rFonts w:asciiTheme="minorHAnsi" w:eastAsiaTheme="minorEastAsia" w:hAnsiTheme="minorHAnsi" w:cstheme="minorBidi"/>
              <w:color w:val="auto"/>
              <w:kern w:val="0"/>
              <w:sz w:val="22"/>
              <w:szCs w:val="22"/>
            </w:rPr>
          </w:pPr>
          <w:hyperlink w:anchor="_Toc506976222" w:history="1">
            <w:r w:rsidR="00410011" w:rsidRPr="008941E3">
              <w:rPr>
                <w:rStyle w:val="Hyperlink"/>
                <w:lang w:val="fr-FR"/>
              </w:rPr>
              <w:t>2.2</w:t>
            </w:r>
            <w:r w:rsidR="00410011">
              <w:rPr>
                <w:rFonts w:asciiTheme="minorHAnsi" w:eastAsiaTheme="minorEastAsia" w:hAnsiTheme="minorHAnsi" w:cstheme="minorBidi"/>
                <w:color w:val="auto"/>
                <w:kern w:val="0"/>
                <w:sz w:val="22"/>
                <w:szCs w:val="22"/>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F253C7">
          <w:pPr>
            <w:pStyle w:val="TOC1"/>
            <w:rPr>
              <w:rFonts w:asciiTheme="minorHAnsi" w:eastAsiaTheme="minorEastAsia" w:hAnsiTheme="minorHAnsi" w:cstheme="minorBidi"/>
              <w:b w:val="0"/>
              <w:color w:val="auto"/>
              <w:kern w:val="0"/>
              <w:szCs w:val="22"/>
            </w:rPr>
          </w:pPr>
          <w:hyperlink w:anchor="_Toc506976223" w:history="1">
            <w:r w:rsidR="00410011" w:rsidRPr="008941E3">
              <w:rPr>
                <w:rStyle w:val="Hyperlink"/>
                <w:lang w:val="fr-FR"/>
              </w:rPr>
              <w:t>3</w:t>
            </w:r>
            <w:r w:rsidR="00410011">
              <w:rPr>
                <w:rFonts w:asciiTheme="minorHAnsi" w:eastAsiaTheme="minorEastAsia" w:hAnsiTheme="minorHAnsi" w:cstheme="minorBidi"/>
                <w:b w:val="0"/>
                <w:color w:val="auto"/>
                <w:kern w:val="0"/>
                <w:szCs w:val="22"/>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F253C7">
          <w:pPr>
            <w:pStyle w:val="TOC2"/>
            <w:rPr>
              <w:rFonts w:asciiTheme="minorHAnsi" w:eastAsiaTheme="minorEastAsia" w:hAnsiTheme="minorHAnsi" w:cstheme="minorBidi"/>
              <w:color w:val="auto"/>
              <w:kern w:val="0"/>
              <w:sz w:val="22"/>
              <w:szCs w:val="22"/>
            </w:rPr>
          </w:pPr>
          <w:hyperlink w:anchor="_Toc506976224" w:history="1">
            <w:r w:rsidR="00410011" w:rsidRPr="008941E3">
              <w:rPr>
                <w:rStyle w:val="Hyperlink"/>
                <w:lang w:val="fr-FR"/>
              </w:rPr>
              <w:t>3.1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F253C7">
          <w:pPr>
            <w:pStyle w:val="TOC2"/>
            <w:rPr>
              <w:rFonts w:asciiTheme="minorHAnsi" w:eastAsiaTheme="minorEastAsia" w:hAnsiTheme="minorHAnsi" w:cstheme="minorBidi"/>
              <w:color w:val="auto"/>
              <w:kern w:val="0"/>
              <w:sz w:val="22"/>
              <w:szCs w:val="22"/>
            </w:rPr>
          </w:pPr>
          <w:hyperlink w:anchor="_Toc506976225" w:history="1">
            <w:r w:rsidR="00410011" w:rsidRPr="008941E3">
              <w:rPr>
                <w:rStyle w:val="Hyperlink"/>
                <w:lang w:val="fr-FR"/>
              </w:rPr>
              <w:t>3.2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F253C7">
          <w:pPr>
            <w:pStyle w:val="TOC3"/>
            <w:rPr>
              <w:rFonts w:asciiTheme="minorHAnsi" w:eastAsiaTheme="minorEastAsia" w:hAnsiTheme="minorHAnsi" w:cstheme="minorBidi"/>
              <w:color w:val="auto"/>
              <w:kern w:val="0"/>
              <w:sz w:val="22"/>
              <w:szCs w:val="22"/>
            </w:rPr>
          </w:pPr>
          <w:hyperlink w:anchor="_Toc506976226" w:history="1">
            <w:r w:rsidR="00410011" w:rsidRPr="008941E3">
              <w:rPr>
                <w:rStyle w:val="Hyperlink"/>
                <w:lang w:val="fr-FR"/>
              </w:rPr>
              <w:t>3.2.1</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F253C7">
          <w:pPr>
            <w:pStyle w:val="TOC3"/>
            <w:rPr>
              <w:rFonts w:asciiTheme="minorHAnsi" w:eastAsiaTheme="minorEastAsia" w:hAnsiTheme="minorHAnsi" w:cstheme="minorBidi"/>
              <w:color w:val="auto"/>
              <w:kern w:val="0"/>
              <w:sz w:val="22"/>
              <w:szCs w:val="22"/>
            </w:rPr>
          </w:pPr>
          <w:hyperlink w:anchor="_Toc506976227" w:history="1">
            <w:r w:rsidR="00410011" w:rsidRPr="008941E3">
              <w:rPr>
                <w:rStyle w:val="Hyperlink"/>
                <w:lang w:val="fr-FR"/>
              </w:rPr>
              <w:t>3.2.2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F253C7">
          <w:pPr>
            <w:pStyle w:val="TOC3"/>
            <w:rPr>
              <w:rFonts w:asciiTheme="minorHAnsi" w:eastAsiaTheme="minorEastAsia" w:hAnsiTheme="minorHAnsi" w:cstheme="minorBidi"/>
              <w:color w:val="auto"/>
              <w:kern w:val="0"/>
              <w:sz w:val="22"/>
              <w:szCs w:val="22"/>
            </w:rPr>
          </w:pPr>
          <w:hyperlink w:anchor="_Toc506976228" w:history="1">
            <w:r w:rsidR="00410011" w:rsidRPr="008941E3">
              <w:rPr>
                <w:rStyle w:val="Hyperlink"/>
                <w:lang w:val="fr-FR"/>
              </w:rPr>
              <w:t>3.2.3</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F253C7">
          <w:pPr>
            <w:pStyle w:val="TOC2"/>
            <w:rPr>
              <w:rFonts w:asciiTheme="minorHAnsi" w:eastAsiaTheme="minorEastAsia" w:hAnsiTheme="minorHAnsi" w:cstheme="minorBidi"/>
              <w:color w:val="auto"/>
              <w:kern w:val="0"/>
              <w:sz w:val="22"/>
              <w:szCs w:val="22"/>
            </w:rPr>
          </w:pPr>
          <w:hyperlink w:anchor="_Toc506976229" w:history="1">
            <w:r w:rsidR="00410011" w:rsidRPr="008941E3">
              <w:rPr>
                <w:rStyle w:val="Hyperlink"/>
                <w:lang w:val="fr-FR"/>
              </w:rPr>
              <w:t>3.3</w:t>
            </w:r>
            <w:r w:rsidR="00410011">
              <w:rPr>
                <w:rFonts w:asciiTheme="minorHAnsi" w:eastAsiaTheme="minorEastAsia" w:hAnsiTheme="minorHAnsi" w:cstheme="minorBidi"/>
                <w:color w:val="auto"/>
                <w:kern w:val="0"/>
                <w:sz w:val="22"/>
                <w:szCs w:val="22"/>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F253C7">
          <w:pPr>
            <w:pStyle w:val="TOC1"/>
            <w:rPr>
              <w:rFonts w:asciiTheme="minorHAnsi" w:eastAsiaTheme="minorEastAsia" w:hAnsiTheme="minorHAnsi" w:cstheme="minorBidi"/>
              <w:b w:val="0"/>
              <w:color w:val="auto"/>
              <w:kern w:val="0"/>
              <w:szCs w:val="22"/>
            </w:rPr>
          </w:pPr>
          <w:hyperlink w:anchor="_Toc506976230" w:history="1">
            <w:r w:rsidR="00410011" w:rsidRPr="008941E3">
              <w:rPr>
                <w:rStyle w:val="Hyperlink"/>
                <w:lang w:val="fr-FR"/>
              </w:rPr>
              <w:t>4</w:t>
            </w:r>
            <w:r w:rsidR="00410011">
              <w:rPr>
                <w:rFonts w:asciiTheme="minorHAnsi" w:eastAsiaTheme="minorEastAsia" w:hAnsiTheme="minorHAnsi" w:cstheme="minorBidi"/>
                <w:b w:val="0"/>
                <w:color w:val="auto"/>
                <w:kern w:val="0"/>
                <w:szCs w:val="22"/>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F253C7">
          <w:pPr>
            <w:pStyle w:val="TOC2"/>
            <w:rPr>
              <w:rFonts w:asciiTheme="minorHAnsi" w:eastAsiaTheme="minorEastAsia" w:hAnsiTheme="minorHAnsi" w:cstheme="minorBidi"/>
              <w:color w:val="auto"/>
              <w:kern w:val="0"/>
              <w:sz w:val="22"/>
              <w:szCs w:val="22"/>
            </w:rPr>
          </w:pPr>
          <w:hyperlink w:anchor="_Toc506976231" w:history="1">
            <w:r w:rsidR="00410011" w:rsidRPr="008941E3">
              <w:rPr>
                <w:rStyle w:val="Hyperlink"/>
                <w:lang w:val="fr-FR"/>
              </w:rPr>
              <w:t>4.1</w:t>
            </w:r>
            <w:r w:rsidR="00410011">
              <w:rPr>
                <w:rFonts w:asciiTheme="minorHAnsi" w:eastAsiaTheme="minorEastAsia" w:hAnsiTheme="minorHAnsi" w:cstheme="minorBidi"/>
                <w:color w:val="auto"/>
                <w:kern w:val="0"/>
                <w:sz w:val="22"/>
                <w:szCs w:val="22"/>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F253C7">
          <w:pPr>
            <w:pStyle w:val="TOC2"/>
            <w:rPr>
              <w:rFonts w:asciiTheme="minorHAnsi" w:eastAsiaTheme="minorEastAsia" w:hAnsiTheme="minorHAnsi" w:cstheme="minorBidi"/>
              <w:color w:val="auto"/>
              <w:kern w:val="0"/>
              <w:sz w:val="22"/>
              <w:szCs w:val="22"/>
            </w:rPr>
          </w:pPr>
          <w:hyperlink w:anchor="_Toc506976232" w:history="1">
            <w:r w:rsidR="00410011" w:rsidRPr="008941E3">
              <w:rPr>
                <w:rStyle w:val="Hyperlink"/>
                <w:lang w:val="fr-FR"/>
              </w:rPr>
              <w:t>4.2</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F253C7">
          <w:pPr>
            <w:pStyle w:val="TOC3"/>
            <w:rPr>
              <w:rFonts w:asciiTheme="minorHAnsi" w:eastAsiaTheme="minorEastAsia" w:hAnsiTheme="minorHAnsi" w:cstheme="minorBidi"/>
              <w:color w:val="auto"/>
              <w:kern w:val="0"/>
              <w:sz w:val="22"/>
              <w:szCs w:val="22"/>
            </w:rPr>
          </w:pPr>
          <w:hyperlink w:anchor="_Toc506976233" w:history="1">
            <w:r w:rsidR="00410011" w:rsidRPr="008941E3">
              <w:rPr>
                <w:rStyle w:val="Hyperlink"/>
                <w:lang w:val="fr-FR"/>
              </w:rPr>
              <w:t>4.2.1</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F253C7">
          <w:pPr>
            <w:pStyle w:val="TOC3"/>
            <w:rPr>
              <w:rFonts w:asciiTheme="minorHAnsi" w:eastAsiaTheme="minorEastAsia" w:hAnsiTheme="minorHAnsi" w:cstheme="minorBidi"/>
              <w:color w:val="auto"/>
              <w:kern w:val="0"/>
              <w:sz w:val="22"/>
              <w:szCs w:val="22"/>
            </w:rPr>
          </w:pPr>
          <w:hyperlink w:anchor="_Toc506976234" w:history="1">
            <w:r w:rsidR="00410011" w:rsidRPr="008941E3">
              <w:rPr>
                <w:rStyle w:val="Hyperlink"/>
                <w:lang w:val="fr-FR"/>
              </w:rPr>
              <w:t>4.2.2</w:t>
            </w:r>
            <w:r w:rsidR="00410011">
              <w:rPr>
                <w:rFonts w:asciiTheme="minorHAnsi" w:eastAsiaTheme="minorEastAsia" w:hAnsiTheme="minorHAnsi" w:cstheme="minorBidi"/>
                <w:color w:val="auto"/>
                <w:kern w:val="0"/>
                <w:sz w:val="22"/>
                <w:szCs w:val="22"/>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F253C7">
          <w:pPr>
            <w:pStyle w:val="TOC3"/>
            <w:rPr>
              <w:rFonts w:asciiTheme="minorHAnsi" w:eastAsiaTheme="minorEastAsia" w:hAnsiTheme="minorHAnsi" w:cstheme="minorBidi"/>
              <w:color w:val="auto"/>
              <w:kern w:val="0"/>
              <w:sz w:val="22"/>
              <w:szCs w:val="22"/>
            </w:rPr>
          </w:pPr>
          <w:hyperlink w:anchor="_Toc506976235" w:history="1">
            <w:r w:rsidR="00410011" w:rsidRPr="008941E3">
              <w:rPr>
                <w:rStyle w:val="Hyperlink"/>
                <w:lang w:val="fr-FR"/>
              </w:rPr>
              <w:t>4.2.3</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F253C7">
          <w:pPr>
            <w:pStyle w:val="TOC3"/>
            <w:rPr>
              <w:rFonts w:asciiTheme="minorHAnsi" w:eastAsiaTheme="minorEastAsia" w:hAnsiTheme="minorHAnsi" w:cstheme="minorBidi"/>
              <w:color w:val="auto"/>
              <w:kern w:val="0"/>
              <w:sz w:val="22"/>
              <w:szCs w:val="22"/>
            </w:rPr>
          </w:pPr>
          <w:hyperlink w:anchor="_Toc506976236" w:history="1">
            <w:r w:rsidR="00410011" w:rsidRPr="008941E3">
              <w:rPr>
                <w:rStyle w:val="Hyperlink"/>
                <w:lang w:val="fr-FR"/>
              </w:rPr>
              <w:t>4.2.4</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F253C7">
          <w:pPr>
            <w:pStyle w:val="TOC3"/>
            <w:rPr>
              <w:rFonts w:asciiTheme="minorHAnsi" w:eastAsiaTheme="minorEastAsia" w:hAnsiTheme="minorHAnsi" w:cstheme="minorBidi"/>
              <w:color w:val="auto"/>
              <w:kern w:val="0"/>
              <w:sz w:val="22"/>
              <w:szCs w:val="22"/>
            </w:rPr>
          </w:pPr>
          <w:hyperlink w:anchor="_Toc506976237" w:history="1">
            <w:r w:rsidR="00410011" w:rsidRPr="008941E3">
              <w:rPr>
                <w:rStyle w:val="Hyperlink"/>
                <w:lang w:val="fr-FR"/>
              </w:rPr>
              <w:t>4.2.5</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F253C7">
          <w:pPr>
            <w:pStyle w:val="TOC2"/>
            <w:rPr>
              <w:rFonts w:asciiTheme="minorHAnsi" w:eastAsiaTheme="minorEastAsia" w:hAnsiTheme="minorHAnsi" w:cstheme="minorBidi"/>
              <w:color w:val="auto"/>
              <w:kern w:val="0"/>
              <w:sz w:val="22"/>
              <w:szCs w:val="22"/>
            </w:rPr>
          </w:pPr>
          <w:hyperlink w:anchor="_Toc506976238" w:history="1">
            <w:r w:rsidR="00410011" w:rsidRPr="008941E3">
              <w:rPr>
                <w:rStyle w:val="Hyperlink"/>
                <w:lang w:val="fr-FR"/>
              </w:rPr>
              <w:t>4.3</w:t>
            </w:r>
            <w:r w:rsidR="00410011">
              <w:rPr>
                <w:rFonts w:asciiTheme="minorHAnsi" w:eastAsiaTheme="minorEastAsia" w:hAnsiTheme="minorHAnsi" w:cstheme="minorBidi"/>
                <w:color w:val="auto"/>
                <w:kern w:val="0"/>
                <w:sz w:val="22"/>
                <w:szCs w:val="22"/>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F253C7">
          <w:pPr>
            <w:pStyle w:val="TOC3"/>
            <w:rPr>
              <w:rFonts w:asciiTheme="minorHAnsi" w:eastAsiaTheme="minorEastAsia" w:hAnsiTheme="minorHAnsi" w:cstheme="minorBidi"/>
              <w:color w:val="auto"/>
              <w:kern w:val="0"/>
              <w:sz w:val="22"/>
              <w:szCs w:val="22"/>
            </w:rPr>
          </w:pPr>
          <w:hyperlink w:anchor="_Toc506976239" w:history="1">
            <w:r w:rsidR="00410011" w:rsidRPr="008941E3">
              <w:rPr>
                <w:rStyle w:val="Hyperlink"/>
                <w:lang w:val="fr-FR"/>
              </w:rPr>
              <w:t>4.3.1</w:t>
            </w:r>
            <w:r w:rsidR="00410011">
              <w:rPr>
                <w:rFonts w:asciiTheme="minorHAnsi" w:eastAsiaTheme="minorEastAsia" w:hAnsiTheme="minorHAnsi" w:cstheme="minorBidi"/>
                <w:color w:val="auto"/>
                <w:kern w:val="0"/>
                <w:sz w:val="22"/>
                <w:szCs w:val="22"/>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F253C7">
          <w:pPr>
            <w:pStyle w:val="TOC3"/>
            <w:rPr>
              <w:rFonts w:asciiTheme="minorHAnsi" w:eastAsiaTheme="minorEastAsia" w:hAnsiTheme="minorHAnsi" w:cstheme="minorBidi"/>
              <w:color w:val="auto"/>
              <w:kern w:val="0"/>
              <w:sz w:val="22"/>
              <w:szCs w:val="22"/>
            </w:rPr>
          </w:pPr>
          <w:hyperlink w:anchor="_Toc506976240" w:history="1">
            <w:r w:rsidR="00410011" w:rsidRPr="008941E3">
              <w:rPr>
                <w:rStyle w:val="Hyperlink"/>
                <w:lang w:val="fr-FR"/>
              </w:rPr>
              <w:t>4.3.2</w:t>
            </w:r>
            <w:r w:rsidR="00410011">
              <w:rPr>
                <w:rFonts w:asciiTheme="minorHAnsi" w:eastAsiaTheme="minorEastAsia" w:hAnsiTheme="minorHAnsi" w:cstheme="minorBidi"/>
                <w:color w:val="auto"/>
                <w:kern w:val="0"/>
                <w:sz w:val="22"/>
                <w:szCs w:val="22"/>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F253C7">
          <w:pPr>
            <w:pStyle w:val="TOC3"/>
            <w:rPr>
              <w:rFonts w:asciiTheme="minorHAnsi" w:eastAsiaTheme="minorEastAsia" w:hAnsiTheme="minorHAnsi" w:cstheme="minorBidi"/>
              <w:color w:val="auto"/>
              <w:kern w:val="0"/>
              <w:sz w:val="22"/>
              <w:szCs w:val="22"/>
            </w:rPr>
          </w:pPr>
          <w:hyperlink w:anchor="_Toc506976241" w:history="1">
            <w:r w:rsidR="00410011" w:rsidRPr="008941E3">
              <w:rPr>
                <w:rStyle w:val="Hyperlink"/>
                <w:lang w:val="fr-FR"/>
              </w:rPr>
              <w:t>4.3.3</w:t>
            </w:r>
            <w:r w:rsidR="00410011">
              <w:rPr>
                <w:rFonts w:asciiTheme="minorHAnsi" w:eastAsiaTheme="minorEastAsia" w:hAnsiTheme="minorHAnsi" w:cstheme="minorBidi"/>
                <w:color w:val="auto"/>
                <w:kern w:val="0"/>
                <w:sz w:val="22"/>
                <w:szCs w:val="22"/>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F253C7">
          <w:pPr>
            <w:pStyle w:val="TOC2"/>
            <w:rPr>
              <w:rFonts w:asciiTheme="minorHAnsi" w:eastAsiaTheme="minorEastAsia" w:hAnsiTheme="minorHAnsi" w:cstheme="minorBidi"/>
              <w:color w:val="auto"/>
              <w:kern w:val="0"/>
              <w:sz w:val="22"/>
              <w:szCs w:val="22"/>
            </w:rPr>
          </w:pPr>
          <w:hyperlink w:anchor="_Toc506976242" w:history="1">
            <w:r w:rsidR="00410011" w:rsidRPr="008941E3">
              <w:rPr>
                <w:rStyle w:val="Hyperlink"/>
                <w:lang w:val="fr-FR"/>
              </w:rPr>
              <w:t>4.4</w:t>
            </w:r>
            <w:r w:rsidR="00410011">
              <w:rPr>
                <w:rFonts w:asciiTheme="minorHAnsi" w:eastAsiaTheme="minorEastAsia" w:hAnsiTheme="minorHAnsi" w:cstheme="minorBidi"/>
                <w:color w:val="auto"/>
                <w:kern w:val="0"/>
                <w:sz w:val="22"/>
                <w:szCs w:val="22"/>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F253C7">
          <w:pPr>
            <w:pStyle w:val="TOC1"/>
            <w:rPr>
              <w:rFonts w:asciiTheme="minorHAnsi" w:eastAsiaTheme="minorEastAsia" w:hAnsiTheme="minorHAnsi" w:cstheme="minorBidi"/>
              <w:b w:val="0"/>
              <w:color w:val="auto"/>
              <w:kern w:val="0"/>
              <w:szCs w:val="22"/>
            </w:rPr>
          </w:pPr>
          <w:hyperlink w:anchor="_Toc506976243" w:history="1">
            <w:r w:rsidR="00410011" w:rsidRPr="008941E3">
              <w:rPr>
                <w:rStyle w:val="Hyperlink"/>
                <w:lang w:val="fr-FR"/>
              </w:rPr>
              <w:t>5</w:t>
            </w:r>
            <w:r w:rsidR="00410011">
              <w:rPr>
                <w:rFonts w:asciiTheme="minorHAnsi" w:eastAsiaTheme="minorEastAsia" w:hAnsiTheme="minorHAnsi" w:cstheme="minorBidi"/>
                <w:b w:val="0"/>
                <w:color w:val="auto"/>
                <w:kern w:val="0"/>
                <w:szCs w:val="22"/>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F253C7">
          <w:pPr>
            <w:pStyle w:val="TOC2"/>
            <w:rPr>
              <w:rFonts w:asciiTheme="minorHAnsi" w:eastAsiaTheme="minorEastAsia" w:hAnsiTheme="minorHAnsi" w:cstheme="minorBidi"/>
              <w:color w:val="auto"/>
              <w:kern w:val="0"/>
              <w:sz w:val="22"/>
              <w:szCs w:val="22"/>
            </w:rPr>
          </w:pPr>
          <w:hyperlink w:anchor="_Toc506976244" w:history="1">
            <w:r w:rsidR="00410011" w:rsidRPr="008941E3">
              <w:rPr>
                <w:rStyle w:val="Hyperlink"/>
                <w:lang w:val="fr-FR"/>
              </w:rPr>
              <w:t>5.1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F253C7">
          <w:pPr>
            <w:pStyle w:val="TOC3"/>
            <w:rPr>
              <w:rFonts w:asciiTheme="minorHAnsi" w:eastAsiaTheme="minorEastAsia" w:hAnsiTheme="minorHAnsi" w:cstheme="minorBidi"/>
              <w:color w:val="auto"/>
              <w:kern w:val="0"/>
              <w:sz w:val="22"/>
              <w:szCs w:val="22"/>
            </w:rPr>
          </w:pPr>
          <w:hyperlink w:anchor="_Toc506976245" w:history="1">
            <w:r w:rsidR="00410011" w:rsidRPr="008941E3">
              <w:rPr>
                <w:rStyle w:val="Hyperlink"/>
                <w:lang w:val="fr-FR"/>
              </w:rPr>
              <w:t>5.1.1</w:t>
            </w:r>
            <w:r w:rsidR="00410011">
              <w:rPr>
                <w:rFonts w:asciiTheme="minorHAnsi" w:eastAsiaTheme="minorEastAsia" w:hAnsiTheme="minorHAnsi" w:cstheme="minorBidi"/>
                <w:color w:val="auto"/>
                <w:kern w:val="0"/>
                <w:sz w:val="22"/>
                <w:szCs w:val="22"/>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F253C7">
          <w:pPr>
            <w:pStyle w:val="TOC3"/>
            <w:rPr>
              <w:rFonts w:asciiTheme="minorHAnsi" w:eastAsiaTheme="minorEastAsia" w:hAnsiTheme="minorHAnsi" w:cstheme="minorBidi"/>
              <w:color w:val="auto"/>
              <w:kern w:val="0"/>
              <w:sz w:val="22"/>
              <w:szCs w:val="22"/>
            </w:rPr>
          </w:pPr>
          <w:hyperlink w:anchor="_Toc506976246" w:history="1">
            <w:r w:rsidR="00410011" w:rsidRPr="008941E3">
              <w:rPr>
                <w:rStyle w:val="Hyperlink"/>
                <w:lang w:val="fr-FR"/>
              </w:rPr>
              <w:t>5.1.2</w:t>
            </w:r>
            <w:r w:rsidR="00410011">
              <w:rPr>
                <w:rFonts w:asciiTheme="minorHAnsi" w:eastAsiaTheme="minorEastAsia" w:hAnsiTheme="minorHAnsi" w:cstheme="minorBidi"/>
                <w:color w:val="auto"/>
                <w:kern w:val="0"/>
                <w:sz w:val="22"/>
                <w:szCs w:val="22"/>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F253C7">
          <w:pPr>
            <w:pStyle w:val="TOC2"/>
            <w:rPr>
              <w:rFonts w:asciiTheme="minorHAnsi" w:eastAsiaTheme="minorEastAsia" w:hAnsiTheme="minorHAnsi" w:cstheme="minorBidi"/>
              <w:color w:val="auto"/>
              <w:kern w:val="0"/>
              <w:sz w:val="22"/>
              <w:szCs w:val="22"/>
            </w:rPr>
          </w:pPr>
          <w:hyperlink w:anchor="_Toc506976247" w:history="1">
            <w:r w:rsidR="00410011" w:rsidRPr="008941E3">
              <w:rPr>
                <w:rStyle w:val="Hyperlink"/>
                <w:lang w:val="fr-FR"/>
              </w:rPr>
              <w:t>5.2</w:t>
            </w:r>
            <w:r w:rsidR="00410011">
              <w:rPr>
                <w:rFonts w:asciiTheme="minorHAnsi" w:eastAsiaTheme="minorEastAsia" w:hAnsiTheme="minorHAnsi" w:cstheme="minorBidi"/>
                <w:color w:val="auto"/>
                <w:kern w:val="0"/>
                <w:sz w:val="22"/>
                <w:szCs w:val="22"/>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F253C7">
          <w:pPr>
            <w:pStyle w:val="TOC2"/>
            <w:rPr>
              <w:rFonts w:asciiTheme="minorHAnsi" w:eastAsiaTheme="minorEastAsia" w:hAnsiTheme="minorHAnsi" w:cstheme="minorBidi"/>
              <w:color w:val="auto"/>
              <w:kern w:val="0"/>
              <w:sz w:val="22"/>
              <w:szCs w:val="22"/>
            </w:rPr>
          </w:pPr>
          <w:hyperlink w:anchor="_Toc506976248" w:history="1">
            <w:r w:rsidR="00410011" w:rsidRPr="008941E3">
              <w:rPr>
                <w:rStyle w:val="Hyperlink"/>
                <w:lang w:val="fr-FR"/>
              </w:rPr>
              <w:t>5.3</w:t>
            </w:r>
            <w:r w:rsidR="00410011">
              <w:rPr>
                <w:rFonts w:asciiTheme="minorHAnsi" w:eastAsiaTheme="minorEastAsia" w:hAnsiTheme="minorHAnsi" w:cstheme="minorBidi"/>
                <w:color w:val="auto"/>
                <w:kern w:val="0"/>
                <w:sz w:val="22"/>
                <w:szCs w:val="22"/>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F253C7">
          <w:pPr>
            <w:pStyle w:val="TOC2"/>
            <w:rPr>
              <w:rFonts w:asciiTheme="minorHAnsi" w:eastAsiaTheme="minorEastAsia" w:hAnsiTheme="minorHAnsi" w:cstheme="minorBidi"/>
              <w:color w:val="auto"/>
              <w:kern w:val="0"/>
              <w:sz w:val="22"/>
              <w:szCs w:val="22"/>
            </w:rPr>
          </w:pPr>
          <w:hyperlink w:anchor="_Toc506976249" w:history="1">
            <w:r w:rsidR="00410011" w:rsidRPr="008941E3">
              <w:rPr>
                <w:rStyle w:val="Hyperlink"/>
                <w:lang w:val="fr-FR"/>
              </w:rPr>
              <w:t>5.4</w:t>
            </w:r>
            <w:r w:rsidR="00410011">
              <w:rPr>
                <w:rFonts w:asciiTheme="minorHAnsi" w:eastAsiaTheme="minorEastAsia" w:hAnsiTheme="minorHAnsi" w:cstheme="minorBidi"/>
                <w:color w:val="auto"/>
                <w:kern w:val="0"/>
                <w:sz w:val="22"/>
                <w:szCs w:val="22"/>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F253C7">
          <w:pPr>
            <w:pStyle w:val="TOC1"/>
            <w:rPr>
              <w:rFonts w:asciiTheme="minorHAnsi" w:eastAsiaTheme="minorEastAsia" w:hAnsiTheme="minorHAnsi" w:cstheme="minorBidi"/>
              <w:b w:val="0"/>
              <w:color w:val="auto"/>
              <w:kern w:val="0"/>
              <w:szCs w:val="22"/>
            </w:rPr>
          </w:pPr>
          <w:hyperlink w:anchor="_Toc506976250" w:history="1">
            <w:r w:rsidR="00410011" w:rsidRPr="008941E3">
              <w:rPr>
                <w:rStyle w:val="Hyperlink"/>
                <w:lang w:val="fr-FR"/>
              </w:rPr>
              <w:t>6</w:t>
            </w:r>
            <w:r w:rsidR="00410011">
              <w:rPr>
                <w:rFonts w:asciiTheme="minorHAnsi" w:eastAsiaTheme="minorEastAsia" w:hAnsiTheme="minorHAnsi" w:cstheme="minorBidi"/>
                <w:b w:val="0"/>
                <w:color w:val="auto"/>
                <w:kern w:val="0"/>
                <w:szCs w:val="22"/>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F253C7">
          <w:pPr>
            <w:pStyle w:val="TOC1"/>
            <w:rPr>
              <w:rFonts w:asciiTheme="minorHAnsi" w:eastAsiaTheme="minorEastAsia" w:hAnsiTheme="minorHAnsi" w:cstheme="minorBidi"/>
              <w:b w:val="0"/>
              <w:color w:val="auto"/>
              <w:kern w:val="0"/>
              <w:szCs w:val="22"/>
            </w:rPr>
          </w:pPr>
          <w:hyperlink w:anchor="_Toc506976251" w:history="1">
            <w:r w:rsidR="00410011" w:rsidRPr="008941E3">
              <w:rPr>
                <w:rStyle w:val="Hyperlink"/>
                <w:lang w:val="fr-FR"/>
              </w:rPr>
              <w:t>7</w:t>
            </w:r>
            <w:r w:rsidR="00410011">
              <w:rPr>
                <w:rFonts w:asciiTheme="minorHAnsi" w:eastAsiaTheme="minorEastAsia" w:hAnsiTheme="minorHAnsi" w:cstheme="minorBidi"/>
                <w:b w:val="0"/>
                <w:color w:val="auto"/>
                <w:kern w:val="0"/>
                <w:szCs w:val="22"/>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F253C7">
          <w:pPr>
            <w:pStyle w:val="TOC2"/>
            <w:rPr>
              <w:rFonts w:asciiTheme="minorHAnsi" w:eastAsiaTheme="minorEastAsia" w:hAnsiTheme="minorHAnsi" w:cstheme="minorBidi"/>
              <w:color w:val="auto"/>
              <w:kern w:val="0"/>
              <w:sz w:val="22"/>
              <w:szCs w:val="22"/>
            </w:rPr>
          </w:pPr>
          <w:hyperlink w:anchor="_Toc506976252" w:history="1">
            <w:r w:rsidR="00410011" w:rsidRPr="008941E3">
              <w:rPr>
                <w:rStyle w:val="Hyperlink"/>
                <w:lang w:val="fr-FR"/>
              </w:rPr>
              <w:t>7.1</w:t>
            </w:r>
            <w:r w:rsidR="00410011">
              <w:rPr>
                <w:rFonts w:asciiTheme="minorHAnsi" w:eastAsiaTheme="minorEastAsia" w:hAnsiTheme="minorHAnsi" w:cstheme="minorBidi"/>
                <w:color w:val="auto"/>
                <w:kern w:val="0"/>
                <w:sz w:val="22"/>
                <w:szCs w:val="22"/>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F253C7">
          <w:pPr>
            <w:pStyle w:val="TOC2"/>
            <w:rPr>
              <w:rFonts w:asciiTheme="minorHAnsi" w:eastAsiaTheme="minorEastAsia" w:hAnsiTheme="minorHAnsi" w:cstheme="minorBidi"/>
              <w:color w:val="auto"/>
              <w:kern w:val="0"/>
              <w:sz w:val="22"/>
              <w:szCs w:val="22"/>
            </w:rPr>
          </w:pPr>
          <w:hyperlink w:anchor="_Toc506976253" w:history="1">
            <w:r w:rsidR="00410011" w:rsidRPr="008941E3">
              <w:rPr>
                <w:rStyle w:val="Hyperlink"/>
                <w:lang w:val="fr-FR"/>
              </w:rPr>
              <w:t>7.2</w:t>
            </w:r>
            <w:r w:rsidR="00410011">
              <w:rPr>
                <w:rFonts w:asciiTheme="minorHAnsi" w:eastAsiaTheme="minorEastAsia" w:hAnsiTheme="minorHAnsi" w:cstheme="minorBidi"/>
                <w:color w:val="auto"/>
                <w:kern w:val="0"/>
                <w:sz w:val="22"/>
                <w:szCs w:val="22"/>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F253C7">
          <w:pPr>
            <w:pStyle w:val="TOC1"/>
            <w:rPr>
              <w:rFonts w:asciiTheme="minorHAnsi" w:eastAsiaTheme="minorEastAsia" w:hAnsiTheme="minorHAnsi" w:cstheme="minorBidi"/>
              <w:b w:val="0"/>
              <w:color w:val="auto"/>
              <w:kern w:val="0"/>
              <w:szCs w:val="22"/>
            </w:rPr>
          </w:pPr>
          <w:hyperlink w:anchor="_Toc506976254" w:history="1">
            <w:r w:rsidR="00410011" w:rsidRPr="008941E3">
              <w:rPr>
                <w:rStyle w:val="Hyperlink"/>
                <w:lang w:val="fr-FR"/>
              </w:rPr>
              <w:t>8</w:t>
            </w:r>
            <w:r w:rsidR="00410011">
              <w:rPr>
                <w:rFonts w:asciiTheme="minorHAnsi" w:eastAsiaTheme="minorEastAsia" w:hAnsiTheme="minorHAnsi" w:cstheme="minorBidi"/>
                <w:b w:val="0"/>
                <w:color w:val="auto"/>
                <w:kern w:val="0"/>
                <w:szCs w:val="22"/>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F253C7">
          <w:pPr>
            <w:pStyle w:val="TOC2"/>
            <w:rPr>
              <w:rFonts w:asciiTheme="minorHAnsi" w:eastAsiaTheme="minorEastAsia" w:hAnsiTheme="minorHAnsi" w:cstheme="minorBidi"/>
              <w:color w:val="auto"/>
              <w:kern w:val="0"/>
              <w:sz w:val="22"/>
              <w:szCs w:val="22"/>
            </w:rPr>
          </w:pPr>
          <w:hyperlink w:anchor="_Toc506976255" w:history="1">
            <w:r w:rsidR="00410011" w:rsidRPr="008941E3">
              <w:rPr>
                <w:rStyle w:val="Hyperlink"/>
                <w:lang w:val="fr-FR"/>
              </w:rPr>
              <w:t>8.1</w:t>
            </w:r>
            <w:r w:rsidR="00410011">
              <w:rPr>
                <w:rFonts w:asciiTheme="minorHAnsi" w:eastAsiaTheme="minorEastAsia" w:hAnsiTheme="minorHAnsi" w:cstheme="minorBidi"/>
                <w:color w:val="auto"/>
                <w:kern w:val="0"/>
                <w:sz w:val="22"/>
                <w:szCs w:val="22"/>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F253C7">
          <w:pPr>
            <w:pStyle w:val="TOC2"/>
            <w:rPr>
              <w:rFonts w:asciiTheme="minorHAnsi" w:eastAsiaTheme="minorEastAsia" w:hAnsiTheme="minorHAnsi" w:cstheme="minorBidi"/>
              <w:color w:val="auto"/>
              <w:kern w:val="0"/>
              <w:sz w:val="22"/>
              <w:szCs w:val="22"/>
            </w:rPr>
          </w:pPr>
          <w:hyperlink w:anchor="_Toc506976256" w:history="1">
            <w:r w:rsidR="00410011" w:rsidRPr="008941E3">
              <w:rPr>
                <w:rStyle w:val="Hyperlink"/>
                <w:lang w:val="fr-FR"/>
              </w:rPr>
              <w:t>8.2</w:t>
            </w:r>
            <w:r w:rsidR="00410011">
              <w:rPr>
                <w:rFonts w:asciiTheme="minorHAnsi" w:eastAsiaTheme="minorEastAsia" w:hAnsiTheme="minorHAnsi" w:cstheme="minorBidi"/>
                <w:color w:val="auto"/>
                <w:kern w:val="0"/>
                <w:sz w:val="22"/>
                <w:szCs w:val="22"/>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F253C7">
          <w:pPr>
            <w:pStyle w:val="TOC3"/>
            <w:rPr>
              <w:rFonts w:asciiTheme="minorHAnsi" w:eastAsiaTheme="minorEastAsia" w:hAnsiTheme="minorHAnsi" w:cstheme="minorBidi"/>
              <w:color w:val="auto"/>
              <w:kern w:val="0"/>
              <w:sz w:val="22"/>
              <w:szCs w:val="22"/>
            </w:rPr>
          </w:pPr>
          <w:hyperlink w:anchor="_Toc506976257" w:history="1">
            <w:r w:rsidR="00410011" w:rsidRPr="008941E3">
              <w:rPr>
                <w:rStyle w:val="Hyperlink"/>
                <w:lang w:val="fr-FR"/>
              </w:rPr>
              <w:t>8.2.1</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F253C7">
          <w:pPr>
            <w:pStyle w:val="TOC3"/>
            <w:rPr>
              <w:rFonts w:asciiTheme="minorHAnsi" w:eastAsiaTheme="minorEastAsia" w:hAnsiTheme="minorHAnsi" w:cstheme="minorBidi"/>
              <w:color w:val="auto"/>
              <w:kern w:val="0"/>
              <w:sz w:val="22"/>
              <w:szCs w:val="22"/>
            </w:rPr>
          </w:pPr>
          <w:hyperlink w:anchor="_Toc506976258" w:history="1">
            <w:r w:rsidR="00410011" w:rsidRPr="008941E3">
              <w:rPr>
                <w:rStyle w:val="Hyperlink"/>
                <w:lang w:val="fr-FR"/>
              </w:rPr>
              <w:t>8.2.2</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F253C7">
          <w:pPr>
            <w:pStyle w:val="TOC1"/>
            <w:rPr>
              <w:rFonts w:asciiTheme="minorHAnsi" w:eastAsiaTheme="minorEastAsia" w:hAnsiTheme="minorHAnsi" w:cstheme="minorBidi"/>
              <w:b w:val="0"/>
              <w:color w:val="auto"/>
              <w:kern w:val="0"/>
              <w:szCs w:val="22"/>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410011" w:rsidRPr="00417100">
        <w:rPr>
          <w:lang w:val="fr-FR"/>
        </w:rPr>
        <w:t>Figure 1: Le processus d’appréciation du risque</w:t>
      </w:r>
      <w:r w:rsidR="00410011" w:rsidRPr="00410011">
        <w:rPr>
          <w:lang w:val="fr-FR"/>
        </w:rPr>
        <w:tab/>
      </w:r>
      <w:r w:rsidR="00410011">
        <w:fldChar w:fldCharType="begin"/>
      </w:r>
      <w:r w:rsidR="00410011" w:rsidRPr="00410011">
        <w:rPr>
          <w:lang w:val="fr-FR"/>
        </w:rPr>
        <w:instrText xml:space="preserve"> PAGEREF _Toc506976260 \h </w:instrText>
      </w:r>
      <w:r w:rsidR="00410011">
        <w:fldChar w:fldCharType="separate"/>
      </w:r>
      <w:r w:rsidR="00410011" w:rsidRPr="00410011">
        <w:rPr>
          <w:lang w:val="fr-FR"/>
        </w:rPr>
        <w:t>10</w:t>
      </w:r>
      <w:r w:rsidR="00410011">
        <w:fldChar w:fldCharType="end"/>
      </w:r>
    </w:p>
    <w:p w14:paraId="0C2E183A" w14:textId="7602DBB3"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2 : Perte annuelle attendue (ALE) par actif</w:t>
      </w:r>
      <w:r w:rsidRPr="00410011">
        <w:rPr>
          <w:lang w:val="fr-FR"/>
        </w:rPr>
        <w:tab/>
      </w:r>
      <w:r>
        <w:fldChar w:fldCharType="begin"/>
      </w:r>
      <w:r w:rsidRPr="00410011">
        <w:rPr>
          <w:lang w:val="fr-FR"/>
        </w:rPr>
        <w:instrText xml:space="preserve"> PAGEREF _Toc506976261 \h </w:instrText>
      </w:r>
      <w:r>
        <w:fldChar w:fldCharType="separate"/>
      </w:r>
      <w:r w:rsidRPr="00410011">
        <w:rPr>
          <w:lang w:val="fr-FR"/>
        </w:rPr>
        <w:t>18</w:t>
      </w:r>
      <w:r>
        <w:fldChar w:fldCharType="end"/>
      </w:r>
    </w:p>
    <w:p w14:paraId="5F6432CC" w14:textId="532AF86D"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3 : Perte annuelle attendue (ALE) par type d’actif</w:t>
      </w:r>
      <w:r w:rsidRPr="00410011">
        <w:rPr>
          <w:lang w:val="fr-FR"/>
        </w:rPr>
        <w:tab/>
      </w:r>
      <w:r>
        <w:fldChar w:fldCharType="begin"/>
      </w:r>
      <w:r w:rsidRPr="00410011">
        <w:rPr>
          <w:lang w:val="fr-FR"/>
        </w:rPr>
        <w:instrText xml:space="preserve"> PAGEREF _Toc506976262 \h </w:instrText>
      </w:r>
      <w:r>
        <w:fldChar w:fldCharType="separate"/>
      </w:r>
      <w:r w:rsidRPr="00410011">
        <w:rPr>
          <w:lang w:val="fr-FR"/>
        </w:rPr>
        <w:t>18</w:t>
      </w:r>
      <w:r>
        <w:fldChar w:fldCharType="end"/>
      </w:r>
    </w:p>
    <w:p w14:paraId="21FDB220" w14:textId="14ADA53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4 : Perte annuelle attendue (ALE) par scénario de risque</w:t>
      </w:r>
      <w:r w:rsidRPr="00410011">
        <w:rPr>
          <w:lang w:val="fr-FR"/>
        </w:rPr>
        <w:tab/>
      </w:r>
      <w:r>
        <w:fldChar w:fldCharType="begin"/>
      </w:r>
      <w:r w:rsidRPr="00410011">
        <w:rPr>
          <w:lang w:val="fr-FR"/>
        </w:rPr>
        <w:instrText xml:space="preserve"> PAGEREF _Toc506976263 \h </w:instrText>
      </w:r>
      <w:r>
        <w:fldChar w:fldCharType="separate"/>
      </w:r>
      <w:r w:rsidRPr="00410011">
        <w:rPr>
          <w:lang w:val="fr-FR"/>
        </w:rPr>
        <w:t>19</w:t>
      </w:r>
      <w:r>
        <w:fldChar w:fldCharType="end"/>
      </w:r>
    </w:p>
    <w:p w14:paraId="1CA72C53" w14:textId="08F1C5C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5 : Perte annuelle attendue (ALE) par type de scénario de risque</w:t>
      </w:r>
      <w:r w:rsidRPr="00410011">
        <w:rPr>
          <w:lang w:val="fr-FR"/>
        </w:rPr>
        <w:tab/>
      </w:r>
      <w:r>
        <w:fldChar w:fldCharType="begin"/>
      </w:r>
      <w:r w:rsidRPr="00410011">
        <w:rPr>
          <w:lang w:val="fr-FR"/>
        </w:rPr>
        <w:instrText xml:space="preserve"> PAGEREF _Toc506976264 \h </w:instrText>
      </w:r>
      <w:r>
        <w:fldChar w:fldCharType="separate"/>
      </w:r>
      <w:r w:rsidRPr="00410011">
        <w:rPr>
          <w:lang w:val="fr-FR"/>
        </w:rPr>
        <w:t>19</w:t>
      </w:r>
      <w:r>
        <w:fldChar w:fldCharType="end"/>
      </w:r>
    </w:p>
    <w:p w14:paraId="545C368E" w14:textId="1E47CB7F"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6 : Rentabilité du plan de traitement des risques</w:t>
      </w:r>
      <w:r w:rsidRPr="00410011">
        <w:rPr>
          <w:lang w:val="fr-FR"/>
        </w:rPr>
        <w:tab/>
      </w:r>
      <w:r>
        <w:fldChar w:fldCharType="begin"/>
      </w:r>
      <w:r w:rsidRPr="00410011">
        <w:rPr>
          <w:lang w:val="fr-FR"/>
        </w:rPr>
        <w:instrText xml:space="preserve"> PAGEREF _Toc506976265 \h </w:instrText>
      </w:r>
      <w:r>
        <w:fldChar w:fldCharType="separate"/>
      </w:r>
      <w:r w:rsidRPr="00410011">
        <w:rPr>
          <w:lang w:val="fr-FR"/>
        </w:rPr>
        <w:t>22</w:t>
      </w:r>
      <w:r>
        <w:fldChar w:fldCharType="end"/>
      </w:r>
    </w:p>
    <w:p w14:paraId="70A5CD95" w14:textId="602AF679"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7 : Taux de conformité ISO/IEC 27001 pendant les différentes phases d’implémentation</w:t>
      </w:r>
      <w:r w:rsidRPr="00410011">
        <w:rPr>
          <w:lang w:val="fr-FR"/>
        </w:rPr>
        <w:tab/>
      </w:r>
      <w:r>
        <w:fldChar w:fldCharType="begin"/>
      </w:r>
      <w:r w:rsidRPr="00410011">
        <w:rPr>
          <w:lang w:val="fr-FR"/>
        </w:rPr>
        <w:instrText xml:space="preserve"> PAGEREF _Toc506976266 \h </w:instrText>
      </w:r>
      <w:r>
        <w:fldChar w:fldCharType="separate"/>
      </w:r>
      <w:r w:rsidRPr="00410011">
        <w:rPr>
          <w:lang w:val="fr-FR"/>
        </w:rPr>
        <w:t>25</w:t>
      </w:r>
      <w:r>
        <w:fldChar w:fldCharType="end"/>
      </w:r>
    </w:p>
    <w:p w14:paraId="23CCD1D4" w14:textId="2A8AB5A6"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8 : Taux de conformité ISO/IEC 27002 pendant les différentes phases d’implémentation</w:t>
      </w:r>
      <w:r w:rsidRPr="00410011">
        <w:rPr>
          <w:lang w:val="fr-FR"/>
        </w:rPr>
        <w:tab/>
      </w:r>
      <w:r>
        <w:fldChar w:fldCharType="begin"/>
      </w:r>
      <w:r w:rsidRPr="00410011">
        <w:rPr>
          <w:lang w:val="fr-FR"/>
        </w:rPr>
        <w:instrText xml:space="preserve"> PAGEREF _Toc506976267 \h </w:instrText>
      </w:r>
      <w:r>
        <w:fldChar w:fldCharType="separate"/>
      </w:r>
      <w:r w:rsidRPr="00410011">
        <w:rPr>
          <w:lang w:val="fr-FR"/>
        </w:rPr>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asciiTheme="minorHAnsi" w:eastAsiaTheme="minorEastAsia" w:hAnsiTheme="minorHAnsi" w:cstheme="minorBidi"/>
          <w:color w:val="auto"/>
          <w:kern w:val="0"/>
          <w:szCs w:val="22"/>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506976268" w:history="1">
        <w:r w:rsidR="00410011" w:rsidRPr="00992303">
          <w:rPr>
            <w:rStyle w:val="Hyperlink"/>
            <w:lang w:val="fr-FR"/>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F253C7">
      <w:pPr>
        <w:pStyle w:val="TableofFigures"/>
        <w:rPr>
          <w:rFonts w:asciiTheme="minorHAnsi" w:eastAsiaTheme="minorEastAsia" w:hAnsiTheme="minorHAnsi" w:cstheme="minorBidi"/>
          <w:color w:val="auto"/>
          <w:kern w:val="0"/>
          <w:szCs w:val="22"/>
        </w:rPr>
      </w:pPr>
      <w:hyperlink w:anchor="_Toc506976269" w:history="1">
        <w:r w:rsidR="00410011" w:rsidRPr="00992303">
          <w:rPr>
            <w:rStyle w:val="Hyperlink"/>
            <w:lang w:val="fr-FR"/>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F253C7">
      <w:pPr>
        <w:pStyle w:val="TableofFigures"/>
        <w:rPr>
          <w:rFonts w:asciiTheme="minorHAnsi" w:eastAsiaTheme="minorEastAsia" w:hAnsiTheme="minorHAnsi" w:cstheme="minorBidi"/>
          <w:color w:val="auto"/>
          <w:kern w:val="0"/>
          <w:szCs w:val="22"/>
        </w:rPr>
      </w:pPr>
      <w:hyperlink w:anchor="_Toc506976270" w:history="1">
        <w:r w:rsidR="00410011" w:rsidRPr="00992303">
          <w:rPr>
            <w:rStyle w:val="Hyperlink"/>
            <w:lang w:val="fr-FR"/>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F253C7">
      <w:pPr>
        <w:pStyle w:val="TableofFigures"/>
        <w:rPr>
          <w:rFonts w:asciiTheme="minorHAnsi" w:eastAsiaTheme="minorEastAsia" w:hAnsiTheme="minorHAnsi" w:cstheme="minorBidi"/>
          <w:color w:val="auto"/>
          <w:kern w:val="0"/>
          <w:szCs w:val="22"/>
        </w:rPr>
      </w:pPr>
      <w:hyperlink w:anchor="_Toc506976271" w:history="1">
        <w:r w:rsidR="00410011" w:rsidRPr="00992303">
          <w:rPr>
            <w:rStyle w:val="Hyperlink"/>
            <w:lang w:val="fr-FR"/>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F253C7">
      <w:pPr>
        <w:pStyle w:val="TableofFigures"/>
        <w:rPr>
          <w:rFonts w:asciiTheme="minorHAnsi" w:eastAsiaTheme="minorEastAsia" w:hAnsiTheme="minorHAnsi" w:cstheme="minorBidi"/>
          <w:color w:val="auto"/>
          <w:kern w:val="0"/>
          <w:szCs w:val="22"/>
        </w:rPr>
      </w:pPr>
      <w:hyperlink w:anchor="_Toc506976272" w:history="1">
        <w:r w:rsidR="00410011" w:rsidRPr="00992303">
          <w:rPr>
            <w:rStyle w:val="Hyperlink"/>
            <w:lang w:val="fr-FR"/>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F253C7">
      <w:pPr>
        <w:pStyle w:val="TableofFigures"/>
        <w:rPr>
          <w:rFonts w:asciiTheme="minorHAnsi" w:eastAsiaTheme="minorEastAsia" w:hAnsiTheme="minorHAnsi" w:cstheme="minorBidi"/>
          <w:color w:val="auto"/>
          <w:kern w:val="0"/>
          <w:szCs w:val="22"/>
        </w:rPr>
      </w:pPr>
      <w:hyperlink w:anchor="_Toc506976273" w:history="1">
        <w:r w:rsidR="00410011" w:rsidRPr="00992303">
          <w:rPr>
            <w:rStyle w:val="Hyperlink"/>
            <w:lang w:val="fr-FR"/>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F253C7">
      <w:pPr>
        <w:pStyle w:val="TableofFigures"/>
        <w:rPr>
          <w:rFonts w:asciiTheme="minorHAnsi" w:eastAsiaTheme="minorEastAsia" w:hAnsiTheme="minorHAnsi" w:cstheme="minorBidi"/>
          <w:color w:val="auto"/>
          <w:kern w:val="0"/>
          <w:szCs w:val="22"/>
        </w:rPr>
      </w:pPr>
      <w:hyperlink w:anchor="_Toc506976274" w:history="1">
        <w:r w:rsidR="00410011" w:rsidRPr="00992303">
          <w:rPr>
            <w:rStyle w:val="Hyperlink"/>
            <w:lang w:val="fr-FR"/>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F253C7">
      <w:pPr>
        <w:pStyle w:val="TableofFigures"/>
        <w:rPr>
          <w:rFonts w:asciiTheme="minorHAnsi" w:eastAsiaTheme="minorEastAsia" w:hAnsiTheme="minorHAnsi" w:cstheme="minorBidi"/>
          <w:color w:val="auto"/>
          <w:kern w:val="0"/>
          <w:szCs w:val="22"/>
        </w:rPr>
      </w:pPr>
      <w:hyperlink w:anchor="_Toc506976275" w:history="1">
        <w:r w:rsidR="00410011" w:rsidRPr="00992303">
          <w:rPr>
            <w:rStyle w:val="Hyperlink"/>
            <w:lang w:val="fr-FR"/>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F253C7">
      <w:pPr>
        <w:pStyle w:val="TableofFigures"/>
        <w:rPr>
          <w:rFonts w:asciiTheme="minorHAnsi" w:eastAsiaTheme="minorEastAsia" w:hAnsiTheme="minorHAnsi" w:cstheme="minorBidi"/>
          <w:color w:val="auto"/>
          <w:kern w:val="0"/>
          <w:szCs w:val="22"/>
        </w:rPr>
      </w:pPr>
      <w:hyperlink w:anchor="_Toc506976276" w:history="1">
        <w:r w:rsidR="00410011" w:rsidRPr="00992303">
          <w:rPr>
            <w:rStyle w:val="Hyperlink"/>
            <w:lang w:val="fr-FR"/>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F253C7">
      <w:pPr>
        <w:pStyle w:val="TableofFigures"/>
        <w:rPr>
          <w:rFonts w:asciiTheme="minorHAnsi" w:eastAsiaTheme="minorEastAsia" w:hAnsiTheme="minorHAnsi" w:cstheme="minorBidi"/>
          <w:color w:val="auto"/>
          <w:kern w:val="0"/>
          <w:szCs w:val="22"/>
        </w:rPr>
      </w:pPr>
      <w:hyperlink w:anchor="_Toc506976277" w:history="1">
        <w:r w:rsidR="00410011" w:rsidRPr="00992303">
          <w:rPr>
            <w:rStyle w:val="Hyperlink"/>
            <w:lang w:val="fr-FR"/>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F253C7">
      <w:pPr>
        <w:pStyle w:val="TableofFigures"/>
        <w:rPr>
          <w:rFonts w:asciiTheme="minorHAnsi" w:eastAsiaTheme="minorEastAsia" w:hAnsiTheme="minorHAnsi" w:cstheme="minorBidi"/>
          <w:color w:val="auto"/>
          <w:kern w:val="0"/>
          <w:szCs w:val="22"/>
        </w:rPr>
      </w:pPr>
      <w:hyperlink w:anchor="_Toc506976278" w:history="1">
        <w:r w:rsidR="00410011" w:rsidRPr="00992303">
          <w:rPr>
            <w:rStyle w:val="Hyperlink"/>
            <w:lang w:val="fr-FR"/>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F253C7">
      <w:pPr>
        <w:pStyle w:val="TableofFigures"/>
        <w:rPr>
          <w:rFonts w:asciiTheme="minorHAnsi" w:eastAsiaTheme="minorEastAsia" w:hAnsiTheme="minorHAnsi" w:cstheme="minorBidi"/>
          <w:color w:val="auto"/>
          <w:kern w:val="0"/>
          <w:szCs w:val="22"/>
        </w:rPr>
      </w:pPr>
      <w:hyperlink w:anchor="_Toc506976279" w:history="1">
        <w:r w:rsidR="00410011" w:rsidRPr="00992303">
          <w:rPr>
            <w:rStyle w:val="Hyperlink"/>
            <w:lang w:val="fr-FR"/>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F253C7">
      <w:pPr>
        <w:pStyle w:val="TableofFigures"/>
        <w:rPr>
          <w:rFonts w:asciiTheme="minorHAnsi" w:eastAsiaTheme="minorEastAsia" w:hAnsiTheme="minorHAnsi" w:cstheme="minorBidi"/>
          <w:color w:val="auto"/>
          <w:kern w:val="0"/>
          <w:szCs w:val="22"/>
        </w:rPr>
      </w:pPr>
      <w:hyperlink w:anchor="_Toc506976280" w:history="1">
        <w:r w:rsidR="00410011" w:rsidRPr="00992303">
          <w:rPr>
            <w:rStyle w:val="Hyperlink"/>
            <w:lang w:val="fr-FR"/>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F253C7">
      <w:pPr>
        <w:pStyle w:val="TableofFigures"/>
        <w:rPr>
          <w:rFonts w:asciiTheme="minorHAnsi" w:eastAsiaTheme="minorEastAsia" w:hAnsiTheme="minorHAnsi" w:cstheme="minorBidi"/>
          <w:color w:val="auto"/>
          <w:kern w:val="0"/>
          <w:szCs w:val="22"/>
        </w:rPr>
      </w:pPr>
      <w:hyperlink w:anchor="_Toc506976281" w:history="1">
        <w:r w:rsidR="00410011" w:rsidRPr="00992303">
          <w:rPr>
            <w:rStyle w:val="Hyperlink"/>
            <w:lang w:val="fr-FR"/>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lastRenderedPageBreak/>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itrust1"/>
        <w:tblW w:w="0" w:type="auto"/>
        <w:tblLook w:val="0480" w:firstRow="0" w:lastRow="0" w:firstColumn="1" w:lastColumn="0" w:noHBand="0" w:noVBand="1"/>
      </w:tblPr>
      <w:tblGrid>
        <w:gridCol w:w="1314"/>
        <w:gridCol w:w="8314"/>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009150FF" w:rsidRPr="00AA3889">
              <w:rPr>
                <w:lang w:val="fr-FR"/>
              </w:rPr>
              <w:t>ncy (Perte annuelle attendue)</w:t>
            </w:r>
          </w:p>
        </w:tc>
      </w:tr>
      <w:tr w:rsidR="00796370" w:rsidRPr="00784F3D"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784F3D"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Tool for RIsk management base</w:t>
            </w:r>
            <w:r w:rsidR="009150FF" w:rsidRPr="0058110C">
              <w:t>d on Central Knowledge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itrust1"/>
        <w:tblW w:w="0" w:type="auto"/>
        <w:tblLook w:val="0480" w:firstRow="0" w:lastRow="0" w:firstColumn="1" w:lastColumn="0" w:noHBand="0" w:noVBand="1"/>
      </w:tblPr>
      <w:tblGrid>
        <w:gridCol w:w="2410"/>
        <w:gridCol w:w="7218"/>
      </w:tblGrid>
      <w:tr w:rsidR="00AA086F" w:rsidRPr="00784F3D"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784F3D"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784F3D"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784F3D"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784F3D"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784F3D"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784F3D"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784F3D"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784F3D"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784F3D"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784F3D"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784F3D"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784F3D"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Pr="00AA3889">
              <w:rPr>
                <w:lang w:val="fr-FR"/>
              </w:rPr>
              <w:t>ncy (Perte annuelle attendue), c’est la métrique pour comparer des risques (en €)</w:t>
            </w:r>
            <w:r w:rsidR="00AA3889">
              <w:rPr>
                <w:lang w:val="fr-FR"/>
              </w:rPr>
              <w:t>.</w:t>
            </w:r>
          </w:p>
        </w:tc>
      </w:tr>
      <w:tr w:rsidR="009150FF" w:rsidRPr="00784F3D"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784F3D"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784F3D"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784F3D"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784F3D"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TS_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d’affaire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r w:rsidR="00C61F6D" w:rsidRPr="00AA3889">
        <w:rPr>
          <w:lang w:val="fr-FR"/>
        </w:rPr>
        <w:t>s</w:t>
      </w:r>
      <w:r w:rsidR="00173B00" w:rsidRPr="00AA3889">
        <w:rPr>
          <w:lang w:val="fr-FR"/>
        </w:rPr>
        <w:t xml:space="preserve">oit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r w:rsidRPr="00AA3889">
        <w:rPr>
          <w:lang w:val="fr-FR"/>
        </w:rPr>
        <w:t xml:space="preserve">soit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TS_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r w:rsidRPr="00AA3889">
              <w:rPr>
                <w:lang w:val="fr-FR"/>
              </w:rPr>
              <w:t>Dé</w:t>
            </w:r>
            <w:r w:rsidR="008A6048" w:rsidRPr="00AA3889">
              <w:rPr>
                <w:lang w:val="fr-FR"/>
              </w:rPr>
              <w:t>partment</w:t>
            </w:r>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2D2EFCF4" w14:textId="7D6F0E12" w:rsidR="00186978" w:rsidRPr="00AA3889" w:rsidRDefault="00F253C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r w:rsidR="0058110C">
                  <w:rPr>
                    <w:lang w:val="fr-FR"/>
                  </w:rPr>
                  <w:t>jj/mm/aaaa</w:t>
                </w:r>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F253C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r w:rsidR="0058110C">
                  <w:rPr>
                    <w:lang w:val="fr-FR"/>
                  </w:rPr>
                  <w:t>jj/mm/aaaa</w:t>
                </w:r>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r w:rsidR="0058110C">
                  <w:rPr>
                    <w:lang w:val="fr-FR"/>
                  </w:rPr>
                  <w:t>jj/mm/aaaa</w:t>
                </w:r>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Le tableau suivant 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TS_QT_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TS_QT_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S_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TS_Vulnerability"/>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TS_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TS_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TS_QT_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_Toc506976278"/>
      <w:bookmarkStart w:id="105" w:name="_Toc453669109"/>
      <w:bookmarkStart w:id="106" w:name="TS_QT_Impact"/>
      <w:bookmarkStart w:id="107" w:name="_GoBack"/>
      <w:bookmarkEnd w:id="106"/>
      <w:bookmarkEnd w:id="10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4"/>
    </w:p>
    <w:p w14:paraId="6375B774" w14:textId="796D6A28" w:rsidR="00442B90" w:rsidRPr="00AA3889" w:rsidRDefault="00560870" w:rsidP="00442B90">
      <w:pPr>
        <w:pStyle w:val="Heading3"/>
        <w:rPr>
          <w:lang w:val="fr-FR"/>
        </w:rPr>
      </w:pPr>
      <w:bookmarkStart w:id="108" w:name="_Toc506976240"/>
      <w:r w:rsidRPr="00AA3889">
        <w:rPr>
          <w:lang w:val="fr-FR"/>
        </w:rPr>
        <w:t xml:space="preserve">Vue d’ensemble des résultats </w:t>
      </w:r>
      <w:bookmarkEnd w:id="105"/>
      <w:r w:rsidRPr="00AA3889">
        <w:rPr>
          <w:lang w:val="fr-FR"/>
        </w:rPr>
        <w:t>de l’analyse</w:t>
      </w:r>
      <w:bookmarkEnd w:id="108"/>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r w:rsidRPr="00AA3889">
        <w:rPr>
          <w:rStyle w:val="QuoteGB"/>
          <w:lang w:val="fr-FR"/>
        </w:rPr>
        <w:t>Annual Loss Expectancy</w:t>
      </w:r>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9" w:name="TS_QT_Assessment"/>
      <w:bookmarkEnd w:id="109"/>
    </w:p>
    <w:p w14:paraId="043443C1" w14:textId="2D72FB29" w:rsidR="00173B00" w:rsidRPr="00AA3889" w:rsidRDefault="00E51F49" w:rsidP="00442B90">
      <w:pPr>
        <w:pStyle w:val="Heading3"/>
        <w:rPr>
          <w:lang w:val="fr-FR"/>
        </w:rPr>
      </w:pPr>
      <w:bookmarkStart w:id="110" w:name="_Toc453669110"/>
      <w:bookmarkStart w:id="111" w:name="_Toc506976241"/>
      <w:r w:rsidRPr="00AA3889">
        <w:rPr>
          <w:lang w:val="fr-FR"/>
        </w:rPr>
        <w:t xml:space="preserve">Classification des </w:t>
      </w:r>
      <w:r w:rsidR="00173B00" w:rsidRPr="00AA3889">
        <w:rPr>
          <w:lang w:val="fr-FR"/>
        </w:rPr>
        <w:t>risques</w:t>
      </w:r>
      <w:bookmarkEnd w:id="110"/>
      <w:r w:rsidRPr="00AA3889">
        <w:rPr>
          <w:lang w:val="fr-FR"/>
        </w:rPr>
        <w:t xml:space="preserve"> actuels</w:t>
      </w:r>
      <w:bookmarkEnd w:id="111"/>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2" w:name="TS_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2"/>
    </w:p>
    <w:p w14:paraId="54863841" w14:textId="493DA25C" w:rsidR="00BC0B18" w:rsidRPr="00AA3889" w:rsidRDefault="00200CAA" w:rsidP="00200CAA">
      <w:pPr>
        <w:pStyle w:val="Caption"/>
        <w:rPr>
          <w:lang w:val="fr-FR"/>
        </w:rPr>
      </w:pPr>
      <w:bookmarkStart w:id="113" w:name="_Ref484713508"/>
      <w:bookmarkStart w:id="114"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3"/>
      <w:r w:rsidRPr="00AA3889">
        <w:rPr>
          <w:lang w:val="fr-FR"/>
        </w:rPr>
        <w:t> </w:t>
      </w:r>
      <w:r w:rsidRPr="00AA3889">
        <w:rPr>
          <w:noProof/>
          <w:lang w:val="fr-FR"/>
        </w:rPr>
        <w:t>: Perte annuelle attendue (ALE) par actif</w:t>
      </w:r>
      <w:bookmarkEnd w:id="114"/>
    </w:p>
    <w:p w14:paraId="2C3E119B" w14:textId="77777777" w:rsidR="00200CAA" w:rsidRPr="00AA3889" w:rsidRDefault="00BC0B18" w:rsidP="003A3DF6">
      <w:pPr>
        <w:pStyle w:val="Figure"/>
        <w:rPr>
          <w:lang w:val="fr-FR"/>
        </w:rPr>
      </w:pPr>
      <w:bookmarkStart w:id="115" w:name="TS_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5"/>
    </w:p>
    <w:p w14:paraId="0A123FD5" w14:textId="182133CA" w:rsidR="00C23B67" w:rsidRPr="00AA3889" w:rsidRDefault="00200CAA" w:rsidP="00200CAA">
      <w:pPr>
        <w:pStyle w:val="Caption"/>
        <w:rPr>
          <w:lang w:val="fr-FR"/>
        </w:rPr>
      </w:pPr>
      <w:bookmarkStart w:id="116" w:name="_Ref484713479"/>
      <w:bookmarkStart w:id="117"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6"/>
      <w:r w:rsidRPr="00AA3889">
        <w:rPr>
          <w:lang w:val="fr-FR"/>
        </w:rPr>
        <w:t> : Perte annuelle attendue (ALE) par type d’actif</w:t>
      </w:r>
      <w:bookmarkEnd w:id="117"/>
    </w:p>
    <w:p w14:paraId="7D2B47A8" w14:textId="77777777" w:rsidR="00200CAA" w:rsidRPr="00AA3889" w:rsidRDefault="00BC0B18" w:rsidP="003A3DF6">
      <w:pPr>
        <w:pStyle w:val="Figure"/>
        <w:rPr>
          <w:lang w:val="fr-FR"/>
        </w:rPr>
      </w:pPr>
      <w:bookmarkStart w:id="118" w:name="TS_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8"/>
    </w:p>
    <w:p w14:paraId="7CC173D0" w14:textId="6E6EA1FB" w:rsidR="00BC0B18" w:rsidRPr="00AA3889" w:rsidRDefault="00200CAA" w:rsidP="00200CAA">
      <w:pPr>
        <w:pStyle w:val="Caption"/>
        <w:rPr>
          <w:lang w:val="fr-FR"/>
        </w:rPr>
      </w:pPr>
      <w:bookmarkStart w:id="119" w:name="_Ref484713558"/>
      <w:bookmarkStart w:id="120"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9"/>
      <w:r w:rsidRPr="00AA3889">
        <w:rPr>
          <w:lang w:val="fr-FR"/>
        </w:rPr>
        <w:t> : Perte annuelle attendue (ALE) par scénario de risque</w:t>
      </w:r>
      <w:bookmarkEnd w:id="120"/>
    </w:p>
    <w:p w14:paraId="66CBA8F1" w14:textId="77777777" w:rsidR="00200CAA" w:rsidRPr="00AA3889" w:rsidRDefault="00BC0B18" w:rsidP="003A3DF6">
      <w:pPr>
        <w:pStyle w:val="Figure"/>
        <w:rPr>
          <w:lang w:val="fr-FR"/>
        </w:rPr>
      </w:pPr>
      <w:bookmarkStart w:id="121" w:name="TS_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1"/>
    </w:p>
    <w:p w14:paraId="198AB029" w14:textId="340F4CC0" w:rsidR="00C23B67" w:rsidRPr="00AA3889" w:rsidRDefault="00200CAA" w:rsidP="00200CAA">
      <w:pPr>
        <w:pStyle w:val="Caption"/>
        <w:rPr>
          <w:lang w:val="fr-FR"/>
        </w:rPr>
      </w:pPr>
      <w:bookmarkStart w:id="122" w:name="_Ref484713568"/>
      <w:bookmarkStart w:id="123"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2"/>
      <w:r w:rsidRPr="00AA3889">
        <w:rPr>
          <w:lang w:val="fr-FR"/>
        </w:rPr>
        <w:t> : Perte annuelle attendue (ALE) par type de scénario de risque</w:t>
      </w:r>
      <w:bookmarkEnd w:id="123"/>
    </w:p>
    <w:p w14:paraId="1B3FAA8C" w14:textId="2942A8CC" w:rsidR="00513E16" w:rsidRPr="00AA3889" w:rsidRDefault="00513E16" w:rsidP="00513E16">
      <w:pPr>
        <w:pStyle w:val="Heading2"/>
        <w:rPr>
          <w:lang w:val="fr-FR"/>
        </w:rPr>
      </w:pPr>
      <w:bookmarkStart w:id="124" w:name="_Toc506976242"/>
      <w:bookmarkStart w:id="125" w:name="_Toc453669111"/>
      <w:r w:rsidRPr="00AA3889">
        <w:rPr>
          <w:lang w:val="fr-FR"/>
        </w:rPr>
        <w:t>Evaluation des risques</w:t>
      </w:r>
      <w:bookmarkEnd w:id="124"/>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6" w:name="_Toc453669115"/>
      <w:bookmarkStart w:id="127" w:name="_Toc506976243"/>
      <w:r w:rsidRPr="00AA3889">
        <w:rPr>
          <w:lang w:val="fr-FR"/>
        </w:rPr>
        <w:lastRenderedPageBreak/>
        <w:t>Plan de traitement des risques</w:t>
      </w:r>
      <w:bookmarkEnd w:id="126"/>
      <w:bookmarkEnd w:id="127"/>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8" w:name="_Toc506976244"/>
      <w:bookmarkStart w:id="129" w:name="_Toc453669117"/>
      <w:r w:rsidRPr="00AA3889">
        <w:rPr>
          <w:lang w:val="fr-FR"/>
        </w:rPr>
        <w:t>Considération générale regardant l’indentification des mesures</w:t>
      </w:r>
      <w:bookmarkEnd w:id="128"/>
    </w:p>
    <w:p w14:paraId="3D793471" w14:textId="30C05856" w:rsidR="00C02F9A" w:rsidRPr="00AA3889" w:rsidRDefault="00C02F9A" w:rsidP="00665054">
      <w:pPr>
        <w:pStyle w:val="Heading3"/>
        <w:rPr>
          <w:lang w:val="fr-FR"/>
        </w:rPr>
      </w:pPr>
      <w:bookmarkStart w:id="130" w:name="_Toc506976245"/>
      <w:r w:rsidRPr="00AA3889">
        <w:rPr>
          <w:lang w:val="fr-FR"/>
        </w:rPr>
        <w:t>Paramétrage et validité des résultats</w:t>
      </w:r>
      <w:bookmarkEnd w:id="130"/>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1" w:name="_Toc506976246"/>
      <w:r w:rsidRPr="00AA3889">
        <w:rPr>
          <w:lang w:val="fr-FR"/>
        </w:rPr>
        <w:t>Une méthodologie fondée sur la</w:t>
      </w:r>
      <w:r w:rsidR="00C02F9A" w:rsidRPr="00AA3889">
        <w:rPr>
          <w:lang w:val="fr-FR"/>
        </w:rPr>
        <w:t xml:space="preserve"> rentabilité</w:t>
      </w:r>
      <w:bookmarkEnd w:id="129"/>
      <w:bookmarkEnd w:id="131"/>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2" w:name="_Toc506976247"/>
      <w:r w:rsidRPr="00AA3889">
        <w:rPr>
          <w:lang w:val="fr-FR"/>
        </w:rPr>
        <w:t>Résumé du plan de traitement</w:t>
      </w:r>
      <w:bookmarkEnd w:id="132"/>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Le coût moyen annuel de la phase (considérant le coût de set-up,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3"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3"/>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r w:rsidRPr="00AA3889">
        <w:rPr>
          <w:lang w:val="fr-FR"/>
        </w:rPr>
        <w:t>les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r w:rsidRPr="00AA3889">
        <w:rPr>
          <w:lang w:val="fr-FR"/>
        </w:rPr>
        <w:t>les charges de travail en jour-homme en externe ;</w:t>
      </w:r>
    </w:p>
    <w:p w14:paraId="44B81A74" w14:textId="3B678AC2" w:rsidR="00C02F9A" w:rsidRPr="00AA3889" w:rsidRDefault="00C02F9A" w:rsidP="0085045A">
      <w:pPr>
        <w:pStyle w:val="BulletL3"/>
        <w:rPr>
          <w:lang w:val="fr-FR"/>
        </w:rPr>
      </w:pPr>
      <w:r w:rsidRPr="00AA3889">
        <w:rPr>
          <w:lang w:val="fr-FR"/>
        </w:rPr>
        <w:t>les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r w:rsidRPr="00AA3889">
        <w:rPr>
          <w:lang w:val="fr-FR"/>
        </w:rPr>
        <w:t>le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r w:rsidRPr="00AA3889">
        <w:rPr>
          <w:lang w:val="fr-FR"/>
        </w:rPr>
        <w:t>la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r w:rsidRPr="00AA3889">
        <w:rPr>
          <w:lang w:val="fr-FR"/>
        </w:rPr>
        <w:t>la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r w:rsidRPr="00AA3889">
        <w:rPr>
          <w:lang w:val="fr-FR"/>
        </w:rPr>
        <w:t>les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r w:rsidRPr="00AA3889">
        <w:rPr>
          <w:lang w:val="fr-FR"/>
        </w:rPr>
        <w:t>le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xml:space="preserve"> l </w:t>
      </w:r>
      <w:r w:rsidR="00D673F2" w:rsidRPr="00AA3889">
        <w:rPr>
          <w:lang w:val="fr-FR"/>
        </w:rPr>
        <w:t>Les coûts moyens annuels sont différents de la somme du coût de set-up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4" w:name="TS_QT_Summary"/>
      <w:bookmarkStart w:id="135" w:name="_Toc506976279"/>
      <w:bookmarkEnd w:id="13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5"/>
    </w:p>
    <w:p w14:paraId="54AB72C3" w14:textId="77777777" w:rsidR="00C02F9A" w:rsidRPr="00AA3889" w:rsidRDefault="00C02F9A" w:rsidP="00D673F2">
      <w:pPr>
        <w:pStyle w:val="Heading2"/>
        <w:rPr>
          <w:lang w:val="fr-FR"/>
        </w:rPr>
      </w:pPr>
      <w:bookmarkStart w:id="136" w:name="_Toc506976248"/>
      <w:bookmarkStart w:id="137" w:name="_Hlk484717973"/>
      <w:r w:rsidRPr="00AA3889">
        <w:rPr>
          <w:lang w:val="fr-FR"/>
        </w:rPr>
        <w:t>Augmentation du taux de conformité et rentabilité des phases</w:t>
      </w:r>
      <w:bookmarkEnd w:id="136"/>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8" w:name="TS_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8"/>
    </w:p>
    <w:p w14:paraId="569F37BB" w14:textId="47C460FA" w:rsidR="00C02F9A" w:rsidRPr="00AA3889" w:rsidRDefault="00C02F9A" w:rsidP="00C02F9A">
      <w:pPr>
        <w:pStyle w:val="Caption"/>
        <w:rPr>
          <w:lang w:val="fr-FR"/>
        </w:rPr>
      </w:pPr>
      <w:bookmarkStart w:id="139"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9"/>
    </w:p>
    <w:bookmarkEnd w:id="137"/>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40" w:name="_Toc453669119"/>
      <w:bookmarkStart w:id="141" w:name="_Toc506976249"/>
      <w:r w:rsidRPr="00AA3889">
        <w:rPr>
          <w:lang w:val="fr-FR"/>
        </w:rPr>
        <w:t>Détail du p</w:t>
      </w:r>
      <w:r w:rsidR="00C02F9A" w:rsidRPr="00AA3889">
        <w:rPr>
          <w:lang w:val="fr-FR"/>
        </w:rPr>
        <w:t>lan de traitement</w:t>
      </w:r>
      <w:bookmarkEnd w:id="140"/>
      <w:bookmarkEnd w:id="141"/>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2" w:name="TS_QT_ActionPlan"/>
      <w:bookmarkStart w:id="143" w:name="_Toc506976280"/>
      <w:bookmarkEnd w:id="14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3"/>
    </w:p>
    <w:p w14:paraId="78A8C5CD" w14:textId="581AFF9B" w:rsidR="003807F8" w:rsidRPr="00AA3889" w:rsidRDefault="003807F8" w:rsidP="00442B90">
      <w:pPr>
        <w:pStyle w:val="Heading1"/>
        <w:rPr>
          <w:lang w:val="fr-FR"/>
        </w:rPr>
      </w:pPr>
      <w:bookmarkStart w:id="144" w:name="_Toc506976250"/>
      <w:r w:rsidRPr="00AA3889">
        <w:rPr>
          <w:lang w:val="fr-FR"/>
        </w:rPr>
        <w:lastRenderedPageBreak/>
        <w:t>Acceptation du risque</w:t>
      </w:r>
      <w:bookmarkEnd w:id="144"/>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5" w:name="_Toc506976251"/>
      <w:r w:rsidRPr="00AA3889">
        <w:rPr>
          <w:lang w:val="fr-FR"/>
        </w:rPr>
        <w:t>Boucle de rétroaction du processus d’appréciation des risques</w:t>
      </w:r>
      <w:bookmarkEnd w:id="145"/>
    </w:p>
    <w:p w14:paraId="662911AB" w14:textId="74308B8E" w:rsidR="00A110AD" w:rsidRPr="00AA3889" w:rsidRDefault="00A110AD" w:rsidP="00A110AD">
      <w:pPr>
        <w:pStyle w:val="Heading2"/>
        <w:rPr>
          <w:lang w:val="fr-FR"/>
        </w:rPr>
      </w:pPr>
      <w:bookmarkStart w:id="146" w:name="_Toc506976252"/>
      <w:r w:rsidRPr="00AA3889">
        <w:rPr>
          <w:lang w:val="fr-FR"/>
        </w:rPr>
        <w:t>Communication et consultation sur les risques</w:t>
      </w:r>
      <w:bookmarkEnd w:id="146"/>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7" w:name="_Toc506976253"/>
      <w:r w:rsidRPr="00AA3889">
        <w:rPr>
          <w:lang w:val="fr-FR"/>
        </w:rPr>
        <w:t>Surveillance et revue des risques</w:t>
      </w:r>
      <w:bookmarkEnd w:id="147"/>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8" w:name="_Toc506976254"/>
      <w:r w:rsidRPr="00AA3889">
        <w:rPr>
          <w:lang w:val="fr-FR"/>
        </w:rPr>
        <w:lastRenderedPageBreak/>
        <w:t>Niveau d’implémentation</w:t>
      </w:r>
      <w:bookmarkEnd w:id="125"/>
      <w:bookmarkEnd w:id="148"/>
    </w:p>
    <w:p w14:paraId="41947E36" w14:textId="1D2C884D" w:rsidR="00E25F19" w:rsidRPr="00AA3889" w:rsidRDefault="00A913C5" w:rsidP="00D00EF4">
      <w:pPr>
        <w:pStyle w:val="BodyOfText"/>
        <w:rPr>
          <w:lang w:val="fr-FR"/>
        </w:rPr>
      </w:pPr>
      <w:r w:rsidRPr="00AA3889">
        <w:rPr>
          <w:lang w:val="fr-FR"/>
        </w:rPr>
        <w:t xml:space="preserve">Ce chapitre donne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9" w:name="_Toc506976255"/>
      <w:r w:rsidRPr="00AA3889">
        <w:rPr>
          <w:lang w:val="fr-FR"/>
        </w:rPr>
        <w:t>Modus operandi</w:t>
      </w:r>
      <w:bookmarkEnd w:id="149"/>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r w:rsidRPr="00AA3889">
        <w:rPr>
          <w:b/>
          <w:lang w:val="fr-FR"/>
        </w:rPr>
        <w:t>Ref</w:t>
      </w:r>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F253C7"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F253C7"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F253C7"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F253C7"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50"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50"/>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set-up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set-up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Le lifetime,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1" w:name="_Toc506976256"/>
      <w:bookmarkStart w:id="152" w:name="_Toc259478485"/>
      <w:bookmarkStart w:id="153" w:name="_Toc453669113"/>
      <w:r w:rsidRPr="00AA3889">
        <w:rPr>
          <w:lang w:val="fr-FR"/>
        </w:rPr>
        <w:t>Evolution du niveau de conformité de l’organisation</w:t>
      </w:r>
      <w:bookmarkEnd w:id="151"/>
    </w:p>
    <w:p w14:paraId="3486AA49" w14:textId="2DF03C3C" w:rsidR="000B25F1" w:rsidRPr="00AA3889" w:rsidRDefault="000B25F1" w:rsidP="00AE0A9D">
      <w:pPr>
        <w:pStyle w:val="Heading3"/>
        <w:rPr>
          <w:lang w:val="fr-FR"/>
        </w:rPr>
      </w:pPr>
      <w:bookmarkStart w:id="154" w:name="_Toc506976257"/>
      <w:r w:rsidRPr="00AA3889">
        <w:rPr>
          <w:lang w:val="fr-FR"/>
        </w:rPr>
        <w:t>Niveau de conformité</w:t>
      </w:r>
      <w:bookmarkEnd w:id="152"/>
      <w:r w:rsidR="007E5141" w:rsidRPr="00AA3889">
        <w:rPr>
          <w:lang w:val="fr-FR"/>
        </w:rPr>
        <w:t xml:space="preserve"> </w:t>
      </w:r>
      <w:r w:rsidR="00410011">
        <w:rPr>
          <w:lang w:val="fr-FR"/>
        </w:rPr>
        <w:t>ISO/IEC</w:t>
      </w:r>
      <w:r w:rsidR="007E5141" w:rsidRPr="00AA3889">
        <w:rPr>
          <w:lang w:val="fr-FR"/>
        </w:rPr>
        <w:t xml:space="preserve"> 27001</w:t>
      </w:r>
      <w:bookmarkEnd w:id="153"/>
      <w:bookmarkEnd w:id="154"/>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5" w:name="TS_QT_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5"/>
    </w:p>
    <w:p w14:paraId="7A8DF05E" w14:textId="41B2AD59" w:rsidR="00352C81" w:rsidRPr="00AA3889" w:rsidRDefault="004827E4" w:rsidP="004827E4">
      <w:pPr>
        <w:pStyle w:val="Caption"/>
        <w:rPr>
          <w:lang w:val="fr-FR"/>
        </w:rPr>
      </w:pPr>
      <w:bookmarkStart w:id="156"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6"/>
    </w:p>
    <w:p w14:paraId="09672405" w14:textId="00A28C73" w:rsidR="007E5141" w:rsidRPr="00AA3889" w:rsidRDefault="007E5141" w:rsidP="00AE0A9D">
      <w:pPr>
        <w:pStyle w:val="Heading3"/>
        <w:rPr>
          <w:lang w:val="fr-FR"/>
        </w:rPr>
      </w:pPr>
      <w:bookmarkStart w:id="157" w:name="_Toc453669114"/>
      <w:bookmarkStart w:id="158"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7"/>
      <w:bookmarkEnd w:id="158"/>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9" w:name="_Hlk487025418"/>
      <w:r w:rsidR="000B25F1" w:rsidRPr="00AA3889">
        <w:rPr>
          <w:lang w:val="fr-FR"/>
        </w:rPr>
        <w:t xml:space="preserve"> La figure suivante présente le niveau de conformité actuelle selon les grands domaines de la sécurité des systèmes d’information :</w:t>
      </w:r>
      <w:bookmarkEnd w:id="159"/>
    </w:p>
    <w:p w14:paraId="4DF65377" w14:textId="77777777" w:rsidR="004827E4" w:rsidRPr="00AA3889" w:rsidRDefault="00C54071" w:rsidP="003A3DF6">
      <w:pPr>
        <w:pStyle w:val="Figure"/>
        <w:rPr>
          <w:lang w:val="fr-FR"/>
        </w:rPr>
      </w:pPr>
      <w:bookmarkStart w:id="160" w:name="TS_QT_ChartCompliance27002"/>
      <w:bookmarkStart w:id="161"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0"/>
    </w:p>
    <w:p w14:paraId="51D87734" w14:textId="4F34521F" w:rsidR="00BC0B18" w:rsidRPr="00AA3889" w:rsidRDefault="004827E4" w:rsidP="004827E4">
      <w:pPr>
        <w:pStyle w:val="Caption"/>
        <w:rPr>
          <w:lang w:val="fr-FR"/>
        </w:rPr>
      </w:pPr>
      <w:bookmarkStart w:id="162"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2"/>
    </w:p>
    <w:p w14:paraId="1E967570" w14:textId="6E7D8495" w:rsidR="00AE0A9D" w:rsidRPr="00AA3889" w:rsidRDefault="00AE0A9D" w:rsidP="00AE0A9D">
      <w:pPr>
        <w:pStyle w:val="BodyOfText"/>
        <w:rPr>
          <w:lang w:val="fr-FR" w:eastAsia="en-US"/>
        </w:rPr>
      </w:pPr>
      <w:bookmarkStart w:id="163" w:name="TS_QT_AdditionalCollection"/>
      <w:bookmarkEnd w:id="161"/>
      <w:bookmarkEnd w:id="163"/>
      <w:bookmarkEnd w:id="5"/>
      <w:bookmarkEnd w:id="4"/>
      <w:bookmarkEnd w:id="3"/>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4" w:name="_Ref394648345"/>
      <w:bookmarkStart w:id="165" w:name="_Toc453669120"/>
      <w:bookmarkStart w:id="166" w:name="_Ref487025557"/>
      <w:bookmarkStart w:id="167" w:name="_Toc506976259"/>
      <w:r w:rsidRPr="00AA3889">
        <w:rPr>
          <w:lang w:val="fr-FR"/>
        </w:rPr>
        <w:lastRenderedPageBreak/>
        <w:t>Annexe</w:t>
      </w:r>
      <w:bookmarkEnd w:id="164"/>
      <w:bookmarkEnd w:id="165"/>
      <w:r w:rsidR="00485BAC" w:rsidRPr="00AA3889">
        <w:rPr>
          <w:lang w:val="fr-FR"/>
        </w:rPr>
        <w:t> : Liste des mesures de sécurité applicables à la TOE</w:t>
      </w:r>
      <w:bookmarkEnd w:id="166"/>
      <w:bookmarkEnd w:id="167"/>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r w:rsidRPr="00AA3889">
        <w:rPr>
          <w:b/>
          <w:lang w:val="fr-FR"/>
        </w:rPr>
        <w:t>Ref</w:t>
      </w:r>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r w:rsidR="00927646" w:rsidRPr="00AA3889">
        <w:rPr>
          <w:lang w:val="fr-FR"/>
        </w:rPr>
        <w:t>L</w:t>
      </w:r>
      <w:r w:rsidR="00676CD0" w:rsidRPr="00AA3889">
        <w:rPr>
          <w:lang w:val="fr-FR"/>
        </w:rPr>
        <w:t xml:space="preserve">ifetime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r w:rsidRPr="00AA3889">
        <w:rPr>
          <w:b/>
          <w:lang w:val="fr-FR"/>
        </w:rPr>
        <w:t>Resp </w:t>
      </w:r>
      <w:r w:rsidRPr="00AA3889">
        <w:rPr>
          <w:lang w:val="fr-FR"/>
        </w:rPr>
        <w:t>: La personne responsable de l’implémentation de la mesure de sécurité.</w:t>
      </w:r>
    </w:p>
    <w:p w14:paraId="53B8BFC9" w14:textId="77777777" w:rsidR="00EA394C" w:rsidRPr="00AA3889" w:rsidRDefault="00EA394C" w:rsidP="00EA394C">
      <w:pPr>
        <w:pStyle w:val="Endlist"/>
        <w:rPr>
          <w:lang w:val="fr-FR"/>
        </w:rPr>
      </w:pPr>
      <w:bookmarkStart w:id="168" w:name="TS_MeasuresCollection"/>
      <w:bookmarkEnd w:id="168"/>
    </w:p>
    <w:sectPr w:rsidR="00EA394C" w:rsidRPr="00AA3889"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F253C7"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F253C7"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4F3D"/>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E727C"/>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253C7"/>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81"/>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fr-FR"/>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fr-FR"/>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fr-FR"/>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fr-FR"/>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fr-FR"/>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fr-FR"/>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fr-FR"/>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fr-FR"/>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fr-FR"/>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fr-FR"/>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fr-FR"/>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fr-FR"/>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fr-FR"/>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fr-FR"/>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fr-FR"/>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EE07C301B8AE4FF3B929CC8701676023">
    <w:name w:val="EE07C301B8AE4FF3B929CC8701676023"/>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FA0545E76C32479DAD2ECDBB68CC0A52">
    <w:name w:val="FA0545E76C32479DAD2ECDBB68CC0A52"/>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 w:type="paragraph" w:customStyle="1" w:styleId="DC4EDFBDB7474F448406D20DDBD89B65">
    <w:name w:val="DC4EDFBDB7474F448406D20DDBD89B65"/>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40776-860D-4C06-A6CD-F5D2C9C4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7646</Words>
  <Characters>42058</Characters>
  <Application>Microsoft Office Word</Application>
  <DocSecurity>0</DocSecurity>
  <Lines>350</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Ensuifudine Omar</cp:lastModifiedBy>
  <cp:revision>6</cp:revision>
  <cp:lastPrinted>2016-06-27T07:48:00Z</cp:lastPrinted>
  <dcterms:created xsi:type="dcterms:W3CDTF">2018-02-21T10:35:00Z</dcterms:created>
  <dcterms:modified xsi:type="dcterms:W3CDTF">2019-04-15T16:17:00Z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