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 Security Policy</w:t>
      </w:r>
    </w:p>
    <w:p>
      <w:pPr>
        <w:pStyle w:val="Heading1"/>
      </w:pPr>
      <w:r>
        <w:t>1. Purpose</w:t>
      </w:r>
    </w:p>
    <w:p>
      <w:r>
        <w:t>This policy establishes the baseline controls required to protect the organization's network infrastructure, endpoints, and data in transit from unauthorized access, disclosure, or modification.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the organization's network, whether on-premises or remotely over the corporate VPN.</w:t>
      </w:r>
    </w:p>
    <w:p>
      <w:pPr>
        <w:pStyle w:val="Heading1"/>
      </w:pPr>
      <w:r>
        <w:t>3. Access Control</w:t>
      </w:r>
    </w:p>
    <w:p>
      <w:r>
        <w:t>Access to network segments is granted on a least-privilege basis. Multi-factor authentication is required for all remote access. Access reviews are performed quarterly by the security team.</w:t>
      </w:r>
    </w:p>
    <w:p>
      <w:pPr>
        <w:pStyle w:val="Heading1"/>
      </w:pPr>
      <w:r>
        <w:t>4. Information Classification Levels</w:t>
      </w:r>
    </w:p>
    <w:p>
      <w:r>
        <w:t>All information assets must be labeled with one of the following classification levels, which determine handling and access requirements: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No restriction on disclosure.</w:t>
            </w:r>
          </w:p>
        </w:tc>
        <w:tc>
          <w:tcPr>
            <w:tcW w:type="dxa" w:w="2880"/>
          </w:tcPr>
          <w:p>
            <w:r>
              <w:t>Marketing brochures</w:t>
            </w:r>
          </w:p>
        </w:tc>
      </w:tr>
      <w:tr>
        <w:tc>
          <w:tcPr>
            <w:tcW w:type="dxa" w:w="2880"/>
          </w:tcPr>
          <w:p>
            <w:r>
              <w:t>Internal</w:t>
            </w:r>
          </w:p>
        </w:tc>
        <w:tc>
          <w:tcPr>
            <w:tcW w:type="dxa" w:w="2880"/>
          </w:tcPr>
          <w:p>
            <w:r>
              <w:t>For internal use only.</w:t>
            </w:r>
          </w:p>
        </w:tc>
        <w:tc>
          <w:tcPr>
            <w:tcW w:type="dxa" w:w="2880"/>
          </w:tcPr>
          <w:p>
            <w:r>
              <w:t>Internal meeting notes</w:t>
            </w:r>
          </w:p>
        </w:tc>
      </w:tr>
      <w:tr>
        <w:tc>
          <w:tcPr>
            <w:tcW w:type="dxa" w:w="2880"/>
          </w:tcPr>
          <w:p>
            <w:r>
              <w:t>Confidential</w:t>
            </w:r>
          </w:p>
        </w:tc>
        <w:tc>
          <w:tcPr>
            <w:tcW w:type="dxa" w:w="2880"/>
          </w:tcPr>
          <w:p>
            <w:r>
              <w:t>Restricted to named roles.</w:t>
            </w:r>
          </w:p>
        </w:tc>
        <w:tc>
          <w:tcPr>
            <w:tcW w:type="dxa" w:w="2880"/>
          </w:tcPr>
          <w:p>
            <w:r>
              <w:t>Vendor contracts</w:t>
            </w:r>
          </w:p>
        </w:tc>
      </w:tr>
      <w:tr>
        <w:tc>
          <w:tcPr>
            <w:tcW w:type="dxa" w:w="2880"/>
          </w:tcPr>
          <w:p>
            <w:r>
              <w:t>Restricted</w:t>
            </w:r>
          </w:p>
        </w:tc>
        <w:tc>
          <w:tcPr>
            <w:tcW w:type="dxa" w:w="2880"/>
          </w:tcPr>
          <w:p>
            <w:r>
              <w:t>Restricted to specific clearance holders.</w:t>
            </w:r>
          </w:p>
        </w:tc>
        <w:tc>
          <w:tcPr>
            <w:tcW w:type="dxa" w:w="2880"/>
          </w:tcPr>
          <w:p>
            <w:r>
              <w:t>Security incident reports</w:t>
            </w:r>
          </w:p>
        </w:tc>
      </w:tr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Highest sensitivity; strict need-to-know.</w:t>
            </w:r>
          </w:p>
        </w:tc>
        <w:tc>
          <w:tcPr>
            <w:tcW w:type="dxa" w:w="2880"/>
          </w:tcPr>
          <w:p>
            <w:r>
              <w:t>Penetration test findings</w:t>
            </w:r>
          </w:p>
        </w:tc>
      </w:tr>
    </w:tbl>
    <w:p>
      <w:pPr>
        <w:pStyle w:val="Heading1"/>
      </w:pPr>
      <w:r>
        <w:t>5. Incident Response</w:t>
      </w:r>
    </w:p>
    <w:p>
      <w:r>
        <w:t>Any suspected security incident must be reported to the security team within one hour of detection. The incident response process follows the phases: identification, containment, eradication, recovery, and lessons learned.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