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B57"/>
          <w:sz w:val="64"/>
          <w:szCs w:val="64"/>
        </w:rPr>
        <w:t xml:space="preserve">Meterly</w:t>
      </w:r>
    </w:p>
    <w:p>
      <w:pPr>
        <w:spacing w:after="60"/>
      </w:pPr>
      <w:r>
        <w:rPr>
          <w:color w:val="555555"/>
          <w:sz w:val="32"/>
          <w:szCs w:val="32"/>
        </w:rPr>
        <w:t xml:space="preserve">Multi-Tenant SaaS Billing &amp; Usage-Metering Platform</w:t>
      </w:r>
    </w:p>
    <w:p>
      <w:pPr>
        <w:spacing w:after="400"/>
      </w:pPr>
      <w:r>
        <w:rPr>
          <w:b/>
          <w:bCs/>
          <w:sz w:val="28"/>
          <w:szCs w:val="28"/>
        </w:rPr>
        <w:t xml:space="preserve">Project Design Document (PDD)</w:t>
      </w:r>
    </w:p>
    <w:p>
      <w:pPr>
        <w:spacing w:after="60"/>
      </w:pPr>
      <w:r>
        <w:rPr>
          <w:sz w:val="22"/>
          <w:szCs w:val="22"/>
        </w:rPr>
        <w:t xml:space="preserve">Author: Arnav Kumar</w:t>
      </w:r>
    </w:p>
    <w:p>
      <w:pPr>
        <w:spacing w:after="60"/>
      </w:pPr>
      <w:r>
        <w:rPr>
          <w:sz w:val="22"/>
          <w:szCs w:val="22"/>
        </w:rPr>
        <w:t xml:space="preserve">Version 1.0 — July 2026</w:t>
      </w:r>
    </w:p>
    <w:p>
      <w:r>
        <w:rPr>
          <w:i/>
          <w:iCs/>
          <w:color w:val="777777"/>
          <w:sz w:val="22"/>
          <w:szCs w:val="22"/>
        </w:rPr>
        <w:t xml:space="preserve">Status: Master reference document for the full build — supersedes and expands on the POC's validated design</w:t>
      </w:r>
    </w:p>
    <w:p>
      <w:r>
        <w:br w:type="page"/>
      </w:r>
    </w:p>
    <w:p>
      <w:pPr>
        <w:spacing w:after="200"/>
      </w:pPr>
      <w:r>
        <w:rPr>
          <w:b/>
          <w:bCs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Introduction &amp; Goals</w:t>
      </w:r>
    </w:p>
    <w:p>
      <w:pPr>
        <w:spacing w:after="160"/>
      </w:pPr>
      <w:r>
        <w:t xml:space="preserve">This document is the master design reference for Meterly, a multi-tenant SaaS billing and usage-metering platform. It expands the design that the POC validated (single-tenant metering, RLS isolation, live dashboard, one tiered invoice) into the full system: multi-tenant onboarding, a proper service boundary, a complete billing engine, and production-shaped non-functional requirements.</w:t>
      </w:r>
    </w:p>
    <w:p>
      <w:pPr>
        <w:spacing w:after="160"/>
      </w:pPr>
      <w:r>
        <w:t xml:space="preserve">Design principles that hold across every section below: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Money math is never approximate. All monetary values use BigDecimal with an explicit rounding rule; there is no float or double anywhere in the billing domain.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Tenant isolation is enforced at the database layer (PostgreSQL RLS), not only in application code, so a single missed WHERE clause cannot leak data across tenants.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Every event-driven write is idempotent. At-least-once delivery from Kafka is assumed everywhere; consumers are written to be safe under redelivery.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Scope is deliberately bounded. Multi-currency, tax, dunning, and mid-period proration are named and deferred rather than silently ignored (Section 14).</w:t>
      </w:r>
    </w:p>
    <w:p>
      <w:pPr>
        <w:pStyle w:val="Heading1"/>
        <w:spacing w:after="160" w:before="360"/>
      </w:pPr>
      <w:r>
        <w:t xml:space="preserve">2. System Architecture Overview</w:t>
      </w:r>
    </w:p>
    <w:p>
      <w:pPr>
        <w:spacing w:after="160"/>
      </w:pPr>
      <w:r>
        <w:t xml:space="preserve">The system is split into four backend services plus the Angular SPA. The split follows ownership of data and failure domains, not just code organization: tenant/plan data, usage ingestion, billing computation, and notification each fail and scale independently.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200"/>
        <w:gridCol w:w="26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52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26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 technology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tenant-service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 CRUD, user accounts, plan assignment, API key issuance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Spring Boot, PostgreSQL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ingestion-service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Accepts usage events, validates idempotency keys, publishes to Kafka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Spring Boot, Kafka producer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metering-service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Consumes usage events idempotently, maintains Redis counters, pushes live updates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Spring Boot, Kafka consumer, Redis, STOMP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billing-service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Runs period-close billing jobs, computes tiered pricing, generates invoices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Spring Boot, Quartz/Scheduled, PostgreSQL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notification-service (stretch)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Sends invoice-ready and usage-threshold notifications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Spring Boot, stubbed email provider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meterly-web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Angular SPA: auth, dashboard, billing, admin views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Angular 18, RxJS, Angular Material</w:t>
            </w:r>
          </w:p>
        </w:tc>
      </w:tr>
    </w:tbl>
    <w:p>
      <w:pPr>
        <w:spacing w:after="160"/>
      </w:pPr>
      <w:r>
        <w:t xml:space="preserve">End-to-end data flow: a tenant's client calls the ingestion endpoint with an idempotency key → ingestion-service publishes to the usage-events Kafka topic, partitioned by tenant_id → metering-service consumes, upserts into the append-only usage_event ledger (idempotency_key is unique), and increments a Redis counter for the open period → the counter update is pushed to subscribed dashboard clients over STOMP → at period close, billing-service reads the ledger (source of truth, never Redis) via a UsagePeriodAggregate, applies the tenant's PricingTier configuration, and writes an Invoice with InvoiceLineItems → meterly-web fetches tenant, dashboard, and invoice data over REST, augmented by the live WebSocket channel for usage counts.</w:t>
      </w:r>
    </w:p>
    <w:p>
      <w:pPr>
        <w:pStyle w:val="Heading1"/>
        <w:spacing w:after="160" w:before="360"/>
      </w:pPr>
      <w:r>
        <w:t xml:space="preserve">3. Domain Model &amp; Data Design</w:t>
      </w:r>
    </w:p>
    <w:p>
      <w:pPr>
        <w:spacing w:after="160"/>
      </w:pPr>
      <w:r>
        <w:t xml:space="preserve">Core entities, with the fields that matter for correctness (not an exhaustive column list):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3800"/>
      </w:tblGrid>
      <w:tr>
        <w:trPr>
          <w:tblHeader/>
        </w:trPr>
        <w:tc>
          <w:tcPr>
            <w:tcW w:type="dxa" w:w="24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42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 fields</w:t>
            </w:r>
          </w:p>
        </w:tc>
        <w:tc>
          <w:tcPr>
            <w:tcW w:type="dxa" w:w="38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name, status, created_at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Root of tenant isolation; every tenant-scoped table carries tenant_id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AppUser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tenant_id, email, role, password_hash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 ∈ {TENANT_ADMIN, TENANT_USER}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name, base_price, included_units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plan can have many PricingTiers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PricingTier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plan_id, from_unit, to_unit, unit_price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Marginal price for usage within a unit range above included_units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Subscription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tenant_id, plan_id, start_date, end_date, status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Links a tenant to the plan in effect for a period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MeteredResource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tenant_id, name, unit_label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e.g. “API calls”, unit_label “call”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UsageEvent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tenant_id, resource_id, idempotency_key (unique), quantity, occurred_at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Append-only ledger; source of truth for billing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UsagePeriodAggregate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tenant_id, resource_id, period_start, period_end, total_units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Materialized at period close from UsageEvent rows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Invoice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tenant_id, period_start, period_end, status, total_amount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 on (tenant_id, period_start) to keep billing idempotent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InvoiceLineItem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invoice_id, description, quantity, unit_price, amount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row per pricing tier applied</w:t>
            </w:r>
          </w:p>
        </w:tc>
      </w:tr>
    </w:tbl>
    <w:p>
      <w:pPr>
        <w:spacing w:after="160"/>
      </w:pPr>
      <w:r>
        <w:t xml:space="preserve">Relationships: Tenant 1–N AppUser; Tenant 1–N Subscription; Plan 1–N PricingTier; Plan 1–N Subscription; Tenant 1–N MeteredResource; MeteredResource 1–N UsageEvent; Tenant/Resource/Period uniquely determine one UsagePeriodAggregate; Invoice 1–N InvoiceLineItem.</w:t>
      </w:r>
    </w:p>
    <w:p>
      <w:pPr>
        <w:pStyle w:val="Heading1"/>
        <w:spacing w:after="160" w:before="360"/>
      </w:pPr>
      <w:r>
        <w:t xml:space="preserve">4. Multi-Tenancy Strategy</w:t>
      </w:r>
    </w:p>
    <w:p>
      <w:pPr>
        <w:spacing w:after="160"/>
      </w:pPr>
      <w:r>
        <w:t xml:space="preserve">Chosen approach: shared database, shared schema, isolation enforced by PostgreSQL Row-Level Security — not schema-per-tenant. This is the more common approach at real SaaS scale (schema-per-tenant does not scale operationally past a few hundred tenants) and it is the harder, more instructive thing to get right for a portfolio project.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Every tenant-scoped table has a tenant_id column and an RLS policy: USING (tenant_id = current_setting('app.tenant_id')::uuid).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Spring @Around aspect wraps every request: it reads the tenant_id claim from the validated JWT and issues SET LOCAL app.tenant_id = '&lt;id&gt;' at the start of the database transaction, so the setting is transaction-scoped and cannot leak across pooled connections.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failure mode this defends against: a developer forgets a WHERE tenant_id = ? clause in a new query. Without RLS this leaks data; with RLS the database itself returns zero rows for any tenant other than the one set on the session.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dedicated integration test asserts that a query with no tenant filter in its Java code still returns only the correct tenant's rows, under connection-pool reuse across two different tenants' requests in sequence.</w:t>
      </w:r>
    </w:p>
    <w:p>
      <w:pPr>
        <w:pStyle w:val="Heading1"/>
        <w:spacing w:after="160" w:before="360"/>
      </w:pPr>
      <w:r>
        <w:t xml:space="preserve">5. Usage Metering Pipeline</w:t>
      </w:r>
    </w:p>
    <w:p>
      <w:pPr>
        <w:pStyle w:val="Heading2"/>
        <w:spacing w:after="120" w:before="280"/>
      </w:pPr>
      <w:r>
        <w:t xml:space="preserve">5.1 Ingestion</w:t>
      </w:r>
    </w:p>
    <w:p>
      <w:pPr>
        <w:spacing w:after="160"/>
      </w:pPr>
      <w:r>
        <w:t xml:space="preserve">POST /v1/usage-events accepts { resource_id, idempotency_key, quantity, occurred_at }. The idempotency_key is client-generated (e.g., a UUID per real-world API call) so that a client-side retry after a timeout does not double-count usage the server actually received the first time.</w:t>
      </w:r>
    </w:p>
    <w:p>
      <w:pPr>
        <w:pStyle w:val="Heading2"/>
        <w:spacing w:after="120" w:before="280"/>
      </w:pPr>
      <w:r>
        <w:t xml:space="preserve">5.2 Kafka topic design</w:t>
      </w:r>
    </w:p>
    <w:p>
      <w:pPr>
        <w:spacing w:after="160"/>
      </w:pPr>
      <w:r>
        <w:t xml:space="preserve">Topic usage-events is partitioned by tenant_id, which preserves per-tenant ordering (needed so period aggregation sees events in a sane order) while allowing horizontal scaling of consumers across tenants.</w:t>
      </w:r>
    </w:p>
    <w:p>
      <w:pPr>
        <w:pStyle w:val="Heading2"/>
        <w:spacing w:after="120" w:before="280"/>
      </w:pPr>
      <w:r>
        <w:t xml:space="preserve">5.3 Idempotent consumption</w:t>
      </w:r>
    </w:p>
    <w:p>
      <w:pPr>
        <w:spacing w:after="160"/>
      </w:pPr>
      <w:r>
        <w:t xml:space="preserve">The metering-service consumer inserts into usage_event with ON CONFLICT (idempotency_key) DO NOTHING. Because Kafka is at-least-once, the same message can be redelivered after a consumer crash; the unique constraint makes redelivery a no-op rather than a double count. The Redis counter increment is only executed after the Postgres insert succeeds and reports a new row (not a conflict), so Redis never double-increments on redelivery either.</w:t>
      </w:r>
    </w:p>
    <w:p>
      <w:pPr>
        <w:pStyle w:val="Heading2"/>
        <w:spacing w:after="120" w:before="280"/>
      </w:pPr>
      <w:r>
        <w:t xml:space="preserve">5.4 Read path</w:t>
      </w:r>
    </w:p>
    <w:p>
      <w:pPr>
        <w:spacing w:after="160"/>
      </w:pPr>
      <w:r>
        <w:t xml:space="preserve">Redis holds a per-tenant, per-resource, per-open-period counter for fast dashboard reads. Postgres remains authoritative: a nightly reconciliation job re-sums UsageEvent rows for the open period and corrects the Redis value if it has drifted, and logs a warning when it does (drift should be zero in normal operation — this check exists to catch bugs, not to be relied on as a routine correction path).</w:t>
      </w:r>
    </w:p>
    <w:p>
      <w:pPr>
        <w:pStyle w:val="Heading1"/>
        <w:spacing w:after="160" w:before="360"/>
      </w:pPr>
      <w:r>
        <w:t xml:space="preserve">6. Billing &amp; Invoicing Logic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 period close, billing-service materializes UsagePeriodAggregate rows from UsageEvent for each tenant/resource.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active Subscription determines the Plan; the Plan's included_units and its PricingTier rows determine the tiered marginal pricing above that allowance.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All arithmetic uses java.math.BigDecimal; the documented rounding rule is HALF_EVEN at the cent, applied once, at the final line-item amount — never on intermediate values.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Invoice generation is idempotent: Invoice has a unique constraint on (tenant_id, period_start), so re-running the job for an already-invoiced period does nothing rather than producing a duplicate invoice.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Explicitly deferred: multi-currency, tax computation, mid-period plan-change proration, dunning/retry on failed payment collection (there is no real payment collection in this project at all — invoices are generated, not charged).</w:t>
      </w:r>
    </w:p>
    <w:p>
      <w:pPr>
        <w:pStyle w:val="Heading1"/>
        <w:spacing w:after="160" w:before="360"/>
      </w:pPr>
      <w:r>
        <w:t xml:space="preserve">7. API Design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400"/>
      </w:tblGrid>
      <w:tr>
        <w:trPr>
          <w:tblHeader/>
        </w:trPr>
        <w:tc>
          <w:tcPr>
            <w:tcW w:type="dxa" w:w="34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 &amp; path</w:t>
            </w:r>
          </w:p>
        </w:tc>
        <w:tc>
          <w:tcPr>
            <w:tcW w:type="dxa" w:w="26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/v1/tenants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tenant-service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 a tenant and its initial admin user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/v1/auth/login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tenant-service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 a JWT for an AppUser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/v1/resources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tenant-service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 the calling tenant's metered resources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/v1/usage-events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ingestion-service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Ingest one usage event (idempotency_key required)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/v1/usage/current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metering-service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Current-period usage counters for the calling tenant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WS /ws/usage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metering-service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STOMP topic pushing live per-tenant usage updates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/v1/billing/run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billing-service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Trigger period-close billing for a tenant (manual trigger for demo; a scheduler triggers it in steady state)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/v1/invoices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billing-service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 the calling tenant's invoices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/v1/invoices/{id}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billing-service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Fetch one invoice with its line items</w:t>
            </w:r>
          </w:p>
        </w:tc>
      </w:tr>
    </w:tbl>
    <w:p>
      <w:pPr>
        <w:pStyle w:val="Heading1"/>
        <w:spacing w:after="160" w:before="360"/>
      </w:pPr>
      <w:r>
        <w:t xml:space="preserve">8. Frontend Architecture (Angular)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CoreModule: HTTP interceptor attaching the JWT, a WebSocket/STOMP service wrapping the live usage channel, route guards.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AuthModule: login view, token storage in memory (not localStorage, to reduce XSS token-theft surface).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DashboardModule: live usage view driven by an RxJS observable fed by the STOMP subscription; chart rendered with ngx-charts.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BillingModule: invoice list and invoice detail views, plan/tier display.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State management is plain RxJS services with Angular signals for local component state — NgRx is deliberately not used. At this scope, NgRx's boilerplate would be over-engineering; this is a scope decision worth being able to defend in an interview, not an oversight.</w:t>
      </w:r>
    </w:p>
    <w:p>
      <w:pPr>
        <w:pStyle w:val="Heading1"/>
        <w:spacing w:after="160" w:before="360"/>
      </w:pPr>
      <w:r>
        <w:t xml:space="preserve">9. Security &amp; Auth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Spring Security issues and validates JWTs; the tenant_id and role are claims embedded in the token.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Roles: TENANT_ADMIN (manage plan, view billing) and TENANT_USER (view usage dashboard only).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Passwords hashed with bcrypt; never logged, never returned in any response body.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CORS restricted to the Angular SPA's origin only.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usage-ingestion endpoint is rate-limited per tenant via a Redis token bucket, so a misbehaving or malicious client cannot skew usage counters or run up an artificial bill for itself (or, in a shared-infra failure, for another tenant).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Keycloak as an external identity provider is a named stretch goal (Section 13) — not required for the core design to be correct or complete.</w:t>
      </w:r>
    </w:p>
    <w:p>
      <w:pPr>
        <w:pStyle w:val="Heading1"/>
        <w:spacing w:after="160" w:before="360"/>
      </w:pPr>
      <w:r>
        <w:t xml:space="preserve">10. Non-Functional Requirements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62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Reliability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At-least-once Kafka delivery is assumed; all consumers are idempotent by construction, not by convention.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integrity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float/double in the billing domain; every monetary value is BigDecimal with one documented rounding rule.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Structured JSON logs with a request/correlation ID; Micrometer metrics exposed for Prometheus; Grafana dashboard as a stretch goal.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Scalability (design target, not load-tested)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metering-service consumers scale horizontally via Kafka consumer groups partitioned by tenant_id.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Isolation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cross-tenant data access is possible even with a missing application-layer filter, enforced by RLS.</w:t>
            </w:r>
          </w:p>
        </w:tc>
      </w:tr>
    </w:tbl>
    <w:p>
      <w:pPr>
        <w:pStyle w:val="Heading1"/>
        <w:spacing w:after="160" w:before="360"/>
      </w:pPr>
      <w:r>
        <w:t xml:space="preserve">11. Deployment &amp; Infrastructure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Local development: Docker Compose brings up PostgreSQL, Redis, Redpanda, and all Spring Boot services with one command.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CI: GitHub Actions runs unit tests on every push; integration tests use Testcontainers to spin up real Postgres and Kafka/Redpanda instances rather than mocks.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Kubernetes manifests (Deployments, Services, a ConfigMap per service) are a stretch goal for portfolio depth once the core system is functionally correct — not a prerequisite for a working demo.</w:t>
      </w:r>
    </w:p>
    <w:p>
      <w:pPr>
        <w:pStyle w:val="Heading1"/>
        <w:spacing w:after="160" w:before="360"/>
      </w:pPr>
      <w:r>
        <w:t xml:space="preserve">12. Testing Strategy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66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is tested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Unit — billing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Tier-boundary edge cases (usage exactly at included_units, usage spanning two tiers, zero usage) against hand-calculated expected totals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Integration — metering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Testcontainers Postgres + Redpanda: duplicate idempotency_key and simulated Kafka redelivery both produce exactly one counted event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Integration — RLS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query missing its tenant filter still returns only the correct tenant's rows under pooled-connection reuse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 — dashboard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Angular component test asserting the chart updates correctly given a mocked STOMP payload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End-to-end — billing idempotency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Re-running the billing job for an already-invoiced period produces no duplicate Invoice row</w:t>
            </w:r>
          </w:p>
        </w:tc>
      </w:tr>
    </w:tbl>
    <w:p>
      <w:pPr>
        <w:pStyle w:val="Heading1"/>
        <w:spacing w:after="160" w:before="360"/>
      </w:pPr>
      <w:r>
        <w:t xml:space="preserve">13. Milestones &amp; Phased Delivery Plan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66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Deliverable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Phase 0 — POC (see companion POC document)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Single-tenant metering, RLS proof, live dashboard, one tiered invoice — validates the riskiest design decisions before full build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Phase 1 — Core MVP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Multi-tenant onboarding, full ingestion/metering/billing services, Angular auth + dashboard + billing views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Phase 2 — Hardening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 limiting, RLS edge-case tests, reconciliation job, CI with Testcontainers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Phase 3 — Stretch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Kubernetes manifests, Keycloak, Prometheus/Grafana observability, notification-service</w:t>
            </w:r>
          </w:p>
        </w:tc>
      </w:tr>
    </w:tbl>
    <w:p>
      <w:pPr>
        <w:pStyle w:val="Heading1"/>
        <w:spacing w:after="160" w:before="360"/>
      </w:pPr>
      <w:r>
        <w:t xml:space="preserve">14. Risks &amp; Open Questions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 / question</w:t>
            </w:r>
          </w:p>
        </w:tc>
        <w:tc>
          <w:tcPr>
            <w:tcW w:type="dxa" w:w="62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Current position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operational overhead for a portfolio-scale project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 Redpanda locally (Kafka-API compatible, single binary); document the substitution explicitly rather than silently pretending it's Kafka.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RLS + connection pooling is the fiddliest integration point in the whole system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Treated as the highest-risk item; validated first, in the POC, before anything else is built on top of it.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Scope creep toward a real payment processor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Explicitly out of scope for the entire project — Meterly generates invoices, it does not collect payment. Revisit only if there is a specific reason to add it later.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Multi-currency and tax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Deferred indefinitely; named here so it is a deliberate decision, not a silent gap.</w:t>
            </w:r>
          </w:p>
        </w:tc>
      </w:tr>
    </w:tbl>
    <w:p>
      <w:pPr>
        <w:pStyle w:val="Heading1"/>
        <w:spacing w:after="160" w:before="360"/>
      </w:pPr>
      <w:r>
        <w:t xml:space="preserve">15. Appendix</w:t>
      </w:r>
    </w:p>
    <w:p>
      <w:pPr>
        <w:pStyle w:val="Heading2"/>
        <w:spacing w:after="120" w:before="280"/>
      </w:pPr>
      <w:r>
        <w:t xml:space="preserve">15.1 Glossary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66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customer organization using Meterly; the unit of data isolation.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 key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client-supplied unique token allowing safe rejection of duplicate submissions.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Row-Level Security (RLS)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 feature enforcing per-row access policies at the database layer.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Tiered pricing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 billing model where different marginal unit prices apply above successive usage thresholds.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Proration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Adjusting a charge for a partial billing period (out of scope for this project).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 of truth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 this design, PostgreSQL for usage and billing data; Redis is a read-optimized cache only.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Meterly — Project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2026-07-20T15:11:17.322Z</dcterms:created>
  <dcterms:modified xsi:type="dcterms:W3CDTF">2026-07-20T15:11:17.323Z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