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B57"/>
          <w:sz w:val="64"/>
          <w:szCs w:val="64"/>
        </w:rPr>
        <w:t xml:space="preserve">Meterly</w:t>
      </w:r>
    </w:p>
    <w:p>
      <w:pPr>
        <w:spacing w:after="60"/>
      </w:pPr>
      <w:r>
        <w:rPr>
          <w:color w:val="555555"/>
          <w:sz w:val="32"/>
          <w:szCs w:val="32"/>
        </w:rPr>
        <w:t xml:space="preserve">Multi-Tenant SaaS Billing &amp; Usage-Metering Platform</w:t>
      </w:r>
    </w:p>
    <w:p>
      <w:pPr>
        <w:spacing w:after="400"/>
      </w:pPr>
      <w:r>
        <w:rPr>
          <w:b/>
          <w:bCs/>
          <w:sz w:val="28"/>
          <w:szCs w:val="28"/>
        </w:rPr>
        <w:t xml:space="preserve">Proof of Concept (POC)</w:t>
      </w:r>
    </w:p>
    <w:p>
      <w:pPr>
        <w:spacing w:after="60"/>
      </w:pPr>
      <w:r>
        <w:rPr>
          <w:sz w:val="22"/>
          <w:szCs w:val="22"/>
        </w:rPr>
        <w:t xml:space="preserve">Author: Arnav Kumar</w:t>
      </w:r>
    </w:p>
    <w:p>
      <w:pPr>
        <w:spacing w:after="60"/>
      </w:pPr>
      <w:r>
        <w:rPr>
          <w:sz w:val="22"/>
          <w:szCs w:val="22"/>
        </w:rPr>
        <w:t xml:space="preserve">Version 1.0 — July 2026</w:t>
      </w:r>
    </w:p>
    <w:p>
      <w:r>
        <w:rPr>
          <w:i/>
          <w:iCs/>
          <w:color w:val="777777"/>
          <w:sz w:val="22"/>
          <w:szCs w:val="22"/>
        </w:rPr>
        <w:t xml:space="preserve">Status: Master reference document — updated throughout the project lifecycle</w:t>
      </w:r>
    </w:p>
    <w:p>
      <w:r>
        <w:br w:type="page"/>
      </w:r>
    </w:p>
    <w:p>
      <w:pPr>
        <w:spacing w:after="200"/>
      </w:pPr>
      <w:r>
        <w:rPr>
          <w:b/>
          <w:bCs/>
          <w:sz w:val="28"/>
          <w:szCs w:val="28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t xml:space="preserve">1. Overview</w:t>
      </w:r>
    </w:p>
    <w:p>
      <w:pPr>
        <w:spacing w:after="160"/>
      </w:pPr>
      <w:r>
        <w:t xml:space="preserve">Meterly is a multi-tenant SaaS billing and usage-metering platform. It exists to demonstrate, end-to-end, the categories of problems that real developer-tools and infrastructure companies solve internally: metered API consumption, tiered and usage-based billing, strict tenant data isolation, and real-time usage visibility for customers.</w:t>
      </w:r>
    </w:p>
    <w:p>
      <w:pPr>
        <w:spacing w:after="160"/>
      </w:pPr>
      <w:r>
        <w:t xml:space="preserve">The goal is not to reproduce Stripe. It is to build a smaller system that still forces correct solutions to the hard parts — accurate metering under concurrent and retried writes, tenant isolation enforced below the application layer, and invoice math that is provably correct — with a working Angular front end and Spring Boot back end.</w:t>
      </w:r>
    </w:p>
    <w:p>
      <w:pPr>
        <w:spacing w:after="160"/>
      </w:pPr>
      <w:r>
        <w:t xml:space="preserve">This POC exists to de-risk the architecture in the accompanying Project Design Document (PDD) before the full build begins. It answers one question: can the core hard problems actually be solved with the chosen stack, at small scale, before time is invested in the full feature set?</w:t>
      </w:r>
    </w:p>
    <w:p>
      <w:pPr>
        <w:pStyle w:val="Heading1"/>
        <w:spacing w:after="160" w:before="360"/>
      </w:pPr>
      <w:r>
        <w:t xml:space="preserve">2. Objective / Hypotheses to Validate</w:t>
      </w:r>
    </w:p>
    <w:p>
      <w:pPr>
        <w:spacing w:after="160"/>
      </w:pPr>
      <w:r>
        <w:t xml:space="preserve">The POC must demonstrate the following, each of which is a genuine risk in the PDD's design: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Spring Boot service can ingest usage events and count them per tenant, per billing period, without double-counting — even when a client retries the same request (idempotency keys) or Kafka redelivers a message (consumer-side idempotent upsert).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PostgreSQL Row-Level Security (RLS) enforces tenant isolation at the database layer, so a bug in an application-layer WHERE clause cannot leak another tenant's rows.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 Angular dashboard can reflect a usage event in the UI within roughly two seconds of that event being published, using a WebSocket/STOMP channel rather than polling.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 billing job can compute a correct tiered, usage-based invoice for a sample tenant, verified against an independent hand calculation to the cent.</w:t>
      </w:r>
    </w:p>
    <w:p>
      <w:pPr>
        <w:spacing w:after="160"/>
      </w:pPr>
      <w:r>
        <w:t xml:space="preserve">If any hypothesis fails, the relevant section of the PDD is revisited before the full build proceeds — this document and the PDD are treated as living, and the PDD is the one that gets corrected.</w:t>
      </w:r>
    </w:p>
    <w:p>
      <w:pPr>
        <w:pStyle w:val="Heading1"/>
        <w:spacing w:after="160" w:before="360"/>
      </w:pPr>
      <w:r>
        <w:t xml:space="preserve">3. Scope</w:t>
      </w:r>
    </w:p>
    <w:p>
      <w:pPr>
        <w:pStyle w:val="Heading2"/>
        <w:spacing w:after="120" w:before="280"/>
      </w:pPr>
      <w:r>
        <w:t xml:space="preserve">In scope for the POC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Single tenant, single metered resource (“API calls”)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One pricing plan with two tiers (included units + one marginal-price tier above that)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Usage ingestion endpoint accepting an idempotency key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Kafka (Redpanda locally) topic carrying usage events, consumed by a metering service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Redis-backed per-tenant, per-period usage counters for fast reads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Angular dashboard showing a live usage count updating over WebSocket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One billing run producing one invoice with correct tiered pricing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Angular invoice view rendering the generated invoice</w:t>
      </w:r>
    </w:p>
    <w:p>
      <w:pPr>
        <w:pStyle w:val="Heading2"/>
        <w:spacing w:after="120" w:before="280"/>
      </w:pPr>
      <w:r>
        <w:t xml:space="preserve">Explicitly out of scope for the POC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Multi-tenant onboarding flows, multi-currency, tax computation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Payment collection, dunning, or failed-payment retries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Plan upgrade/downgrade mid-period proration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Admin analytics, notification emails, audit logging UI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Kubernetes deployment, Keycloak, and full observability stack (deferred to later phases — see PDD Section 13)</w:t>
      </w:r>
    </w:p>
    <w:p>
      <w:pPr>
        <w:pStyle w:val="Heading1"/>
        <w:spacing w:after="160" w:before="360"/>
      </w:pPr>
      <w:r>
        <w:t xml:space="preserve">4. Core Feature Set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Tenant + user bootstrap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Seed one tenant and one admin user directly (no onboarding UI needed for POC)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API key issuance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Represents the credential a tenant's client would use to call a metered API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Usage ingestion endpoint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 /v1/usage-events, accepts idempotency_key + quantity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Kafka/Redpanda topic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usage-events, partitioned by tenant_id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Metering consumer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Idempotent upsert into Postgres + Redis counter increment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dashboard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Angular view subscribed over STOMP to per-tenant usage updates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Billing job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Reads the closed period's aggregate, applies tiered pricing, writes an Invoice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Invoice view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Angular view rendering line items and total for the generated invoice</w:t>
            </w:r>
          </w:p>
        </w:tc>
      </w:tr>
    </w:tbl>
    <w:p>
      <w:pPr>
        <w:pStyle w:val="Heading1"/>
        <w:spacing w:after="160" w:before="360"/>
      </w:pPr>
      <w:r>
        <w:t xml:space="preserve">5. Technology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400"/>
      </w:tblGrid>
      <w:tr>
        <w:trPr>
          <w:tblHeader/>
        </w:trPr>
        <w:tc>
          <w:tcPr>
            <w:tcW w:type="dxa" w:w="18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4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 this choice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Frontend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Angular 18, RxJS, Angular Material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Modern Angular signals + RxJS for real-time state; Material for fast, consistent UI without hand-rolled CSS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Backend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Java 21, Spring Boot 3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Industry-standard for enterprise backends; virtual threads available if needed later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Messaging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Kafka-API (Redpanda locally)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Kafka semantics and partitioning without the operational overhead of a full Kafka/ZooKeeper cluster on a laptop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Cache / counters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Sub-millisecond counter increments for the live dashboard; explicitly not the system of record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PostgreSQL 16 (Row-Level Security)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RLS gives tenant isolation enforced by the database itself, not just application code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Spring Security + JWT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Self-issued JWTs are sufficient to prove the tenant-context propagation pattern; Keycloak is a stretch goal, not a POC blocker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Local infra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command spins up Postgres, Redis, Redpanda, and both services</w:t>
            </w:r>
          </w:p>
        </w:tc>
      </w:tr>
      <w:tr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CI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Build + unit test on every push</w:t>
            </w:r>
          </w:p>
        </w:tc>
      </w:tr>
    </w:tbl>
    <w:p>
      <w:pPr>
        <w:pStyle w:val="Heading1"/>
        <w:spacing w:after="160" w:before="360"/>
      </w:pPr>
      <w:r>
        <w:t xml:space="preserve">6. Architecture Sketch</w:t>
      </w:r>
    </w:p>
    <w:p>
      <w:pPr>
        <w:spacing w:after="160"/>
      </w:pPr>
      <w:r>
        <w:t xml:space="preserve">At POC scope there are two Spring Boot services plus the Angular SPA: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ingestion-service — exposes the usage-events endpoint, validates the idempotency key, publishes to Kafka.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metering-billing-service — consumes usage-events, performs idempotent upsert + Redis increment, exposes the WebSocket topic for live counts, and runs the billing job that produces invoices.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meterly-web — the Angular SPA (login, dashboard, invoice view).</w:t>
      </w:r>
    </w:p>
    <w:p>
      <w:pPr>
        <w:spacing w:after="160"/>
      </w:pPr>
      <w:r>
        <w:t xml:space="preserve">Data flow: a simulated client calls the ingestion endpoint → event is published to the usage-events Kafka topic, partitioned by tenant_id to preserve per-tenant ordering → the metering consumer upserts the event into Postgres (idempotency_key has a unique constraint, so redelivery is a no-op) and increments the Redis counter for the current period → the counter increment is pushed to subscribed dashboard clients over STOMP → at period close, the billing job reads the Postgres aggregate (the source of truth, not Redis) and writes an Invoice with its line items → the Angular invoice view fetches and renders it over REST.</w:t>
      </w:r>
    </w:p>
    <w:p>
      <w:pPr>
        <w:spacing w:after="160"/>
      </w:pPr>
      <w:r>
        <w:t xml:space="preserve">The two-service split (rather than one monolith) exists specifically to prove that ingestion and metering/billing can scale and fail independently — the PDD's full design splits these further into tenant-service, metering-service, and billing-service (Section 2 of the PDD).</w:t>
      </w:r>
    </w:p>
    <w:p>
      <w:pPr>
        <w:pStyle w:val="Heading1"/>
        <w:spacing w:after="160" w:before="360"/>
      </w:pPr>
      <w:r>
        <w:t xml:space="preserve">7. Success / Exit Criteria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00"/>
      </w:tblGrid>
      <w:tr>
        <w:trPr>
          <w:tblHeader/>
        </w:trPr>
        <w:tc>
          <w:tcPr>
            <w:tcW w:type="dxa" w:w="34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Hypothesis</w:t>
            </w:r>
          </w:p>
        </w:tc>
        <w:tc>
          <w:tcPr>
            <w:tcW w:type="dxa" w:w="6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 criteria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Idempotent metering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1,000 simulated events with 5% intentional duplicate idempotency keys and 5% intentional Kafka redelivery result in an aggregate count matching the number of unique keys, exactly.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RLS isolation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query executed with a different tenant's session variable set returns zero rows for the seeded tenant's data, even when the WHERE clause is deliberately omitted from the test query.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dashboard latency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 20 manual trials, the dashboard counter reflects a published event within 2 seconds at least 18 times.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tiered invoice</w:t>
            </w:r>
          </w:p>
        </w:tc>
        <w:tc>
          <w:tcPr>
            <w:tcW w:type="dxa" w:w="6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generated invoice total matches an independently hand-calculated total for the same usage figures, to the cent.</w:t>
            </w:r>
          </w:p>
        </w:tc>
      </w:tr>
    </w:tbl>
    <w:p>
      <w:pPr>
        <w:pStyle w:val="Heading1"/>
        <w:spacing w:after="160" w:before="360"/>
      </w:pPr>
      <w:r>
        <w:t xml:space="preserve">8. Key Risks &amp; Mitigations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00"/>
      </w:tblGrid>
      <w:tr>
        <w:trPr>
          <w:tblHeader/>
        </w:trPr>
        <w:tc>
          <w:tcPr>
            <w:tcW w:type="dxa" w:w="4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Risk</w:t>
            </w:r>
          </w:p>
        </w:tc>
        <w:tc>
          <w:tcPr>
            <w:tcW w:type="dxa" w:w="5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Mitigation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RLS + connection-pooled session variables interacting badly (session vars can leak across pooled connections)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the tenant session variable per-transaction via a Spring @Around aspect at the start of every request, and add a test that asserts it is reset/reassigned even under pool reuse.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Kafka/Redpanda operational overhead derails POC timeline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Use Redpanda's single-binary local mode; document it as Kafka-API compatible rather than standing up a full Kafka cluster.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Redis counter and Postgres ledger drifting apart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Postgres is authoritative by design; Redis is explicitly a read cache. The POC includes one reconciliation check comparing the two after the test run.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Floating-point rounding errors in invoice math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All monetary values use BigDecimal end-to-end, with a documented HALF_EVEN rounding rule at the cent, never double/float.</w:t>
            </w:r>
          </w:p>
        </w:tc>
      </w:tr>
    </w:tbl>
    <w:p>
      <w:pPr>
        <w:pStyle w:val="Heading1"/>
        <w:spacing w:after="160" w:before="360"/>
      </w:pPr>
      <w:r>
        <w:t xml:space="preserve">9. Timeline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200"/>
        <w:gridCol w:w="1800"/>
      </w:tblGrid>
      <w:tr>
        <w:trPr>
          <w:tblHeader/>
        </w:trPr>
        <w:tc>
          <w:tcPr>
            <w:tcW w:type="dxa" w:w="2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52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18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Target duration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POC – Week 1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Docker Compose stack, tenant/user seed, ingestion endpoint, Kafka publish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week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POC – Week 2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Metering consumer with idempotent upsert, Redis counters, RLS policies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week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POC – Week 3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Angular dashboard with live WebSocket updates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week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POC – Week 4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Billing job, invoice generation, Angular invoice view, exit-criteria validation</w:t>
            </w:r>
          </w:p>
        </w:tc>
        <w:tc>
          <w:tcPr>
            <w:tcW w:type="dxa" w:w="1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 week</w:t>
            </w:r>
          </w:p>
        </w:tc>
      </w:tr>
    </w:tbl>
    <w:p>
      <w:pPr>
        <w:pStyle w:val="Heading1"/>
        <w:spacing w:after="160" w:before="360"/>
      </w:pPr>
      <w:r>
        <w:t xml:space="preserve">10. Appendix: Glossary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600"/>
            <w:shd w:fill="1F3B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Tenant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customer organization using Meterly; the unit of data isolation.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Metered resource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billable unit a tenant's usage is tracked against (e.g., API calls).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Usage event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single record of consumption of a metered resource, carrying an idempotency key.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Idempotency key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client-supplied unique token that lets the ingestion endpoint safely ignore duplicate submissions of the same event.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Row-Level Security (RLS)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PostgreSQL feature that filters query results by a policy evaluated per-row, enforced regardless of the application's own query logic.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Proration</w:t>
            </w:r>
          </w:p>
        </w:tc>
        <w:tc>
          <w:tcPr>
            <w:tcW w:type="dxa" w:w="6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Adjusting a charge for a partial billing period (explicitly out of scope for the POC).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Meterly — Proof of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2026-07-20T15:11:17.068Z</dcterms:created>
  <dcterms:modified xsi:type="dcterms:W3CDTF">2026-07-20T15:11:17.068Z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