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22991" w14:textId="77777777" w:rsidR="00B260E9" w:rsidRDefault="005042F6">
      <w:pPr>
        <w:spacing w:after="120"/>
      </w:pPr>
      <w:r>
        <w:rPr>
          <w:b/>
          <w:bCs/>
          <w:color w:val="1F3B57"/>
          <w:sz w:val="64"/>
          <w:szCs w:val="64"/>
        </w:rPr>
        <w:t>Meterly</w:t>
      </w:r>
    </w:p>
    <w:p w14:paraId="434179D1" w14:textId="77777777" w:rsidR="00B260E9" w:rsidRDefault="005042F6">
      <w:pPr>
        <w:spacing w:after="60"/>
      </w:pPr>
      <w:r>
        <w:rPr>
          <w:color w:val="555555"/>
          <w:sz w:val="32"/>
          <w:szCs w:val="32"/>
        </w:rPr>
        <w:t>Multi-Tenant SaaS Billing &amp; Usage-Metering Platform</w:t>
      </w:r>
    </w:p>
    <w:p w14:paraId="41EB0E1C" w14:textId="77777777" w:rsidR="00B260E9" w:rsidRDefault="005042F6">
      <w:pPr>
        <w:spacing w:after="400"/>
      </w:pPr>
      <w:r>
        <w:rPr>
          <w:b/>
          <w:bCs/>
          <w:sz w:val="28"/>
          <w:szCs w:val="28"/>
        </w:rPr>
        <w:t>Project Design Document (PDD)</w:t>
      </w:r>
    </w:p>
    <w:p w14:paraId="71891113" w14:textId="77777777" w:rsidR="00B260E9" w:rsidRDefault="005042F6">
      <w:pPr>
        <w:spacing w:after="60"/>
      </w:pPr>
      <w:r>
        <w:rPr>
          <w:sz w:val="22"/>
          <w:szCs w:val="22"/>
        </w:rPr>
        <w:t>Author: Arnav Kumar</w:t>
      </w:r>
    </w:p>
    <w:p w14:paraId="3260FBFE" w14:textId="77777777" w:rsidR="00B260E9" w:rsidRDefault="005042F6">
      <w:pPr>
        <w:spacing w:after="60"/>
      </w:pPr>
      <w:r>
        <w:rPr>
          <w:sz w:val="22"/>
          <w:szCs w:val="22"/>
        </w:rPr>
        <w:t>Version 1.1 — September 2026</w:t>
      </w:r>
    </w:p>
    <w:p w14:paraId="4DAFFCF0" w14:textId="77777777" w:rsidR="00B260E9" w:rsidRDefault="005042F6">
      <w:r>
        <w:rPr>
          <w:i/>
          <w:iCs/>
          <w:color w:val="777777"/>
          <w:sz w:val="22"/>
          <w:szCs w:val="22"/>
        </w:rPr>
        <w:t>Status: Master reference document for the full build — v1.1 aligned with the Java 21 / Spring Boot implementation (changes listed in Section 17.2)</w:t>
      </w:r>
    </w:p>
    <w:p w14:paraId="73876FD5" w14:textId="77777777" w:rsidR="00B260E9" w:rsidRDefault="005042F6">
      <w:r>
        <w:br w:type="page"/>
      </w:r>
    </w:p>
    <w:p w14:paraId="2DDA26C1" w14:textId="77777777" w:rsidR="00B260E9" w:rsidRDefault="005042F6">
      <w:pPr>
        <w:spacing w:after="200"/>
      </w:pPr>
      <w:r>
        <w:rPr>
          <w:b/>
          <w:bCs/>
          <w:sz w:val="28"/>
          <w:szCs w:val="28"/>
        </w:rPr>
        <w:t>Table of Contents</w:t>
      </w:r>
    </w:p>
    <w:sdt>
      <w:sdtPr>
        <w:alias w:val="Table of Contents"/>
        <w:id w:val="-406538431"/>
      </w:sdtPr>
      <w:sdtEndPr/>
      <w:sdtContent>
        <w:p w14:paraId="5638E8E7" w14:textId="7FEF2B13" w:rsidR="00D6220E" w:rsidRDefault="005042F6">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1071875" w:history="1">
            <w:r w:rsidR="00D6220E" w:rsidRPr="002A18C7">
              <w:rPr>
                <w:rStyle w:val="Hyperlink"/>
                <w:noProof/>
              </w:rPr>
              <w:t>1. Introduction &amp; Goals</w:t>
            </w:r>
            <w:r w:rsidR="00D6220E">
              <w:rPr>
                <w:noProof/>
              </w:rPr>
              <w:tab/>
            </w:r>
            <w:r w:rsidR="00D6220E">
              <w:rPr>
                <w:noProof/>
              </w:rPr>
              <w:fldChar w:fldCharType="begin"/>
            </w:r>
            <w:r w:rsidR="00D6220E">
              <w:rPr>
                <w:noProof/>
              </w:rPr>
              <w:instrText xml:space="preserve"> PAGEREF _Toc241071875 \h </w:instrText>
            </w:r>
            <w:r w:rsidR="00D6220E">
              <w:rPr>
                <w:noProof/>
              </w:rPr>
            </w:r>
            <w:r w:rsidR="00D6220E">
              <w:rPr>
                <w:noProof/>
              </w:rPr>
              <w:fldChar w:fldCharType="separate"/>
            </w:r>
            <w:r w:rsidR="00D6220E">
              <w:rPr>
                <w:noProof/>
              </w:rPr>
              <w:t>3</w:t>
            </w:r>
            <w:r w:rsidR="00D6220E">
              <w:rPr>
                <w:noProof/>
              </w:rPr>
              <w:fldChar w:fldCharType="end"/>
            </w:r>
          </w:hyperlink>
        </w:p>
        <w:p w14:paraId="604BC9A5" w14:textId="65510CF7" w:rsidR="00D6220E" w:rsidRDefault="00D6220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071876" w:history="1">
            <w:r w:rsidRPr="002A18C7">
              <w:rPr>
                <w:rStyle w:val="Hyperlink"/>
                <w:noProof/>
              </w:rPr>
              <w:t>2. System Architecture Overview</w:t>
            </w:r>
            <w:r>
              <w:rPr>
                <w:noProof/>
              </w:rPr>
              <w:tab/>
            </w:r>
            <w:r>
              <w:rPr>
                <w:noProof/>
              </w:rPr>
              <w:fldChar w:fldCharType="begin"/>
            </w:r>
            <w:r>
              <w:rPr>
                <w:noProof/>
              </w:rPr>
              <w:instrText xml:space="preserve"> PAGEREF _Toc241071876 \h </w:instrText>
            </w:r>
            <w:r>
              <w:rPr>
                <w:noProof/>
              </w:rPr>
            </w:r>
            <w:r>
              <w:rPr>
                <w:noProof/>
              </w:rPr>
              <w:fldChar w:fldCharType="separate"/>
            </w:r>
            <w:r>
              <w:rPr>
                <w:noProof/>
              </w:rPr>
              <w:t>3</w:t>
            </w:r>
            <w:r>
              <w:rPr>
                <w:noProof/>
              </w:rPr>
              <w:fldChar w:fldCharType="end"/>
            </w:r>
          </w:hyperlink>
        </w:p>
        <w:p w14:paraId="5683B614" w14:textId="3A6F7D7F" w:rsidR="00D6220E" w:rsidRDefault="00D6220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071877" w:history="1">
            <w:r w:rsidRPr="002A18C7">
              <w:rPr>
                <w:rStyle w:val="Hyperlink"/>
                <w:noProof/>
              </w:rPr>
              <w:t>3. Domain Model &amp; Data Design</w:t>
            </w:r>
            <w:r>
              <w:rPr>
                <w:noProof/>
              </w:rPr>
              <w:tab/>
            </w:r>
            <w:r>
              <w:rPr>
                <w:noProof/>
              </w:rPr>
              <w:fldChar w:fldCharType="begin"/>
            </w:r>
            <w:r>
              <w:rPr>
                <w:noProof/>
              </w:rPr>
              <w:instrText xml:space="preserve"> PAGEREF _Toc241071877 \h </w:instrText>
            </w:r>
            <w:r>
              <w:rPr>
                <w:noProof/>
              </w:rPr>
            </w:r>
            <w:r>
              <w:rPr>
                <w:noProof/>
              </w:rPr>
              <w:fldChar w:fldCharType="separate"/>
            </w:r>
            <w:r>
              <w:rPr>
                <w:noProof/>
              </w:rPr>
              <w:t>4</w:t>
            </w:r>
            <w:r>
              <w:rPr>
                <w:noProof/>
              </w:rPr>
              <w:fldChar w:fldCharType="end"/>
            </w:r>
          </w:hyperlink>
        </w:p>
        <w:p w14:paraId="15ECEFC4" w14:textId="22250B58" w:rsidR="00D6220E" w:rsidRDefault="00D6220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071878" w:history="1">
            <w:r w:rsidRPr="002A18C7">
              <w:rPr>
                <w:rStyle w:val="Hyperlink"/>
                <w:noProof/>
              </w:rPr>
              <w:t>4. Multi-Tenancy Strategy</w:t>
            </w:r>
            <w:r>
              <w:rPr>
                <w:noProof/>
              </w:rPr>
              <w:tab/>
            </w:r>
            <w:r>
              <w:rPr>
                <w:noProof/>
              </w:rPr>
              <w:fldChar w:fldCharType="begin"/>
            </w:r>
            <w:r>
              <w:rPr>
                <w:noProof/>
              </w:rPr>
              <w:instrText xml:space="preserve"> PAGEREF _Toc241071878 \h </w:instrText>
            </w:r>
            <w:r>
              <w:rPr>
                <w:noProof/>
              </w:rPr>
            </w:r>
            <w:r>
              <w:rPr>
                <w:noProof/>
              </w:rPr>
              <w:fldChar w:fldCharType="separate"/>
            </w:r>
            <w:r>
              <w:rPr>
                <w:noProof/>
              </w:rPr>
              <w:t>4</w:t>
            </w:r>
            <w:r>
              <w:rPr>
                <w:noProof/>
              </w:rPr>
              <w:fldChar w:fldCharType="end"/>
            </w:r>
          </w:hyperlink>
        </w:p>
        <w:p w14:paraId="3DB6E528" w14:textId="29FE6EFB" w:rsidR="00D6220E" w:rsidRDefault="00D6220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071879" w:history="1">
            <w:r w:rsidRPr="002A18C7">
              <w:rPr>
                <w:rStyle w:val="Hyperlink"/>
                <w:noProof/>
              </w:rPr>
              <w:t>5. Usage Metering Pipeline</w:t>
            </w:r>
            <w:r>
              <w:rPr>
                <w:noProof/>
              </w:rPr>
              <w:tab/>
            </w:r>
            <w:r>
              <w:rPr>
                <w:noProof/>
              </w:rPr>
              <w:fldChar w:fldCharType="begin"/>
            </w:r>
            <w:r>
              <w:rPr>
                <w:noProof/>
              </w:rPr>
              <w:instrText xml:space="preserve"> PAGEREF _Toc241071879 \h </w:instrText>
            </w:r>
            <w:r>
              <w:rPr>
                <w:noProof/>
              </w:rPr>
            </w:r>
            <w:r>
              <w:rPr>
                <w:noProof/>
              </w:rPr>
              <w:fldChar w:fldCharType="separate"/>
            </w:r>
            <w:r>
              <w:rPr>
                <w:noProof/>
              </w:rPr>
              <w:t>5</w:t>
            </w:r>
            <w:r>
              <w:rPr>
                <w:noProof/>
              </w:rPr>
              <w:fldChar w:fldCharType="end"/>
            </w:r>
          </w:hyperlink>
        </w:p>
        <w:p w14:paraId="2C81F6CA" w14:textId="5BBCAB37" w:rsidR="00D6220E" w:rsidRDefault="00D6220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071880" w:history="1">
            <w:r w:rsidRPr="002A18C7">
              <w:rPr>
                <w:rStyle w:val="Hyperlink"/>
                <w:noProof/>
              </w:rPr>
              <w:t>5.1 Ingestion</w:t>
            </w:r>
            <w:r>
              <w:rPr>
                <w:noProof/>
              </w:rPr>
              <w:tab/>
            </w:r>
            <w:r>
              <w:rPr>
                <w:noProof/>
              </w:rPr>
              <w:fldChar w:fldCharType="begin"/>
            </w:r>
            <w:r>
              <w:rPr>
                <w:noProof/>
              </w:rPr>
              <w:instrText xml:space="preserve"> PAGEREF _Toc241071880 \h </w:instrText>
            </w:r>
            <w:r>
              <w:rPr>
                <w:noProof/>
              </w:rPr>
            </w:r>
            <w:r>
              <w:rPr>
                <w:noProof/>
              </w:rPr>
              <w:fldChar w:fldCharType="separate"/>
            </w:r>
            <w:r>
              <w:rPr>
                <w:noProof/>
              </w:rPr>
              <w:t>5</w:t>
            </w:r>
            <w:r>
              <w:rPr>
                <w:noProof/>
              </w:rPr>
              <w:fldChar w:fldCharType="end"/>
            </w:r>
          </w:hyperlink>
        </w:p>
        <w:p w14:paraId="10E57342" w14:textId="7CC2E3E0" w:rsidR="00D6220E" w:rsidRDefault="00D6220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071881" w:history="1">
            <w:r w:rsidRPr="002A18C7">
              <w:rPr>
                <w:rStyle w:val="Hyperlink"/>
                <w:noProof/>
              </w:rPr>
              <w:t>5.2 Kafka topic design</w:t>
            </w:r>
            <w:r>
              <w:rPr>
                <w:noProof/>
              </w:rPr>
              <w:tab/>
            </w:r>
            <w:r>
              <w:rPr>
                <w:noProof/>
              </w:rPr>
              <w:fldChar w:fldCharType="begin"/>
            </w:r>
            <w:r>
              <w:rPr>
                <w:noProof/>
              </w:rPr>
              <w:instrText xml:space="preserve"> PAGEREF _Toc241071881 \h </w:instrText>
            </w:r>
            <w:r>
              <w:rPr>
                <w:noProof/>
              </w:rPr>
            </w:r>
            <w:r>
              <w:rPr>
                <w:noProof/>
              </w:rPr>
              <w:fldChar w:fldCharType="separate"/>
            </w:r>
            <w:r>
              <w:rPr>
                <w:noProof/>
              </w:rPr>
              <w:t>5</w:t>
            </w:r>
            <w:r>
              <w:rPr>
                <w:noProof/>
              </w:rPr>
              <w:fldChar w:fldCharType="end"/>
            </w:r>
          </w:hyperlink>
        </w:p>
        <w:p w14:paraId="4D837694" w14:textId="184BA639" w:rsidR="00D6220E" w:rsidRDefault="00D6220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071882" w:history="1">
            <w:r w:rsidRPr="002A18C7">
              <w:rPr>
                <w:rStyle w:val="Hyperlink"/>
                <w:noProof/>
              </w:rPr>
              <w:t>5.3 Idempotent consumption</w:t>
            </w:r>
            <w:r>
              <w:rPr>
                <w:noProof/>
              </w:rPr>
              <w:tab/>
            </w:r>
            <w:r>
              <w:rPr>
                <w:noProof/>
              </w:rPr>
              <w:fldChar w:fldCharType="begin"/>
            </w:r>
            <w:r>
              <w:rPr>
                <w:noProof/>
              </w:rPr>
              <w:instrText xml:space="preserve"> PAGEREF _Toc241071882 \h </w:instrText>
            </w:r>
            <w:r>
              <w:rPr>
                <w:noProof/>
              </w:rPr>
            </w:r>
            <w:r>
              <w:rPr>
                <w:noProof/>
              </w:rPr>
              <w:fldChar w:fldCharType="separate"/>
            </w:r>
            <w:r>
              <w:rPr>
                <w:noProof/>
              </w:rPr>
              <w:t>5</w:t>
            </w:r>
            <w:r>
              <w:rPr>
                <w:noProof/>
              </w:rPr>
              <w:fldChar w:fldCharType="end"/>
            </w:r>
          </w:hyperlink>
        </w:p>
        <w:p w14:paraId="4768F02B" w14:textId="607F9268" w:rsidR="00D6220E" w:rsidRDefault="00D6220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071883" w:history="1">
            <w:r w:rsidRPr="002A18C7">
              <w:rPr>
                <w:rStyle w:val="Hyperlink"/>
                <w:noProof/>
              </w:rPr>
              <w:t>5.4 Read path</w:t>
            </w:r>
            <w:r>
              <w:rPr>
                <w:noProof/>
              </w:rPr>
              <w:tab/>
            </w:r>
            <w:r>
              <w:rPr>
                <w:noProof/>
              </w:rPr>
              <w:fldChar w:fldCharType="begin"/>
            </w:r>
            <w:r>
              <w:rPr>
                <w:noProof/>
              </w:rPr>
              <w:instrText xml:space="preserve"> PAGEREF _Toc241071883 \h </w:instrText>
            </w:r>
            <w:r>
              <w:rPr>
                <w:noProof/>
              </w:rPr>
            </w:r>
            <w:r>
              <w:rPr>
                <w:noProof/>
              </w:rPr>
              <w:fldChar w:fldCharType="separate"/>
            </w:r>
            <w:r>
              <w:rPr>
                <w:noProof/>
              </w:rPr>
              <w:t>5</w:t>
            </w:r>
            <w:r>
              <w:rPr>
                <w:noProof/>
              </w:rPr>
              <w:fldChar w:fldCharType="end"/>
            </w:r>
          </w:hyperlink>
        </w:p>
        <w:p w14:paraId="1FD28ABF" w14:textId="12110A75" w:rsidR="00D6220E" w:rsidRDefault="00D6220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071884" w:history="1">
            <w:r w:rsidRPr="002A18C7">
              <w:rPr>
                <w:rStyle w:val="Hyperlink"/>
                <w:noProof/>
              </w:rPr>
              <w:t>6. Billing &amp; Invoicing Logic</w:t>
            </w:r>
            <w:r>
              <w:rPr>
                <w:noProof/>
              </w:rPr>
              <w:tab/>
            </w:r>
            <w:r>
              <w:rPr>
                <w:noProof/>
              </w:rPr>
              <w:fldChar w:fldCharType="begin"/>
            </w:r>
            <w:r>
              <w:rPr>
                <w:noProof/>
              </w:rPr>
              <w:instrText xml:space="preserve"> PAGEREF _Toc241071884 \h </w:instrText>
            </w:r>
            <w:r>
              <w:rPr>
                <w:noProof/>
              </w:rPr>
            </w:r>
            <w:r>
              <w:rPr>
                <w:noProof/>
              </w:rPr>
              <w:fldChar w:fldCharType="separate"/>
            </w:r>
            <w:r>
              <w:rPr>
                <w:noProof/>
              </w:rPr>
              <w:t>6</w:t>
            </w:r>
            <w:r>
              <w:rPr>
                <w:noProof/>
              </w:rPr>
              <w:fldChar w:fldCharType="end"/>
            </w:r>
          </w:hyperlink>
        </w:p>
        <w:p w14:paraId="6B219527" w14:textId="2C790EEF" w:rsidR="00D6220E" w:rsidRDefault="00D6220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071885" w:history="1">
            <w:r w:rsidRPr="002A18C7">
              <w:rPr>
                <w:rStyle w:val="Hyperlink"/>
                <w:noProof/>
              </w:rPr>
              <w:t>7. API Design</w:t>
            </w:r>
            <w:r>
              <w:rPr>
                <w:noProof/>
              </w:rPr>
              <w:tab/>
            </w:r>
            <w:r>
              <w:rPr>
                <w:noProof/>
              </w:rPr>
              <w:fldChar w:fldCharType="begin"/>
            </w:r>
            <w:r>
              <w:rPr>
                <w:noProof/>
              </w:rPr>
              <w:instrText xml:space="preserve"> PAGEREF _Toc241071885 \h </w:instrText>
            </w:r>
            <w:r>
              <w:rPr>
                <w:noProof/>
              </w:rPr>
            </w:r>
            <w:r>
              <w:rPr>
                <w:noProof/>
              </w:rPr>
              <w:fldChar w:fldCharType="separate"/>
            </w:r>
            <w:r>
              <w:rPr>
                <w:noProof/>
              </w:rPr>
              <w:t>6</w:t>
            </w:r>
            <w:r>
              <w:rPr>
                <w:noProof/>
              </w:rPr>
              <w:fldChar w:fldCharType="end"/>
            </w:r>
          </w:hyperlink>
        </w:p>
        <w:p w14:paraId="0263FC39" w14:textId="6F02477E" w:rsidR="00D6220E" w:rsidRDefault="00D6220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071886" w:history="1">
            <w:r w:rsidRPr="002A18C7">
              <w:rPr>
                <w:rStyle w:val="Hyperlink"/>
                <w:noProof/>
              </w:rPr>
              <w:t>8. Frontend Architecture (Angular)</w:t>
            </w:r>
            <w:r>
              <w:rPr>
                <w:noProof/>
              </w:rPr>
              <w:tab/>
            </w:r>
            <w:r>
              <w:rPr>
                <w:noProof/>
              </w:rPr>
              <w:fldChar w:fldCharType="begin"/>
            </w:r>
            <w:r>
              <w:rPr>
                <w:noProof/>
              </w:rPr>
              <w:instrText xml:space="preserve"> PAGEREF _Toc241071886 \h </w:instrText>
            </w:r>
            <w:r>
              <w:rPr>
                <w:noProof/>
              </w:rPr>
            </w:r>
            <w:r>
              <w:rPr>
                <w:noProof/>
              </w:rPr>
              <w:fldChar w:fldCharType="separate"/>
            </w:r>
            <w:r>
              <w:rPr>
                <w:noProof/>
              </w:rPr>
              <w:t>7</w:t>
            </w:r>
            <w:r>
              <w:rPr>
                <w:noProof/>
              </w:rPr>
              <w:fldChar w:fldCharType="end"/>
            </w:r>
          </w:hyperlink>
        </w:p>
        <w:p w14:paraId="50CFBE58" w14:textId="7D59D2EB" w:rsidR="00D6220E" w:rsidRDefault="00D6220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071887" w:history="1">
            <w:r w:rsidRPr="002A18C7">
              <w:rPr>
                <w:rStyle w:val="Hyperlink"/>
                <w:noProof/>
              </w:rPr>
              <w:t>9. Security &amp; Auth</w:t>
            </w:r>
            <w:r>
              <w:rPr>
                <w:noProof/>
              </w:rPr>
              <w:tab/>
            </w:r>
            <w:r>
              <w:rPr>
                <w:noProof/>
              </w:rPr>
              <w:fldChar w:fldCharType="begin"/>
            </w:r>
            <w:r>
              <w:rPr>
                <w:noProof/>
              </w:rPr>
              <w:instrText xml:space="preserve"> PAGEREF _Toc241071887 \h </w:instrText>
            </w:r>
            <w:r>
              <w:rPr>
                <w:noProof/>
              </w:rPr>
            </w:r>
            <w:r>
              <w:rPr>
                <w:noProof/>
              </w:rPr>
              <w:fldChar w:fldCharType="separate"/>
            </w:r>
            <w:r>
              <w:rPr>
                <w:noProof/>
              </w:rPr>
              <w:t>7</w:t>
            </w:r>
            <w:r>
              <w:rPr>
                <w:noProof/>
              </w:rPr>
              <w:fldChar w:fldCharType="end"/>
            </w:r>
          </w:hyperlink>
        </w:p>
        <w:p w14:paraId="4CC6132E" w14:textId="0ACE73D8" w:rsidR="00D6220E" w:rsidRDefault="00D6220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071888" w:history="1">
            <w:r w:rsidRPr="002A18C7">
              <w:rPr>
                <w:rStyle w:val="Hyperlink"/>
                <w:noProof/>
              </w:rPr>
              <w:t>10. Non-Functional Requirements</w:t>
            </w:r>
            <w:r>
              <w:rPr>
                <w:noProof/>
              </w:rPr>
              <w:tab/>
            </w:r>
            <w:r>
              <w:rPr>
                <w:noProof/>
              </w:rPr>
              <w:fldChar w:fldCharType="begin"/>
            </w:r>
            <w:r>
              <w:rPr>
                <w:noProof/>
              </w:rPr>
              <w:instrText xml:space="preserve"> PAGEREF _Toc241071888 \h </w:instrText>
            </w:r>
            <w:r>
              <w:rPr>
                <w:noProof/>
              </w:rPr>
            </w:r>
            <w:r>
              <w:rPr>
                <w:noProof/>
              </w:rPr>
              <w:fldChar w:fldCharType="separate"/>
            </w:r>
            <w:r>
              <w:rPr>
                <w:noProof/>
              </w:rPr>
              <w:t>7</w:t>
            </w:r>
            <w:r>
              <w:rPr>
                <w:noProof/>
              </w:rPr>
              <w:fldChar w:fldCharType="end"/>
            </w:r>
          </w:hyperlink>
        </w:p>
        <w:p w14:paraId="65DABB0D" w14:textId="5ED090B0" w:rsidR="00D6220E" w:rsidRDefault="00D6220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071889" w:history="1">
            <w:r w:rsidRPr="002A18C7">
              <w:rPr>
                <w:rStyle w:val="Hyperlink"/>
                <w:noProof/>
              </w:rPr>
              <w:t>11. Deployment &amp; Infrastructure</w:t>
            </w:r>
            <w:r>
              <w:rPr>
                <w:noProof/>
              </w:rPr>
              <w:tab/>
            </w:r>
            <w:r>
              <w:rPr>
                <w:noProof/>
              </w:rPr>
              <w:fldChar w:fldCharType="begin"/>
            </w:r>
            <w:r>
              <w:rPr>
                <w:noProof/>
              </w:rPr>
              <w:instrText xml:space="preserve"> PAGEREF _Toc241071889 \h </w:instrText>
            </w:r>
            <w:r>
              <w:rPr>
                <w:noProof/>
              </w:rPr>
            </w:r>
            <w:r>
              <w:rPr>
                <w:noProof/>
              </w:rPr>
              <w:fldChar w:fldCharType="separate"/>
            </w:r>
            <w:r>
              <w:rPr>
                <w:noProof/>
              </w:rPr>
              <w:t>8</w:t>
            </w:r>
            <w:r>
              <w:rPr>
                <w:noProof/>
              </w:rPr>
              <w:fldChar w:fldCharType="end"/>
            </w:r>
          </w:hyperlink>
        </w:p>
        <w:p w14:paraId="1346DEC8" w14:textId="2A330376" w:rsidR="00D6220E" w:rsidRDefault="00D6220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071890" w:history="1">
            <w:r w:rsidRPr="002A18C7">
              <w:rPr>
                <w:rStyle w:val="Hyperlink"/>
                <w:noProof/>
              </w:rPr>
              <w:t>12. Testing Strategy</w:t>
            </w:r>
            <w:r>
              <w:rPr>
                <w:noProof/>
              </w:rPr>
              <w:tab/>
            </w:r>
            <w:r>
              <w:rPr>
                <w:noProof/>
              </w:rPr>
              <w:fldChar w:fldCharType="begin"/>
            </w:r>
            <w:r>
              <w:rPr>
                <w:noProof/>
              </w:rPr>
              <w:instrText xml:space="preserve"> PAGEREF _Toc241071890 \h </w:instrText>
            </w:r>
            <w:r>
              <w:rPr>
                <w:noProof/>
              </w:rPr>
            </w:r>
            <w:r>
              <w:rPr>
                <w:noProof/>
              </w:rPr>
              <w:fldChar w:fldCharType="separate"/>
            </w:r>
            <w:r>
              <w:rPr>
                <w:noProof/>
              </w:rPr>
              <w:t>8</w:t>
            </w:r>
            <w:r>
              <w:rPr>
                <w:noProof/>
              </w:rPr>
              <w:fldChar w:fldCharType="end"/>
            </w:r>
          </w:hyperlink>
        </w:p>
        <w:p w14:paraId="20DD5834" w14:textId="04C2564C" w:rsidR="00D6220E" w:rsidRDefault="00D6220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071891" w:history="1">
            <w:r w:rsidRPr="002A18C7">
              <w:rPr>
                <w:rStyle w:val="Hyperlink"/>
                <w:noProof/>
              </w:rPr>
              <w:t>13. Milestones &amp; Phased Delivery Plan</w:t>
            </w:r>
            <w:r>
              <w:rPr>
                <w:noProof/>
              </w:rPr>
              <w:tab/>
            </w:r>
            <w:r>
              <w:rPr>
                <w:noProof/>
              </w:rPr>
              <w:fldChar w:fldCharType="begin"/>
            </w:r>
            <w:r>
              <w:rPr>
                <w:noProof/>
              </w:rPr>
              <w:instrText xml:space="preserve"> PAGEREF _Toc241071891 \h </w:instrText>
            </w:r>
            <w:r>
              <w:rPr>
                <w:noProof/>
              </w:rPr>
            </w:r>
            <w:r>
              <w:rPr>
                <w:noProof/>
              </w:rPr>
              <w:fldChar w:fldCharType="separate"/>
            </w:r>
            <w:r>
              <w:rPr>
                <w:noProof/>
              </w:rPr>
              <w:t>8</w:t>
            </w:r>
            <w:r>
              <w:rPr>
                <w:noProof/>
              </w:rPr>
              <w:fldChar w:fldCharType="end"/>
            </w:r>
          </w:hyperlink>
        </w:p>
        <w:p w14:paraId="668D898C" w14:textId="65038487" w:rsidR="00D6220E" w:rsidRDefault="00D6220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071892" w:history="1">
            <w:r w:rsidRPr="002A18C7">
              <w:rPr>
                <w:rStyle w:val="Hyperlink"/>
                <w:noProof/>
              </w:rPr>
              <w:t>14. Risks &amp; Open Questions</w:t>
            </w:r>
            <w:r>
              <w:rPr>
                <w:noProof/>
              </w:rPr>
              <w:tab/>
            </w:r>
            <w:r>
              <w:rPr>
                <w:noProof/>
              </w:rPr>
              <w:fldChar w:fldCharType="begin"/>
            </w:r>
            <w:r>
              <w:rPr>
                <w:noProof/>
              </w:rPr>
              <w:instrText xml:space="preserve"> PAGEREF _Toc241071892 \h </w:instrText>
            </w:r>
            <w:r>
              <w:rPr>
                <w:noProof/>
              </w:rPr>
            </w:r>
            <w:r>
              <w:rPr>
                <w:noProof/>
              </w:rPr>
              <w:fldChar w:fldCharType="separate"/>
            </w:r>
            <w:r>
              <w:rPr>
                <w:noProof/>
              </w:rPr>
              <w:t>9</w:t>
            </w:r>
            <w:r>
              <w:rPr>
                <w:noProof/>
              </w:rPr>
              <w:fldChar w:fldCharType="end"/>
            </w:r>
          </w:hyperlink>
        </w:p>
        <w:p w14:paraId="5EE2A4B6" w14:textId="477398DB" w:rsidR="00D6220E" w:rsidRDefault="00D6220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071893" w:history="1">
            <w:r w:rsidRPr="002A18C7">
              <w:rPr>
                <w:rStyle w:val="Hyperlink"/>
                <w:noProof/>
              </w:rPr>
              <w:t>15. Java Implementation Design</w:t>
            </w:r>
            <w:r>
              <w:rPr>
                <w:noProof/>
              </w:rPr>
              <w:tab/>
            </w:r>
            <w:r>
              <w:rPr>
                <w:noProof/>
              </w:rPr>
              <w:fldChar w:fldCharType="begin"/>
            </w:r>
            <w:r>
              <w:rPr>
                <w:noProof/>
              </w:rPr>
              <w:instrText xml:space="preserve"> PAGEREF _Toc241071893 \h </w:instrText>
            </w:r>
            <w:r>
              <w:rPr>
                <w:noProof/>
              </w:rPr>
            </w:r>
            <w:r>
              <w:rPr>
                <w:noProof/>
              </w:rPr>
              <w:fldChar w:fldCharType="separate"/>
            </w:r>
            <w:r>
              <w:rPr>
                <w:noProof/>
              </w:rPr>
              <w:t>9</w:t>
            </w:r>
            <w:r>
              <w:rPr>
                <w:noProof/>
              </w:rPr>
              <w:fldChar w:fldCharType="end"/>
            </w:r>
          </w:hyperlink>
        </w:p>
        <w:p w14:paraId="37D5C6B0" w14:textId="1AD05493" w:rsidR="00D6220E" w:rsidRDefault="00D6220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071894" w:history="1">
            <w:r w:rsidRPr="002A18C7">
              <w:rPr>
                <w:rStyle w:val="Hyperlink"/>
                <w:noProof/>
              </w:rPr>
              <w:t>15.1 Why Java — requirement to feature</w:t>
            </w:r>
            <w:r>
              <w:rPr>
                <w:noProof/>
              </w:rPr>
              <w:tab/>
            </w:r>
            <w:r>
              <w:rPr>
                <w:noProof/>
              </w:rPr>
              <w:fldChar w:fldCharType="begin"/>
            </w:r>
            <w:r>
              <w:rPr>
                <w:noProof/>
              </w:rPr>
              <w:instrText xml:space="preserve"> PAGEREF _Toc241071894 \h </w:instrText>
            </w:r>
            <w:r>
              <w:rPr>
                <w:noProof/>
              </w:rPr>
            </w:r>
            <w:r>
              <w:rPr>
                <w:noProof/>
              </w:rPr>
              <w:fldChar w:fldCharType="separate"/>
            </w:r>
            <w:r>
              <w:rPr>
                <w:noProof/>
              </w:rPr>
              <w:t>9</w:t>
            </w:r>
            <w:r>
              <w:rPr>
                <w:noProof/>
              </w:rPr>
              <w:fldChar w:fldCharType="end"/>
            </w:r>
          </w:hyperlink>
        </w:p>
        <w:p w14:paraId="1F342F59" w14:textId="28037822" w:rsidR="00D6220E" w:rsidRDefault="00D6220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071895" w:history="1">
            <w:r w:rsidRPr="002A18C7">
              <w:rPr>
                <w:rStyle w:val="Hyperlink"/>
                <w:noProof/>
              </w:rPr>
              <w:t>15.2 Codebase structure</w:t>
            </w:r>
            <w:r>
              <w:rPr>
                <w:noProof/>
              </w:rPr>
              <w:tab/>
            </w:r>
            <w:r>
              <w:rPr>
                <w:noProof/>
              </w:rPr>
              <w:fldChar w:fldCharType="begin"/>
            </w:r>
            <w:r>
              <w:rPr>
                <w:noProof/>
              </w:rPr>
              <w:instrText xml:space="preserve"> PAGEREF _Toc241071895 \h </w:instrText>
            </w:r>
            <w:r>
              <w:rPr>
                <w:noProof/>
              </w:rPr>
            </w:r>
            <w:r>
              <w:rPr>
                <w:noProof/>
              </w:rPr>
              <w:fldChar w:fldCharType="separate"/>
            </w:r>
            <w:r>
              <w:rPr>
                <w:noProof/>
              </w:rPr>
              <w:t>9</w:t>
            </w:r>
            <w:r>
              <w:rPr>
                <w:noProof/>
              </w:rPr>
              <w:fldChar w:fldCharType="end"/>
            </w:r>
          </w:hyperlink>
        </w:p>
        <w:p w14:paraId="300921E7" w14:textId="1AD6A27F" w:rsidR="00D6220E" w:rsidRDefault="00D6220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071896" w:history="1">
            <w:r w:rsidRPr="002A18C7">
              <w:rPr>
                <w:rStyle w:val="Hyperlink"/>
                <w:noProof/>
              </w:rPr>
              <w:t>15.3 Implementation decisions</w:t>
            </w:r>
            <w:r>
              <w:rPr>
                <w:noProof/>
              </w:rPr>
              <w:tab/>
            </w:r>
            <w:r>
              <w:rPr>
                <w:noProof/>
              </w:rPr>
              <w:fldChar w:fldCharType="begin"/>
            </w:r>
            <w:r>
              <w:rPr>
                <w:noProof/>
              </w:rPr>
              <w:instrText xml:space="preserve"> PAGEREF _Toc241071896 \h </w:instrText>
            </w:r>
            <w:r>
              <w:rPr>
                <w:noProof/>
              </w:rPr>
            </w:r>
            <w:r>
              <w:rPr>
                <w:noProof/>
              </w:rPr>
              <w:fldChar w:fldCharType="separate"/>
            </w:r>
            <w:r>
              <w:rPr>
                <w:noProof/>
              </w:rPr>
              <w:t>10</w:t>
            </w:r>
            <w:r>
              <w:rPr>
                <w:noProof/>
              </w:rPr>
              <w:fldChar w:fldCharType="end"/>
            </w:r>
          </w:hyperlink>
        </w:p>
        <w:p w14:paraId="69667A13" w14:textId="122D7278" w:rsidR="00D6220E" w:rsidRDefault="00D6220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071897" w:history="1">
            <w:r w:rsidRPr="002A18C7">
              <w:rPr>
                <w:rStyle w:val="Hyperlink"/>
                <w:noProof/>
              </w:rPr>
              <w:t>15.4 Testing in Java</w:t>
            </w:r>
            <w:r>
              <w:rPr>
                <w:noProof/>
              </w:rPr>
              <w:tab/>
            </w:r>
            <w:r>
              <w:rPr>
                <w:noProof/>
              </w:rPr>
              <w:fldChar w:fldCharType="begin"/>
            </w:r>
            <w:r>
              <w:rPr>
                <w:noProof/>
              </w:rPr>
              <w:instrText xml:space="preserve"> PAGEREF _Toc241071897 \h </w:instrText>
            </w:r>
            <w:r>
              <w:rPr>
                <w:noProof/>
              </w:rPr>
            </w:r>
            <w:r>
              <w:rPr>
                <w:noProof/>
              </w:rPr>
              <w:fldChar w:fldCharType="separate"/>
            </w:r>
            <w:r>
              <w:rPr>
                <w:noProof/>
              </w:rPr>
              <w:t>10</w:t>
            </w:r>
            <w:r>
              <w:rPr>
                <w:noProof/>
              </w:rPr>
              <w:fldChar w:fldCharType="end"/>
            </w:r>
          </w:hyperlink>
        </w:p>
        <w:p w14:paraId="1B661EF8" w14:textId="63DF5B05" w:rsidR="00D6220E" w:rsidRDefault="00D6220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071898" w:history="1">
            <w:r w:rsidRPr="002A18C7">
              <w:rPr>
                <w:rStyle w:val="Hyperlink"/>
                <w:noProof/>
              </w:rPr>
              <w:t>16. Implementation Status &amp; Validation</w:t>
            </w:r>
            <w:r>
              <w:rPr>
                <w:noProof/>
              </w:rPr>
              <w:tab/>
            </w:r>
            <w:r>
              <w:rPr>
                <w:noProof/>
              </w:rPr>
              <w:fldChar w:fldCharType="begin"/>
            </w:r>
            <w:r>
              <w:rPr>
                <w:noProof/>
              </w:rPr>
              <w:instrText xml:space="preserve"> PAGEREF _Toc241071898 \h </w:instrText>
            </w:r>
            <w:r>
              <w:rPr>
                <w:noProof/>
              </w:rPr>
            </w:r>
            <w:r>
              <w:rPr>
                <w:noProof/>
              </w:rPr>
              <w:fldChar w:fldCharType="separate"/>
            </w:r>
            <w:r>
              <w:rPr>
                <w:noProof/>
              </w:rPr>
              <w:t>11</w:t>
            </w:r>
            <w:r>
              <w:rPr>
                <w:noProof/>
              </w:rPr>
              <w:fldChar w:fldCharType="end"/>
            </w:r>
          </w:hyperlink>
        </w:p>
        <w:p w14:paraId="37BED16F" w14:textId="2C2E661D" w:rsidR="00D6220E" w:rsidRDefault="00D6220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071899" w:history="1">
            <w:r w:rsidRPr="002A18C7">
              <w:rPr>
                <w:rStyle w:val="Hyperlink"/>
                <w:noProof/>
              </w:rPr>
              <w:t>16.1 Phase status</w:t>
            </w:r>
            <w:r>
              <w:rPr>
                <w:noProof/>
              </w:rPr>
              <w:tab/>
            </w:r>
            <w:r>
              <w:rPr>
                <w:noProof/>
              </w:rPr>
              <w:fldChar w:fldCharType="begin"/>
            </w:r>
            <w:r>
              <w:rPr>
                <w:noProof/>
              </w:rPr>
              <w:instrText xml:space="preserve"> PAGEREF _Toc241071899 \h </w:instrText>
            </w:r>
            <w:r>
              <w:rPr>
                <w:noProof/>
              </w:rPr>
            </w:r>
            <w:r>
              <w:rPr>
                <w:noProof/>
              </w:rPr>
              <w:fldChar w:fldCharType="separate"/>
            </w:r>
            <w:r>
              <w:rPr>
                <w:noProof/>
              </w:rPr>
              <w:t>11</w:t>
            </w:r>
            <w:r>
              <w:rPr>
                <w:noProof/>
              </w:rPr>
              <w:fldChar w:fldCharType="end"/>
            </w:r>
          </w:hyperlink>
        </w:p>
        <w:p w14:paraId="2E7551C9" w14:textId="0909B9FB" w:rsidR="00D6220E" w:rsidRDefault="00D6220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071900" w:history="1">
            <w:r w:rsidRPr="002A18C7">
              <w:rPr>
                <w:rStyle w:val="Hyperlink"/>
                <w:noProof/>
              </w:rPr>
              <w:t>16.2 Exit criteria and PDD test matrix — results</w:t>
            </w:r>
            <w:r>
              <w:rPr>
                <w:noProof/>
              </w:rPr>
              <w:tab/>
            </w:r>
            <w:r>
              <w:rPr>
                <w:noProof/>
              </w:rPr>
              <w:fldChar w:fldCharType="begin"/>
            </w:r>
            <w:r>
              <w:rPr>
                <w:noProof/>
              </w:rPr>
              <w:instrText xml:space="preserve"> PAGEREF _Toc241071900 \h </w:instrText>
            </w:r>
            <w:r>
              <w:rPr>
                <w:noProof/>
              </w:rPr>
            </w:r>
            <w:r>
              <w:rPr>
                <w:noProof/>
              </w:rPr>
              <w:fldChar w:fldCharType="separate"/>
            </w:r>
            <w:r>
              <w:rPr>
                <w:noProof/>
              </w:rPr>
              <w:t>11</w:t>
            </w:r>
            <w:r>
              <w:rPr>
                <w:noProof/>
              </w:rPr>
              <w:fldChar w:fldCharType="end"/>
            </w:r>
          </w:hyperlink>
        </w:p>
        <w:p w14:paraId="65CF6A47" w14:textId="446454F6" w:rsidR="00D6220E" w:rsidRDefault="00D6220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071901" w:history="1">
            <w:r w:rsidRPr="002A18C7">
              <w:rPr>
                <w:rStyle w:val="Hyperlink"/>
                <w:noProof/>
              </w:rPr>
              <w:t>17. Appendix</w:t>
            </w:r>
            <w:r>
              <w:rPr>
                <w:noProof/>
              </w:rPr>
              <w:tab/>
            </w:r>
            <w:r>
              <w:rPr>
                <w:noProof/>
              </w:rPr>
              <w:fldChar w:fldCharType="begin"/>
            </w:r>
            <w:r>
              <w:rPr>
                <w:noProof/>
              </w:rPr>
              <w:instrText xml:space="preserve"> PAGEREF _Toc241071901 \h </w:instrText>
            </w:r>
            <w:r>
              <w:rPr>
                <w:noProof/>
              </w:rPr>
            </w:r>
            <w:r>
              <w:rPr>
                <w:noProof/>
              </w:rPr>
              <w:fldChar w:fldCharType="separate"/>
            </w:r>
            <w:r>
              <w:rPr>
                <w:noProof/>
              </w:rPr>
              <w:t>12</w:t>
            </w:r>
            <w:r>
              <w:rPr>
                <w:noProof/>
              </w:rPr>
              <w:fldChar w:fldCharType="end"/>
            </w:r>
          </w:hyperlink>
        </w:p>
        <w:p w14:paraId="612D12F6" w14:textId="4B2713CF" w:rsidR="00D6220E" w:rsidRDefault="00D6220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071902" w:history="1">
            <w:r w:rsidRPr="002A18C7">
              <w:rPr>
                <w:rStyle w:val="Hyperlink"/>
                <w:noProof/>
              </w:rPr>
              <w:t>17.1 Glossary</w:t>
            </w:r>
            <w:r>
              <w:rPr>
                <w:noProof/>
              </w:rPr>
              <w:tab/>
            </w:r>
            <w:r>
              <w:rPr>
                <w:noProof/>
              </w:rPr>
              <w:fldChar w:fldCharType="begin"/>
            </w:r>
            <w:r>
              <w:rPr>
                <w:noProof/>
              </w:rPr>
              <w:instrText xml:space="preserve"> PAGEREF _Toc241071902 \h </w:instrText>
            </w:r>
            <w:r>
              <w:rPr>
                <w:noProof/>
              </w:rPr>
            </w:r>
            <w:r>
              <w:rPr>
                <w:noProof/>
              </w:rPr>
              <w:fldChar w:fldCharType="separate"/>
            </w:r>
            <w:r>
              <w:rPr>
                <w:noProof/>
              </w:rPr>
              <w:t>12</w:t>
            </w:r>
            <w:r>
              <w:rPr>
                <w:noProof/>
              </w:rPr>
              <w:fldChar w:fldCharType="end"/>
            </w:r>
          </w:hyperlink>
        </w:p>
        <w:p w14:paraId="193D5A29" w14:textId="0590B684" w:rsidR="00D6220E" w:rsidRDefault="00D6220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071903" w:history="1">
            <w:r w:rsidRPr="002A18C7">
              <w:rPr>
                <w:rStyle w:val="Hyperlink"/>
                <w:noProof/>
              </w:rPr>
              <w:t>17.2 Revision history</w:t>
            </w:r>
            <w:r>
              <w:rPr>
                <w:noProof/>
              </w:rPr>
              <w:tab/>
            </w:r>
            <w:r>
              <w:rPr>
                <w:noProof/>
              </w:rPr>
              <w:fldChar w:fldCharType="begin"/>
            </w:r>
            <w:r>
              <w:rPr>
                <w:noProof/>
              </w:rPr>
              <w:instrText xml:space="preserve"> PAGEREF _Toc241071903 \h </w:instrText>
            </w:r>
            <w:r>
              <w:rPr>
                <w:noProof/>
              </w:rPr>
            </w:r>
            <w:r>
              <w:rPr>
                <w:noProof/>
              </w:rPr>
              <w:fldChar w:fldCharType="separate"/>
            </w:r>
            <w:r>
              <w:rPr>
                <w:noProof/>
              </w:rPr>
              <w:t>12</w:t>
            </w:r>
            <w:r>
              <w:rPr>
                <w:noProof/>
              </w:rPr>
              <w:fldChar w:fldCharType="end"/>
            </w:r>
          </w:hyperlink>
        </w:p>
        <w:p w14:paraId="42F56B27" w14:textId="61B894DC" w:rsidR="00B260E9" w:rsidRDefault="005042F6">
          <w:r>
            <w:fldChar w:fldCharType="end"/>
          </w:r>
        </w:p>
      </w:sdtContent>
    </w:sdt>
    <w:p w14:paraId="5C1C9906" w14:textId="77777777" w:rsidR="00B260E9" w:rsidRDefault="005042F6">
      <w:r>
        <w:br w:type="page"/>
      </w:r>
    </w:p>
    <w:p w14:paraId="50275D8F" w14:textId="77777777" w:rsidR="00B260E9" w:rsidRDefault="005042F6">
      <w:pPr>
        <w:pStyle w:val="Heading1"/>
        <w:spacing w:before="360" w:after="160"/>
      </w:pPr>
      <w:bookmarkStart w:id="0" w:name="_Toc241071875"/>
      <w:r>
        <w:t>1. Introduction &amp; Goals</w:t>
      </w:r>
      <w:bookmarkEnd w:id="0"/>
    </w:p>
    <w:p w14:paraId="113D23C0" w14:textId="77777777" w:rsidR="00B260E9" w:rsidRDefault="005042F6">
      <w:pPr>
        <w:spacing w:after="160"/>
      </w:pPr>
      <w:r>
        <w:t>This document is the master design reference for Meterly, a multi-tenant SaaS billing and usage-metering platform. It expands the design that the POC validated (single-tenant metering, RLS isolation, live dashboard, one tiered invoice) into the full system: multi-tenant onboarding, a proper service boundary, a complete billing engine, and production-shaped non-functional requirements.</w:t>
      </w:r>
    </w:p>
    <w:p w14:paraId="71912655" w14:textId="77777777" w:rsidR="00B260E9" w:rsidRDefault="005042F6">
      <w:pPr>
        <w:spacing w:after="160"/>
      </w:pPr>
      <w:r>
        <w:t>Design principles that hold across every section below:</w:t>
      </w:r>
    </w:p>
    <w:p w14:paraId="687883D0" w14:textId="77777777" w:rsidR="00B260E9" w:rsidRDefault="005042F6">
      <w:pPr>
        <w:pStyle w:val="ListParagraph"/>
        <w:numPr>
          <w:ilvl w:val="0"/>
          <w:numId w:val="2"/>
        </w:numPr>
        <w:spacing w:after="80"/>
      </w:pPr>
      <w:r>
        <w:t>Money math is never approximate. All monetary values use BigDecimal with an explicit rounding rule; there is no float or double anywhere in the billing domain.</w:t>
      </w:r>
    </w:p>
    <w:p w14:paraId="7265A2FE" w14:textId="77777777" w:rsidR="00B260E9" w:rsidRDefault="005042F6">
      <w:pPr>
        <w:pStyle w:val="ListParagraph"/>
        <w:numPr>
          <w:ilvl w:val="0"/>
          <w:numId w:val="2"/>
        </w:numPr>
        <w:spacing w:after="80"/>
      </w:pPr>
      <w:r>
        <w:t>Tenant isolation is enforced at the database layer (PostgreSQL RLS), not only in application code, so a single missed WHERE clause cannot leak data across tenants.</w:t>
      </w:r>
    </w:p>
    <w:p w14:paraId="402AE1B6" w14:textId="77777777" w:rsidR="00B260E9" w:rsidRDefault="005042F6">
      <w:pPr>
        <w:pStyle w:val="ListParagraph"/>
        <w:numPr>
          <w:ilvl w:val="0"/>
          <w:numId w:val="2"/>
        </w:numPr>
        <w:spacing w:after="80"/>
      </w:pPr>
      <w:r>
        <w:t>Every event-driven write is idempotent. At-least-once delivery from Kafka is assumed everywhere; consumers are written to be safe under redelivery.</w:t>
      </w:r>
    </w:p>
    <w:p w14:paraId="4821CB46" w14:textId="77777777" w:rsidR="00B260E9" w:rsidRDefault="005042F6">
      <w:pPr>
        <w:pStyle w:val="ListParagraph"/>
        <w:numPr>
          <w:ilvl w:val="0"/>
          <w:numId w:val="2"/>
        </w:numPr>
        <w:spacing w:after="80"/>
      </w:pPr>
      <w:r>
        <w:t>Scope is deliberately bounded. Multi-currency, tax, dunning, and mid-period proration are named and deferred rather than silently ignored (Section 14).</w:t>
      </w:r>
    </w:p>
    <w:p w14:paraId="53801332" w14:textId="77777777" w:rsidR="00B260E9" w:rsidRDefault="005042F6">
      <w:pPr>
        <w:pStyle w:val="ListParagraph"/>
        <w:numPr>
          <w:ilvl w:val="0"/>
          <w:numId w:val="2"/>
        </w:numPr>
        <w:spacing w:after="80"/>
      </w:pPr>
      <w:r>
        <w:rPr>
          <w:b/>
          <w:bCs/>
        </w:rPr>
        <w:t xml:space="preserve">Java is a deliberate choice, not a default. </w:t>
      </w:r>
      <w:r>
        <w:t>Each hard requirement maps to a specific Java 21 capability — BigDecimal for exact money, records and sealed types for immutable, exhaustively-handled messages, virtual threads for I/O-bound services, and JDBC transaction hooks for RLS tenant binding (Section 15).</w:t>
      </w:r>
    </w:p>
    <w:p w14:paraId="736D4C0A" w14:textId="77777777" w:rsidR="00B260E9" w:rsidRDefault="005042F6">
      <w:pPr>
        <w:pStyle w:val="Heading1"/>
        <w:spacing w:before="360" w:after="160"/>
      </w:pPr>
      <w:bookmarkStart w:id="1" w:name="_Toc241071876"/>
      <w:r>
        <w:t>2. System Architecture Overview</w:t>
      </w:r>
      <w:bookmarkEnd w:id="1"/>
    </w:p>
    <w:p w14:paraId="430B0488" w14:textId="77777777" w:rsidR="00B260E9" w:rsidRDefault="005042F6">
      <w:pPr>
        <w:spacing w:after="160"/>
      </w:pPr>
      <w:r>
        <w:t>The system is split into four backend services plus the Angular SPA. The split follows ownership of data and failure domains, not just code organization: tenant/plan data, usage ingestion, billing computation, and notification each fail and scale independently.</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5200"/>
        <w:gridCol w:w="2600"/>
      </w:tblGrid>
      <w:tr w:rsidR="00B260E9" w14:paraId="3CF37EA7" w14:textId="77777777">
        <w:tblPrEx>
          <w:tblCellMar>
            <w:top w:w="0" w:type="dxa"/>
            <w:bottom w:w="0" w:type="dxa"/>
          </w:tblCellMar>
        </w:tblPrEx>
        <w:trPr>
          <w:tblHeader/>
        </w:trPr>
        <w:tc>
          <w:tcPr>
            <w:tcW w:w="2600" w:type="dxa"/>
            <w:shd w:val="clear" w:color="auto" w:fill="1F3B57"/>
            <w:tcMar>
              <w:top w:w="80" w:type="dxa"/>
              <w:left w:w="120" w:type="dxa"/>
              <w:bottom w:w="80" w:type="dxa"/>
              <w:right w:w="120" w:type="dxa"/>
            </w:tcMar>
          </w:tcPr>
          <w:p w14:paraId="18B9BAA3" w14:textId="77777777" w:rsidR="00B260E9" w:rsidRDefault="005042F6">
            <w:r>
              <w:rPr>
                <w:b/>
                <w:bCs/>
                <w:color w:val="FFFFFF"/>
                <w:sz w:val="19"/>
                <w:szCs w:val="19"/>
              </w:rPr>
              <w:t>Service</w:t>
            </w:r>
          </w:p>
        </w:tc>
        <w:tc>
          <w:tcPr>
            <w:tcW w:w="5200" w:type="dxa"/>
            <w:shd w:val="clear" w:color="auto" w:fill="1F3B57"/>
            <w:tcMar>
              <w:top w:w="80" w:type="dxa"/>
              <w:left w:w="120" w:type="dxa"/>
              <w:bottom w:w="80" w:type="dxa"/>
              <w:right w:w="120" w:type="dxa"/>
            </w:tcMar>
          </w:tcPr>
          <w:p w14:paraId="2839C1E7" w14:textId="77777777" w:rsidR="00B260E9" w:rsidRDefault="005042F6">
            <w:r>
              <w:rPr>
                <w:b/>
                <w:bCs/>
                <w:color w:val="FFFFFF"/>
                <w:sz w:val="19"/>
                <w:szCs w:val="19"/>
              </w:rPr>
              <w:t>Responsibility</w:t>
            </w:r>
          </w:p>
        </w:tc>
        <w:tc>
          <w:tcPr>
            <w:tcW w:w="2600" w:type="dxa"/>
            <w:shd w:val="clear" w:color="auto" w:fill="1F3B57"/>
            <w:tcMar>
              <w:top w:w="80" w:type="dxa"/>
              <w:left w:w="120" w:type="dxa"/>
              <w:bottom w:w="80" w:type="dxa"/>
              <w:right w:w="120" w:type="dxa"/>
            </w:tcMar>
          </w:tcPr>
          <w:p w14:paraId="4AD087B8" w14:textId="77777777" w:rsidR="00B260E9" w:rsidRDefault="005042F6">
            <w:r>
              <w:rPr>
                <w:b/>
                <w:bCs/>
                <w:color w:val="FFFFFF"/>
                <w:sz w:val="19"/>
                <w:szCs w:val="19"/>
              </w:rPr>
              <w:t>Key technology</w:t>
            </w:r>
          </w:p>
        </w:tc>
      </w:tr>
      <w:tr w:rsidR="00B260E9" w14:paraId="760EAAE2" w14:textId="77777777">
        <w:tblPrEx>
          <w:tblCellMar>
            <w:top w:w="0" w:type="dxa"/>
            <w:bottom w:w="0" w:type="dxa"/>
          </w:tblCellMar>
        </w:tblPrEx>
        <w:tc>
          <w:tcPr>
            <w:tcW w:w="2600" w:type="dxa"/>
            <w:tcMar>
              <w:top w:w="80" w:type="dxa"/>
              <w:left w:w="120" w:type="dxa"/>
              <w:bottom w:w="80" w:type="dxa"/>
              <w:right w:w="120" w:type="dxa"/>
            </w:tcMar>
          </w:tcPr>
          <w:p w14:paraId="644E9A38" w14:textId="77777777" w:rsidR="00B260E9" w:rsidRDefault="005042F6">
            <w:r>
              <w:rPr>
                <w:sz w:val="19"/>
                <w:szCs w:val="19"/>
              </w:rPr>
              <w:t>tenant-service</w:t>
            </w:r>
          </w:p>
        </w:tc>
        <w:tc>
          <w:tcPr>
            <w:tcW w:w="5200" w:type="dxa"/>
            <w:tcMar>
              <w:top w:w="80" w:type="dxa"/>
              <w:left w:w="120" w:type="dxa"/>
              <w:bottom w:w="80" w:type="dxa"/>
              <w:right w:w="120" w:type="dxa"/>
            </w:tcMar>
          </w:tcPr>
          <w:p w14:paraId="367F301C" w14:textId="77777777" w:rsidR="00B260E9" w:rsidRDefault="005042F6">
            <w:r>
              <w:rPr>
                <w:sz w:val="19"/>
                <w:szCs w:val="19"/>
              </w:rPr>
              <w:t>Tenant CRUD, user accounts, plan assignment, API key issuance</w:t>
            </w:r>
          </w:p>
        </w:tc>
        <w:tc>
          <w:tcPr>
            <w:tcW w:w="2600" w:type="dxa"/>
            <w:tcMar>
              <w:top w:w="80" w:type="dxa"/>
              <w:left w:w="120" w:type="dxa"/>
              <w:bottom w:w="80" w:type="dxa"/>
              <w:right w:w="120" w:type="dxa"/>
            </w:tcMar>
          </w:tcPr>
          <w:p w14:paraId="48656CE0" w14:textId="77777777" w:rsidR="00B260E9" w:rsidRDefault="005042F6">
            <w:r>
              <w:rPr>
                <w:sz w:val="19"/>
                <w:szCs w:val="19"/>
              </w:rPr>
              <w:t>Spring Boot, PostgreSQL</w:t>
            </w:r>
          </w:p>
        </w:tc>
      </w:tr>
      <w:tr w:rsidR="00B260E9" w14:paraId="45019692" w14:textId="77777777">
        <w:tblPrEx>
          <w:tblCellMar>
            <w:top w:w="0" w:type="dxa"/>
            <w:bottom w:w="0" w:type="dxa"/>
          </w:tblCellMar>
        </w:tblPrEx>
        <w:tc>
          <w:tcPr>
            <w:tcW w:w="2600" w:type="dxa"/>
            <w:tcMar>
              <w:top w:w="80" w:type="dxa"/>
              <w:left w:w="120" w:type="dxa"/>
              <w:bottom w:w="80" w:type="dxa"/>
              <w:right w:w="120" w:type="dxa"/>
            </w:tcMar>
          </w:tcPr>
          <w:p w14:paraId="2BBE9451" w14:textId="77777777" w:rsidR="00B260E9" w:rsidRDefault="005042F6">
            <w:r>
              <w:rPr>
                <w:sz w:val="19"/>
                <w:szCs w:val="19"/>
              </w:rPr>
              <w:t>ingestion-service</w:t>
            </w:r>
          </w:p>
        </w:tc>
        <w:tc>
          <w:tcPr>
            <w:tcW w:w="5200" w:type="dxa"/>
            <w:tcMar>
              <w:top w:w="80" w:type="dxa"/>
              <w:left w:w="120" w:type="dxa"/>
              <w:bottom w:w="80" w:type="dxa"/>
              <w:right w:w="120" w:type="dxa"/>
            </w:tcMar>
          </w:tcPr>
          <w:p w14:paraId="494CB6C6" w14:textId="77777777" w:rsidR="00B260E9" w:rsidRDefault="005042F6">
            <w:r>
              <w:rPr>
                <w:sz w:val="19"/>
                <w:szCs w:val="19"/>
              </w:rPr>
              <w:t>Accepts usage events, validates idempotency keys, publishes to Kafka</w:t>
            </w:r>
          </w:p>
        </w:tc>
        <w:tc>
          <w:tcPr>
            <w:tcW w:w="2600" w:type="dxa"/>
            <w:tcMar>
              <w:top w:w="80" w:type="dxa"/>
              <w:left w:w="120" w:type="dxa"/>
              <w:bottom w:w="80" w:type="dxa"/>
              <w:right w:w="120" w:type="dxa"/>
            </w:tcMar>
          </w:tcPr>
          <w:p w14:paraId="1F0CB17C" w14:textId="77777777" w:rsidR="00B260E9" w:rsidRDefault="005042F6">
            <w:r>
              <w:rPr>
                <w:sz w:val="19"/>
                <w:szCs w:val="19"/>
              </w:rPr>
              <w:t>Spring Boot, Kafka producer</w:t>
            </w:r>
          </w:p>
        </w:tc>
      </w:tr>
      <w:tr w:rsidR="00B260E9" w14:paraId="7A541242" w14:textId="77777777">
        <w:tblPrEx>
          <w:tblCellMar>
            <w:top w:w="0" w:type="dxa"/>
            <w:bottom w:w="0" w:type="dxa"/>
          </w:tblCellMar>
        </w:tblPrEx>
        <w:tc>
          <w:tcPr>
            <w:tcW w:w="2600" w:type="dxa"/>
            <w:tcMar>
              <w:top w:w="80" w:type="dxa"/>
              <w:left w:w="120" w:type="dxa"/>
              <w:bottom w:w="80" w:type="dxa"/>
              <w:right w:w="120" w:type="dxa"/>
            </w:tcMar>
          </w:tcPr>
          <w:p w14:paraId="68FA458A" w14:textId="77777777" w:rsidR="00B260E9" w:rsidRDefault="005042F6">
            <w:r>
              <w:rPr>
                <w:sz w:val="19"/>
                <w:szCs w:val="19"/>
              </w:rPr>
              <w:t>metering-service</w:t>
            </w:r>
          </w:p>
        </w:tc>
        <w:tc>
          <w:tcPr>
            <w:tcW w:w="5200" w:type="dxa"/>
            <w:tcMar>
              <w:top w:w="80" w:type="dxa"/>
              <w:left w:w="120" w:type="dxa"/>
              <w:bottom w:w="80" w:type="dxa"/>
              <w:right w:w="120" w:type="dxa"/>
            </w:tcMar>
          </w:tcPr>
          <w:p w14:paraId="644AAB8D" w14:textId="77777777" w:rsidR="00B260E9" w:rsidRDefault="005042F6">
            <w:r>
              <w:rPr>
                <w:sz w:val="19"/>
                <w:szCs w:val="19"/>
              </w:rPr>
              <w:t>Consumes usage events idempotently, maintains Redis counters, pushes live updates</w:t>
            </w:r>
          </w:p>
        </w:tc>
        <w:tc>
          <w:tcPr>
            <w:tcW w:w="2600" w:type="dxa"/>
            <w:tcMar>
              <w:top w:w="80" w:type="dxa"/>
              <w:left w:w="120" w:type="dxa"/>
              <w:bottom w:w="80" w:type="dxa"/>
              <w:right w:w="120" w:type="dxa"/>
            </w:tcMar>
          </w:tcPr>
          <w:p w14:paraId="1FA43A0F" w14:textId="77777777" w:rsidR="00B260E9" w:rsidRDefault="005042F6">
            <w:r>
              <w:rPr>
                <w:sz w:val="19"/>
                <w:szCs w:val="19"/>
              </w:rPr>
              <w:t>Spring Boot, Kafka consumer, Redis, STOMP</w:t>
            </w:r>
          </w:p>
        </w:tc>
      </w:tr>
      <w:tr w:rsidR="00B260E9" w14:paraId="34DD6EDE" w14:textId="77777777">
        <w:tblPrEx>
          <w:tblCellMar>
            <w:top w:w="0" w:type="dxa"/>
            <w:bottom w:w="0" w:type="dxa"/>
          </w:tblCellMar>
        </w:tblPrEx>
        <w:tc>
          <w:tcPr>
            <w:tcW w:w="2600" w:type="dxa"/>
            <w:tcMar>
              <w:top w:w="80" w:type="dxa"/>
              <w:left w:w="120" w:type="dxa"/>
              <w:bottom w:w="80" w:type="dxa"/>
              <w:right w:w="120" w:type="dxa"/>
            </w:tcMar>
          </w:tcPr>
          <w:p w14:paraId="064D72C1" w14:textId="77777777" w:rsidR="00B260E9" w:rsidRDefault="005042F6">
            <w:r>
              <w:rPr>
                <w:sz w:val="19"/>
                <w:szCs w:val="19"/>
              </w:rPr>
              <w:t>billing-service</w:t>
            </w:r>
          </w:p>
        </w:tc>
        <w:tc>
          <w:tcPr>
            <w:tcW w:w="5200" w:type="dxa"/>
            <w:tcMar>
              <w:top w:w="80" w:type="dxa"/>
              <w:left w:w="120" w:type="dxa"/>
              <w:bottom w:w="80" w:type="dxa"/>
              <w:right w:w="120" w:type="dxa"/>
            </w:tcMar>
          </w:tcPr>
          <w:p w14:paraId="6438047E" w14:textId="77777777" w:rsidR="00B260E9" w:rsidRDefault="005042F6">
            <w:r>
              <w:rPr>
                <w:sz w:val="19"/>
                <w:szCs w:val="19"/>
              </w:rPr>
              <w:t>Runs period-close billing jobs, computes tiered pricing, generates invoices</w:t>
            </w:r>
          </w:p>
        </w:tc>
        <w:tc>
          <w:tcPr>
            <w:tcW w:w="2600" w:type="dxa"/>
            <w:tcMar>
              <w:top w:w="80" w:type="dxa"/>
              <w:left w:w="120" w:type="dxa"/>
              <w:bottom w:w="80" w:type="dxa"/>
              <w:right w:w="120" w:type="dxa"/>
            </w:tcMar>
          </w:tcPr>
          <w:p w14:paraId="54114052" w14:textId="77777777" w:rsidR="00B260E9" w:rsidRDefault="005042F6">
            <w:r>
              <w:rPr>
                <w:sz w:val="19"/>
                <w:szCs w:val="19"/>
              </w:rPr>
              <w:t>Spring Boot, @Scheduled + ShedLock, PostgreSQL</w:t>
            </w:r>
          </w:p>
        </w:tc>
      </w:tr>
      <w:tr w:rsidR="00B260E9" w14:paraId="1B069D7E" w14:textId="77777777">
        <w:tblPrEx>
          <w:tblCellMar>
            <w:top w:w="0" w:type="dxa"/>
            <w:bottom w:w="0" w:type="dxa"/>
          </w:tblCellMar>
        </w:tblPrEx>
        <w:tc>
          <w:tcPr>
            <w:tcW w:w="2600" w:type="dxa"/>
            <w:tcMar>
              <w:top w:w="80" w:type="dxa"/>
              <w:left w:w="120" w:type="dxa"/>
              <w:bottom w:w="80" w:type="dxa"/>
              <w:right w:w="120" w:type="dxa"/>
            </w:tcMar>
          </w:tcPr>
          <w:p w14:paraId="2DF315C3" w14:textId="77777777" w:rsidR="00B260E9" w:rsidRDefault="005042F6">
            <w:r>
              <w:rPr>
                <w:sz w:val="19"/>
                <w:szCs w:val="19"/>
              </w:rPr>
              <w:t>notification-service</w:t>
            </w:r>
          </w:p>
        </w:tc>
        <w:tc>
          <w:tcPr>
            <w:tcW w:w="5200" w:type="dxa"/>
            <w:tcMar>
              <w:top w:w="80" w:type="dxa"/>
              <w:left w:w="120" w:type="dxa"/>
              <w:bottom w:w="80" w:type="dxa"/>
              <w:right w:w="120" w:type="dxa"/>
            </w:tcMar>
          </w:tcPr>
          <w:p w14:paraId="6196AEE2" w14:textId="77777777" w:rsidR="00B260E9" w:rsidRDefault="005042F6">
            <w:r>
              <w:rPr>
                <w:sz w:val="19"/>
                <w:szCs w:val="19"/>
              </w:rPr>
              <w:t>Sends invoice-ready and usage-threshold notifications</w:t>
            </w:r>
          </w:p>
        </w:tc>
        <w:tc>
          <w:tcPr>
            <w:tcW w:w="2600" w:type="dxa"/>
            <w:tcMar>
              <w:top w:w="80" w:type="dxa"/>
              <w:left w:w="120" w:type="dxa"/>
              <w:bottom w:w="80" w:type="dxa"/>
              <w:right w:w="120" w:type="dxa"/>
            </w:tcMar>
          </w:tcPr>
          <w:p w14:paraId="6CBFF428" w14:textId="77777777" w:rsidR="00B260E9" w:rsidRDefault="005042F6">
            <w:r>
              <w:rPr>
                <w:sz w:val="19"/>
                <w:szCs w:val="19"/>
              </w:rPr>
              <w:t>Spring Boot, Kafka consumer, stub/SMTP email provider</w:t>
            </w:r>
          </w:p>
        </w:tc>
      </w:tr>
      <w:tr w:rsidR="00B260E9" w14:paraId="650A3A8E" w14:textId="77777777">
        <w:tblPrEx>
          <w:tblCellMar>
            <w:top w:w="0" w:type="dxa"/>
            <w:bottom w:w="0" w:type="dxa"/>
          </w:tblCellMar>
        </w:tblPrEx>
        <w:tc>
          <w:tcPr>
            <w:tcW w:w="2600" w:type="dxa"/>
            <w:tcMar>
              <w:top w:w="80" w:type="dxa"/>
              <w:left w:w="120" w:type="dxa"/>
              <w:bottom w:w="80" w:type="dxa"/>
              <w:right w:w="120" w:type="dxa"/>
            </w:tcMar>
          </w:tcPr>
          <w:p w14:paraId="67D4A118" w14:textId="77777777" w:rsidR="00B260E9" w:rsidRDefault="005042F6">
            <w:r>
              <w:rPr>
                <w:sz w:val="19"/>
                <w:szCs w:val="19"/>
              </w:rPr>
              <w:t>meterly-web</w:t>
            </w:r>
          </w:p>
        </w:tc>
        <w:tc>
          <w:tcPr>
            <w:tcW w:w="5200" w:type="dxa"/>
            <w:tcMar>
              <w:top w:w="80" w:type="dxa"/>
              <w:left w:w="120" w:type="dxa"/>
              <w:bottom w:w="80" w:type="dxa"/>
              <w:right w:w="120" w:type="dxa"/>
            </w:tcMar>
          </w:tcPr>
          <w:p w14:paraId="63350A01" w14:textId="77777777" w:rsidR="00B260E9" w:rsidRDefault="005042F6">
            <w:r>
              <w:rPr>
                <w:sz w:val="19"/>
                <w:szCs w:val="19"/>
              </w:rPr>
              <w:t>Angular SPA: auth, dashboard, billing, admin views</w:t>
            </w:r>
          </w:p>
        </w:tc>
        <w:tc>
          <w:tcPr>
            <w:tcW w:w="2600" w:type="dxa"/>
            <w:tcMar>
              <w:top w:w="80" w:type="dxa"/>
              <w:left w:w="120" w:type="dxa"/>
              <w:bottom w:w="80" w:type="dxa"/>
              <w:right w:w="120" w:type="dxa"/>
            </w:tcMar>
          </w:tcPr>
          <w:p w14:paraId="04CDC4F9" w14:textId="77777777" w:rsidR="00B260E9" w:rsidRDefault="005042F6">
            <w:r>
              <w:rPr>
                <w:sz w:val="19"/>
                <w:szCs w:val="19"/>
              </w:rPr>
              <w:t>Angular 18, RxJS, Angular Material</w:t>
            </w:r>
          </w:p>
        </w:tc>
      </w:tr>
    </w:tbl>
    <w:p w14:paraId="547538F8" w14:textId="77777777" w:rsidR="00B260E9" w:rsidRDefault="005042F6">
      <w:pPr>
        <w:spacing w:after="160"/>
      </w:pPr>
      <w:r>
        <w:t xml:space="preserve">All backend services are </w:t>
      </w:r>
      <w:r>
        <w:rPr>
          <w:b/>
          <w:bCs/>
        </w:rPr>
        <w:t>Java 21 / Spring Boot 3.5</w:t>
      </w:r>
      <w:r>
        <w:t xml:space="preserve"> applications in one Maven multi-module build. They share </w:t>
      </w:r>
      <w:r>
        <w:rPr>
          <w:rFonts w:ascii="Consolas" w:hAnsi="Consolas" w:cs="Consolas"/>
          <w:sz w:val="19"/>
          <w:szCs w:val="19"/>
        </w:rPr>
        <w:t>meterly-common</w:t>
      </w:r>
      <w:r>
        <w:t xml:space="preserve"> (tenant context and RLS binding, security building blocks, RFC 7807 error model, event contracts) and </w:t>
      </w:r>
      <w:r>
        <w:rPr>
          <w:rFonts w:ascii="Consolas" w:hAnsi="Consolas" w:cs="Consolas"/>
          <w:sz w:val="19"/>
          <w:szCs w:val="19"/>
        </w:rPr>
        <w:t>meterly-db</w:t>
      </w:r>
      <w:r>
        <w:t xml:space="preserve"> (Flyway migrations, applied by a one-shot migrator before any service starts, so services never hold DDL privileges). notification-service, originally a stretch goal, is implemented.</w:t>
      </w:r>
    </w:p>
    <w:p w14:paraId="301764B3" w14:textId="77777777" w:rsidR="00B260E9" w:rsidRDefault="005042F6">
      <w:pPr>
        <w:spacing w:after="160"/>
      </w:pPr>
      <w:r>
        <w:t xml:space="preserve">End-to-end data flow: a tenant's client calls the ingestion endpoint with an idempotency key → ingestion-service publishes to the usage-events Kafka topic, partitioned by tenant_id → metering-service consumes, upserts into the append-only usage_event ledger (idempotency_key is unique per tenant), and increments a Redis counter for the open period → the counter update is pushed to subscribed dashboard clients over STOMP → at period close, billing-service reads the ledger (source of truth, never Redis) via a </w:t>
      </w:r>
      <w:r>
        <w:t>UsagePeriodAggregate, applies the tenant's PricingTier configuration, and writes an Invoice with InvoiceLineItems → meterly-web fetches tenant, dashboard, and invoice data over REST, augmented by the live WebSocket channel for usage counts.</w:t>
      </w:r>
    </w:p>
    <w:p w14:paraId="0C7F025E" w14:textId="77777777" w:rsidR="00B260E9" w:rsidRDefault="005042F6">
      <w:pPr>
        <w:pStyle w:val="Heading1"/>
        <w:spacing w:before="360" w:after="160"/>
      </w:pPr>
      <w:bookmarkStart w:id="2" w:name="_Toc241071877"/>
      <w:r>
        <w:t>3. Domain Model &amp; Data Design</w:t>
      </w:r>
      <w:bookmarkEnd w:id="2"/>
    </w:p>
    <w:p w14:paraId="7F8A93BB" w14:textId="77777777" w:rsidR="00B260E9" w:rsidRDefault="005042F6">
      <w:pPr>
        <w:spacing w:after="160"/>
      </w:pPr>
      <w:r>
        <w:t>Core entities, with the fields that matter for correctness (not an exhaustive column list):</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200"/>
        <w:gridCol w:w="3800"/>
      </w:tblGrid>
      <w:tr w:rsidR="00B260E9" w14:paraId="3EBA858D" w14:textId="77777777">
        <w:tblPrEx>
          <w:tblCellMar>
            <w:top w:w="0" w:type="dxa"/>
            <w:bottom w:w="0" w:type="dxa"/>
          </w:tblCellMar>
        </w:tblPrEx>
        <w:trPr>
          <w:tblHeader/>
        </w:trPr>
        <w:tc>
          <w:tcPr>
            <w:tcW w:w="2400" w:type="dxa"/>
            <w:shd w:val="clear" w:color="auto" w:fill="1F3B57"/>
            <w:tcMar>
              <w:top w:w="80" w:type="dxa"/>
              <w:left w:w="120" w:type="dxa"/>
              <w:bottom w:w="80" w:type="dxa"/>
              <w:right w:w="120" w:type="dxa"/>
            </w:tcMar>
          </w:tcPr>
          <w:p w14:paraId="025266FF" w14:textId="77777777" w:rsidR="00B260E9" w:rsidRDefault="005042F6">
            <w:r>
              <w:rPr>
                <w:b/>
                <w:bCs/>
                <w:color w:val="FFFFFF"/>
                <w:sz w:val="19"/>
                <w:szCs w:val="19"/>
              </w:rPr>
              <w:t>Entity</w:t>
            </w:r>
          </w:p>
        </w:tc>
        <w:tc>
          <w:tcPr>
            <w:tcW w:w="4200" w:type="dxa"/>
            <w:shd w:val="clear" w:color="auto" w:fill="1F3B57"/>
            <w:tcMar>
              <w:top w:w="80" w:type="dxa"/>
              <w:left w:w="120" w:type="dxa"/>
              <w:bottom w:w="80" w:type="dxa"/>
              <w:right w:w="120" w:type="dxa"/>
            </w:tcMar>
          </w:tcPr>
          <w:p w14:paraId="2E45F411" w14:textId="77777777" w:rsidR="00B260E9" w:rsidRDefault="005042F6">
            <w:r>
              <w:rPr>
                <w:b/>
                <w:bCs/>
                <w:color w:val="FFFFFF"/>
                <w:sz w:val="19"/>
                <w:szCs w:val="19"/>
              </w:rPr>
              <w:t>Key fields</w:t>
            </w:r>
          </w:p>
        </w:tc>
        <w:tc>
          <w:tcPr>
            <w:tcW w:w="3800" w:type="dxa"/>
            <w:shd w:val="clear" w:color="auto" w:fill="1F3B57"/>
            <w:tcMar>
              <w:top w:w="80" w:type="dxa"/>
              <w:left w:w="120" w:type="dxa"/>
              <w:bottom w:w="80" w:type="dxa"/>
              <w:right w:w="120" w:type="dxa"/>
            </w:tcMar>
          </w:tcPr>
          <w:p w14:paraId="4CB10931" w14:textId="77777777" w:rsidR="00B260E9" w:rsidRDefault="005042F6">
            <w:r>
              <w:rPr>
                <w:b/>
                <w:bCs/>
                <w:color w:val="FFFFFF"/>
                <w:sz w:val="19"/>
                <w:szCs w:val="19"/>
              </w:rPr>
              <w:t>Notes</w:t>
            </w:r>
          </w:p>
        </w:tc>
      </w:tr>
      <w:tr w:rsidR="00B260E9" w14:paraId="09D29106" w14:textId="77777777">
        <w:tblPrEx>
          <w:tblCellMar>
            <w:top w:w="0" w:type="dxa"/>
            <w:bottom w:w="0" w:type="dxa"/>
          </w:tblCellMar>
        </w:tblPrEx>
        <w:tc>
          <w:tcPr>
            <w:tcW w:w="2400" w:type="dxa"/>
            <w:tcMar>
              <w:top w:w="80" w:type="dxa"/>
              <w:left w:w="120" w:type="dxa"/>
              <w:bottom w:w="80" w:type="dxa"/>
              <w:right w:w="120" w:type="dxa"/>
            </w:tcMar>
          </w:tcPr>
          <w:p w14:paraId="14A24984" w14:textId="77777777" w:rsidR="00B260E9" w:rsidRDefault="005042F6">
            <w:r>
              <w:rPr>
                <w:sz w:val="19"/>
                <w:szCs w:val="19"/>
              </w:rPr>
              <w:t>Tenant</w:t>
            </w:r>
          </w:p>
        </w:tc>
        <w:tc>
          <w:tcPr>
            <w:tcW w:w="4200" w:type="dxa"/>
            <w:tcMar>
              <w:top w:w="80" w:type="dxa"/>
              <w:left w:w="120" w:type="dxa"/>
              <w:bottom w:w="80" w:type="dxa"/>
              <w:right w:w="120" w:type="dxa"/>
            </w:tcMar>
          </w:tcPr>
          <w:p w14:paraId="30EB17E2" w14:textId="77777777" w:rsidR="00B260E9" w:rsidRDefault="005042F6">
            <w:r>
              <w:rPr>
                <w:sz w:val="19"/>
                <w:szCs w:val="19"/>
              </w:rPr>
              <w:t>id, name, status, created_at</w:t>
            </w:r>
          </w:p>
        </w:tc>
        <w:tc>
          <w:tcPr>
            <w:tcW w:w="3800" w:type="dxa"/>
            <w:tcMar>
              <w:top w:w="80" w:type="dxa"/>
              <w:left w:w="120" w:type="dxa"/>
              <w:bottom w:w="80" w:type="dxa"/>
              <w:right w:w="120" w:type="dxa"/>
            </w:tcMar>
          </w:tcPr>
          <w:p w14:paraId="46000527" w14:textId="77777777" w:rsidR="00B260E9" w:rsidRDefault="005042F6">
            <w:r>
              <w:rPr>
                <w:sz w:val="19"/>
                <w:szCs w:val="19"/>
              </w:rPr>
              <w:t>Root of tenant isolation; every tenant-scoped table carries tenant_id</w:t>
            </w:r>
          </w:p>
        </w:tc>
      </w:tr>
      <w:tr w:rsidR="00B260E9" w14:paraId="40A46355" w14:textId="77777777">
        <w:tblPrEx>
          <w:tblCellMar>
            <w:top w:w="0" w:type="dxa"/>
            <w:bottom w:w="0" w:type="dxa"/>
          </w:tblCellMar>
        </w:tblPrEx>
        <w:tc>
          <w:tcPr>
            <w:tcW w:w="2400" w:type="dxa"/>
            <w:tcMar>
              <w:top w:w="80" w:type="dxa"/>
              <w:left w:w="120" w:type="dxa"/>
              <w:bottom w:w="80" w:type="dxa"/>
              <w:right w:w="120" w:type="dxa"/>
            </w:tcMar>
          </w:tcPr>
          <w:p w14:paraId="6E123D36" w14:textId="77777777" w:rsidR="00B260E9" w:rsidRDefault="005042F6">
            <w:r>
              <w:rPr>
                <w:sz w:val="19"/>
                <w:szCs w:val="19"/>
              </w:rPr>
              <w:t>AppUser</w:t>
            </w:r>
          </w:p>
        </w:tc>
        <w:tc>
          <w:tcPr>
            <w:tcW w:w="4200" w:type="dxa"/>
            <w:tcMar>
              <w:top w:w="80" w:type="dxa"/>
              <w:left w:w="120" w:type="dxa"/>
              <w:bottom w:w="80" w:type="dxa"/>
              <w:right w:w="120" w:type="dxa"/>
            </w:tcMar>
          </w:tcPr>
          <w:p w14:paraId="4CC33CFF" w14:textId="77777777" w:rsidR="00B260E9" w:rsidRDefault="005042F6">
            <w:r>
              <w:rPr>
                <w:sz w:val="19"/>
                <w:szCs w:val="19"/>
              </w:rPr>
              <w:t>id, tenant_id, email, role, password_hash</w:t>
            </w:r>
          </w:p>
        </w:tc>
        <w:tc>
          <w:tcPr>
            <w:tcW w:w="3800" w:type="dxa"/>
            <w:tcMar>
              <w:top w:w="80" w:type="dxa"/>
              <w:left w:w="120" w:type="dxa"/>
              <w:bottom w:w="80" w:type="dxa"/>
              <w:right w:w="120" w:type="dxa"/>
            </w:tcMar>
          </w:tcPr>
          <w:p w14:paraId="7907F08E" w14:textId="77777777" w:rsidR="00B260E9" w:rsidRDefault="005042F6">
            <w:r>
              <w:rPr>
                <w:sz w:val="19"/>
                <w:szCs w:val="19"/>
              </w:rPr>
              <w:t>role ∈ {TENANT_ADMIN, TENANT_USER}</w:t>
            </w:r>
          </w:p>
        </w:tc>
      </w:tr>
      <w:tr w:rsidR="00B260E9" w14:paraId="56251506" w14:textId="77777777">
        <w:tblPrEx>
          <w:tblCellMar>
            <w:top w:w="0" w:type="dxa"/>
            <w:bottom w:w="0" w:type="dxa"/>
          </w:tblCellMar>
        </w:tblPrEx>
        <w:tc>
          <w:tcPr>
            <w:tcW w:w="2400" w:type="dxa"/>
            <w:tcMar>
              <w:top w:w="80" w:type="dxa"/>
              <w:left w:w="120" w:type="dxa"/>
              <w:bottom w:w="80" w:type="dxa"/>
              <w:right w:w="120" w:type="dxa"/>
            </w:tcMar>
          </w:tcPr>
          <w:p w14:paraId="7D839582" w14:textId="77777777" w:rsidR="00B260E9" w:rsidRDefault="005042F6">
            <w:r>
              <w:rPr>
                <w:sz w:val="19"/>
                <w:szCs w:val="19"/>
              </w:rPr>
              <w:t>Plan</w:t>
            </w:r>
          </w:p>
        </w:tc>
        <w:tc>
          <w:tcPr>
            <w:tcW w:w="4200" w:type="dxa"/>
            <w:tcMar>
              <w:top w:w="80" w:type="dxa"/>
              <w:left w:w="120" w:type="dxa"/>
              <w:bottom w:w="80" w:type="dxa"/>
              <w:right w:w="120" w:type="dxa"/>
            </w:tcMar>
          </w:tcPr>
          <w:p w14:paraId="3C0B9011" w14:textId="77777777" w:rsidR="00B260E9" w:rsidRDefault="005042F6">
            <w:r>
              <w:rPr>
                <w:sz w:val="19"/>
                <w:szCs w:val="19"/>
              </w:rPr>
              <w:t>id, name, base_price, included_units</w:t>
            </w:r>
          </w:p>
        </w:tc>
        <w:tc>
          <w:tcPr>
            <w:tcW w:w="3800" w:type="dxa"/>
            <w:tcMar>
              <w:top w:w="80" w:type="dxa"/>
              <w:left w:w="120" w:type="dxa"/>
              <w:bottom w:w="80" w:type="dxa"/>
              <w:right w:w="120" w:type="dxa"/>
            </w:tcMar>
          </w:tcPr>
          <w:p w14:paraId="22A2AF20" w14:textId="77777777" w:rsidR="00B260E9" w:rsidRDefault="005042F6">
            <w:r>
              <w:rPr>
                <w:sz w:val="19"/>
                <w:szCs w:val="19"/>
              </w:rPr>
              <w:t>One plan can have many PricingTiers</w:t>
            </w:r>
          </w:p>
        </w:tc>
      </w:tr>
      <w:tr w:rsidR="00B260E9" w14:paraId="21A15B51" w14:textId="77777777">
        <w:tblPrEx>
          <w:tblCellMar>
            <w:top w:w="0" w:type="dxa"/>
            <w:bottom w:w="0" w:type="dxa"/>
          </w:tblCellMar>
        </w:tblPrEx>
        <w:tc>
          <w:tcPr>
            <w:tcW w:w="2400" w:type="dxa"/>
            <w:tcMar>
              <w:top w:w="80" w:type="dxa"/>
              <w:left w:w="120" w:type="dxa"/>
              <w:bottom w:w="80" w:type="dxa"/>
              <w:right w:w="120" w:type="dxa"/>
            </w:tcMar>
          </w:tcPr>
          <w:p w14:paraId="67A45C12" w14:textId="77777777" w:rsidR="00B260E9" w:rsidRDefault="005042F6">
            <w:r>
              <w:rPr>
                <w:sz w:val="19"/>
                <w:szCs w:val="19"/>
              </w:rPr>
              <w:t>PricingTier</w:t>
            </w:r>
          </w:p>
        </w:tc>
        <w:tc>
          <w:tcPr>
            <w:tcW w:w="4200" w:type="dxa"/>
            <w:tcMar>
              <w:top w:w="80" w:type="dxa"/>
              <w:left w:w="120" w:type="dxa"/>
              <w:bottom w:w="80" w:type="dxa"/>
              <w:right w:w="120" w:type="dxa"/>
            </w:tcMar>
          </w:tcPr>
          <w:p w14:paraId="276D1707" w14:textId="77777777" w:rsidR="00B260E9" w:rsidRDefault="005042F6">
            <w:r>
              <w:rPr>
                <w:sz w:val="19"/>
                <w:szCs w:val="19"/>
              </w:rPr>
              <w:t>id, plan_id, from_unit, to_unit, unit_price</w:t>
            </w:r>
          </w:p>
        </w:tc>
        <w:tc>
          <w:tcPr>
            <w:tcW w:w="3800" w:type="dxa"/>
            <w:tcMar>
              <w:top w:w="80" w:type="dxa"/>
              <w:left w:w="120" w:type="dxa"/>
              <w:bottom w:w="80" w:type="dxa"/>
              <w:right w:w="120" w:type="dxa"/>
            </w:tcMar>
          </w:tcPr>
          <w:p w14:paraId="1F191E05" w14:textId="77777777" w:rsidR="00B260E9" w:rsidRDefault="005042F6">
            <w:r>
              <w:rPr>
                <w:sz w:val="19"/>
                <w:szCs w:val="19"/>
              </w:rPr>
              <w:t>Marginal price for cumulative units in (from_unit, to_unit]; the first tier starts at included_units, the last is open-ended</w:t>
            </w:r>
          </w:p>
        </w:tc>
      </w:tr>
      <w:tr w:rsidR="00B260E9" w14:paraId="09D218E5" w14:textId="77777777">
        <w:tblPrEx>
          <w:tblCellMar>
            <w:top w:w="0" w:type="dxa"/>
            <w:bottom w:w="0" w:type="dxa"/>
          </w:tblCellMar>
        </w:tblPrEx>
        <w:tc>
          <w:tcPr>
            <w:tcW w:w="2400" w:type="dxa"/>
            <w:tcMar>
              <w:top w:w="80" w:type="dxa"/>
              <w:left w:w="120" w:type="dxa"/>
              <w:bottom w:w="80" w:type="dxa"/>
              <w:right w:w="120" w:type="dxa"/>
            </w:tcMar>
          </w:tcPr>
          <w:p w14:paraId="4639006D" w14:textId="77777777" w:rsidR="00B260E9" w:rsidRDefault="005042F6">
            <w:r>
              <w:rPr>
                <w:sz w:val="19"/>
                <w:szCs w:val="19"/>
              </w:rPr>
              <w:t>Subscription</w:t>
            </w:r>
          </w:p>
        </w:tc>
        <w:tc>
          <w:tcPr>
            <w:tcW w:w="4200" w:type="dxa"/>
            <w:tcMar>
              <w:top w:w="80" w:type="dxa"/>
              <w:left w:w="120" w:type="dxa"/>
              <w:bottom w:w="80" w:type="dxa"/>
              <w:right w:w="120" w:type="dxa"/>
            </w:tcMar>
          </w:tcPr>
          <w:p w14:paraId="13D232D0" w14:textId="77777777" w:rsidR="00B260E9" w:rsidRDefault="005042F6">
            <w:r>
              <w:rPr>
                <w:sz w:val="19"/>
                <w:szCs w:val="19"/>
              </w:rPr>
              <w:t>id, tenant_id, plan_id, start_date, end_date, status</w:t>
            </w:r>
          </w:p>
        </w:tc>
        <w:tc>
          <w:tcPr>
            <w:tcW w:w="3800" w:type="dxa"/>
            <w:tcMar>
              <w:top w:w="80" w:type="dxa"/>
              <w:left w:w="120" w:type="dxa"/>
              <w:bottom w:w="80" w:type="dxa"/>
              <w:right w:w="120" w:type="dxa"/>
            </w:tcMar>
          </w:tcPr>
          <w:p w14:paraId="01F4078B" w14:textId="77777777" w:rsidR="00B260E9" w:rsidRDefault="005042F6">
            <w:r>
              <w:rPr>
                <w:sz w:val="19"/>
                <w:szCs w:val="19"/>
              </w:rPr>
              <w:t>Links a tenant to the plan in effect for a period</w:t>
            </w:r>
          </w:p>
        </w:tc>
      </w:tr>
      <w:tr w:rsidR="00B260E9" w14:paraId="1A618C62" w14:textId="77777777">
        <w:tblPrEx>
          <w:tblCellMar>
            <w:top w:w="0" w:type="dxa"/>
            <w:bottom w:w="0" w:type="dxa"/>
          </w:tblCellMar>
        </w:tblPrEx>
        <w:tc>
          <w:tcPr>
            <w:tcW w:w="2400" w:type="dxa"/>
            <w:tcMar>
              <w:top w:w="80" w:type="dxa"/>
              <w:left w:w="120" w:type="dxa"/>
              <w:bottom w:w="80" w:type="dxa"/>
              <w:right w:w="120" w:type="dxa"/>
            </w:tcMar>
          </w:tcPr>
          <w:p w14:paraId="5C11C1EA" w14:textId="77777777" w:rsidR="00B260E9" w:rsidRDefault="005042F6">
            <w:r>
              <w:rPr>
                <w:sz w:val="19"/>
                <w:szCs w:val="19"/>
              </w:rPr>
              <w:t>MeteredResource</w:t>
            </w:r>
          </w:p>
        </w:tc>
        <w:tc>
          <w:tcPr>
            <w:tcW w:w="4200" w:type="dxa"/>
            <w:tcMar>
              <w:top w:w="80" w:type="dxa"/>
              <w:left w:w="120" w:type="dxa"/>
              <w:bottom w:w="80" w:type="dxa"/>
              <w:right w:w="120" w:type="dxa"/>
            </w:tcMar>
          </w:tcPr>
          <w:p w14:paraId="30490BBC" w14:textId="77777777" w:rsidR="00B260E9" w:rsidRDefault="005042F6">
            <w:r>
              <w:rPr>
                <w:sz w:val="19"/>
                <w:szCs w:val="19"/>
              </w:rPr>
              <w:t>id, tenant_id, name, unit_label</w:t>
            </w:r>
          </w:p>
        </w:tc>
        <w:tc>
          <w:tcPr>
            <w:tcW w:w="3800" w:type="dxa"/>
            <w:tcMar>
              <w:top w:w="80" w:type="dxa"/>
              <w:left w:w="120" w:type="dxa"/>
              <w:bottom w:w="80" w:type="dxa"/>
              <w:right w:w="120" w:type="dxa"/>
            </w:tcMar>
          </w:tcPr>
          <w:p w14:paraId="7D53FEC3" w14:textId="77777777" w:rsidR="00B260E9" w:rsidRDefault="005042F6">
            <w:r>
              <w:rPr>
                <w:sz w:val="19"/>
                <w:szCs w:val="19"/>
              </w:rPr>
              <w:t>e.g. “API calls”, unit_label “call”</w:t>
            </w:r>
          </w:p>
        </w:tc>
      </w:tr>
      <w:tr w:rsidR="00B260E9" w14:paraId="720C838F" w14:textId="77777777">
        <w:tblPrEx>
          <w:tblCellMar>
            <w:top w:w="0" w:type="dxa"/>
            <w:bottom w:w="0" w:type="dxa"/>
          </w:tblCellMar>
        </w:tblPrEx>
        <w:tc>
          <w:tcPr>
            <w:tcW w:w="2400" w:type="dxa"/>
            <w:tcMar>
              <w:top w:w="80" w:type="dxa"/>
              <w:left w:w="120" w:type="dxa"/>
              <w:bottom w:w="80" w:type="dxa"/>
              <w:right w:w="120" w:type="dxa"/>
            </w:tcMar>
          </w:tcPr>
          <w:p w14:paraId="2B5343B9" w14:textId="77777777" w:rsidR="00B260E9" w:rsidRDefault="005042F6">
            <w:r>
              <w:rPr>
                <w:sz w:val="19"/>
                <w:szCs w:val="19"/>
              </w:rPr>
              <w:t>UsageEvent</w:t>
            </w:r>
          </w:p>
        </w:tc>
        <w:tc>
          <w:tcPr>
            <w:tcW w:w="4200" w:type="dxa"/>
            <w:tcMar>
              <w:top w:w="80" w:type="dxa"/>
              <w:left w:w="120" w:type="dxa"/>
              <w:bottom w:w="80" w:type="dxa"/>
              <w:right w:w="120" w:type="dxa"/>
            </w:tcMar>
          </w:tcPr>
          <w:p w14:paraId="3459EBEC" w14:textId="77777777" w:rsidR="00B260E9" w:rsidRDefault="005042F6">
            <w:r>
              <w:rPr>
                <w:sz w:val="19"/>
                <w:szCs w:val="19"/>
              </w:rPr>
              <w:t>id, tenant_id, resource_id, idempotency_key (unique per tenant), quantity, occurred_at, received_at</w:t>
            </w:r>
          </w:p>
        </w:tc>
        <w:tc>
          <w:tcPr>
            <w:tcW w:w="3800" w:type="dxa"/>
            <w:tcMar>
              <w:top w:w="80" w:type="dxa"/>
              <w:left w:w="120" w:type="dxa"/>
              <w:bottom w:w="80" w:type="dxa"/>
              <w:right w:w="120" w:type="dxa"/>
            </w:tcMar>
          </w:tcPr>
          <w:p w14:paraId="78BC7CCC" w14:textId="77777777" w:rsidR="00B260E9" w:rsidRDefault="005042F6">
            <w:r>
              <w:rPr>
                <w:sz w:val="19"/>
                <w:szCs w:val="19"/>
              </w:rPr>
              <w:t>Append-only ledger; source of truth for billing</w:t>
            </w:r>
          </w:p>
        </w:tc>
      </w:tr>
      <w:tr w:rsidR="00B260E9" w14:paraId="78E67192" w14:textId="77777777">
        <w:tblPrEx>
          <w:tblCellMar>
            <w:top w:w="0" w:type="dxa"/>
            <w:bottom w:w="0" w:type="dxa"/>
          </w:tblCellMar>
        </w:tblPrEx>
        <w:tc>
          <w:tcPr>
            <w:tcW w:w="2400" w:type="dxa"/>
            <w:tcMar>
              <w:top w:w="80" w:type="dxa"/>
              <w:left w:w="120" w:type="dxa"/>
              <w:bottom w:w="80" w:type="dxa"/>
              <w:right w:w="120" w:type="dxa"/>
            </w:tcMar>
          </w:tcPr>
          <w:p w14:paraId="6520030D" w14:textId="77777777" w:rsidR="00B260E9" w:rsidRDefault="005042F6">
            <w:r>
              <w:rPr>
                <w:sz w:val="19"/>
                <w:szCs w:val="19"/>
              </w:rPr>
              <w:t>UsagePeriodAggregate</w:t>
            </w:r>
          </w:p>
        </w:tc>
        <w:tc>
          <w:tcPr>
            <w:tcW w:w="4200" w:type="dxa"/>
            <w:tcMar>
              <w:top w:w="80" w:type="dxa"/>
              <w:left w:w="120" w:type="dxa"/>
              <w:bottom w:w="80" w:type="dxa"/>
              <w:right w:w="120" w:type="dxa"/>
            </w:tcMar>
          </w:tcPr>
          <w:p w14:paraId="1821FE8A" w14:textId="77777777" w:rsidR="00B260E9" w:rsidRDefault="005042F6">
            <w:r>
              <w:rPr>
                <w:sz w:val="19"/>
                <w:szCs w:val="19"/>
              </w:rPr>
              <w:t>id, tenant_id, resource_id, period_start, period_end, total_units</w:t>
            </w:r>
          </w:p>
        </w:tc>
        <w:tc>
          <w:tcPr>
            <w:tcW w:w="3800" w:type="dxa"/>
            <w:tcMar>
              <w:top w:w="80" w:type="dxa"/>
              <w:left w:w="120" w:type="dxa"/>
              <w:bottom w:w="80" w:type="dxa"/>
              <w:right w:w="120" w:type="dxa"/>
            </w:tcMar>
          </w:tcPr>
          <w:p w14:paraId="6B2EAE6D" w14:textId="77777777" w:rsidR="00B260E9" w:rsidRDefault="005042F6">
            <w:r>
              <w:rPr>
                <w:sz w:val="19"/>
                <w:szCs w:val="19"/>
              </w:rPr>
              <w:t>Materialized at period close from UsageEvent rows</w:t>
            </w:r>
          </w:p>
        </w:tc>
      </w:tr>
      <w:tr w:rsidR="00B260E9" w14:paraId="10983303" w14:textId="77777777">
        <w:tblPrEx>
          <w:tblCellMar>
            <w:top w:w="0" w:type="dxa"/>
            <w:bottom w:w="0" w:type="dxa"/>
          </w:tblCellMar>
        </w:tblPrEx>
        <w:tc>
          <w:tcPr>
            <w:tcW w:w="2400" w:type="dxa"/>
            <w:tcMar>
              <w:top w:w="80" w:type="dxa"/>
              <w:left w:w="120" w:type="dxa"/>
              <w:bottom w:w="80" w:type="dxa"/>
              <w:right w:w="120" w:type="dxa"/>
            </w:tcMar>
          </w:tcPr>
          <w:p w14:paraId="3B9FF67C" w14:textId="77777777" w:rsidR="00B260E9" w:rsidRDefault="005042F6">
            <w:r>
              <w:rPr>
                <w:sz w:val="19"/>
                <w:szCs w:val="19"/>
              </w:rPr>
              <w:t>Invoice</w:t>
            </w:r>
          </w:p>
        </w:tc>
        <w:tc>
          <w:tcPr>
            <w:tcW w:w="4200" w:type="dxa"/>
            <w:tcMar>
              <w:top w:w="80" w:type="dxa"/>
              <w:left w:w="120" w:type="dxa"/>
              <w:bottom w:w="80" w:type="dxa"/>
              <w:right w:w="120" w:type="dxa"/>
            </w:tcMar>
          </w:tcPr>
          <w:p w14:paraId="02BFC40C" w14:textId="77777777" w:rsidR="00B260E9" w:rsidRDefault="005042F6">
            <w:r>
              <w:rPr>
                <w:sz w:val="19"/>
                <w:szCs w:val="19"/>
              </w:rPr>
              <w:t>id, tenant_id, period_start, period_end, status, total_amount</w:t>
            </w:r>
          </w:p>
        </w:tc>
        <w:tc>
          <w:tcPr>
            <w:tcW w:w="3800" w:type="dxa"/>
            <w:tcMar>
              <w:top w:w="80" w:type="dxa"/>
              <w:left w:w="120" w:type="dxa"/>
              <w:bottom w:w="80" w:type="dxa"/>
              <w:right w:w="120" w:type="dxa"/>
            </w:tcMar>
          </w:tcPr>
          <w:p w14:paraId="11D0C166" w14:textId="77777777" w:rsidR="00B260E9" w:rsidRDefault="005042F6">
            <w:r>
              <w:rPr>
                <w:sz w:val="19"/>
                <w:szCs w:val="19"/>
              </w:rPr>
              <w:t>Unique on (tenant_id, period_start) to keep billing idempotent</w:t>
            </w:r>
          </w:p>
        </w:tc>
      </w:tr>
      <w:tr w:rsidR="00B260E9" w14:paraId="55E91670" w14:textId="77777777">
        <w:tblPrEx>
          <w:tblCellMar>
            <w:top w:w="0" w:type="dxa"/>
            <w:bottom w:w="0" w:type="dxa"/>
          </w:tblCellMar>
        </w:tblPrEx>
        <w:tc>
          <w:tcPr>
            <w:tcW w:w="2400" w:type="dxa"/>
            <w:tcMar>
              <w:top w:w="80" w:type="dxa"/>
              <w:left w:w="120" w:type="dxa"/>
              <w:bottom w:w="80" w:type="dxa"/>
              <w:right w:w="120" w:type="dxa"/>
            </w:tcMar>
          </w:tcPr>
          <w:p w14:paraId="39E9B31C" w14:textId="77777777" w:rsidR="00B260E9" w:rsidRDefault="005042F6">
            <w:r>
              <w:rPr>
                <w:sz w:val="19"/>
                <w:szCs w:val="19"/>
              </w:rPr>
              <w:t>InvoiceLineItem</w:t>
            </w:r>
          </w:p>
        </w:tc>
        <w:tc>
          <w:tcPr>
            <w:tcW w:w="4200" w:type="dxa"/>
            <w:tcMar>
              <w:top w:w="80" w:type="dxa"/>
              <w:left w:w="120" w:type="dxa"/>
              <w:bottom w:w="80" w:type="dxa"/>
              <w:right w:w="120" w:type="dxa"/>
            </w:tcMar>
          </w:tcPr>
          <w:p w14:paraId="55891BC7" w14:textId="77777777" w:rsidR="00B260E9" w:rsidRDefault="005042F6">
            <w:r>
              <w:rPr>
                <w:sz w:val="19"/>
                <w:szCs w:val="19"/>
              </w:rPr>
              <w:t>id, invoice_id, description, quantity, unit_price, amount</w:t>
            </w:r>
          </w:p>
        </w:tc>
        <w:tc>
          <w:tcPr>
            <w:tcW w:w="3800" w:type="dxa"/>
            <w:tcMar>
              <w:top w:w="80" w:type="dxa"/>
              <w:left w:w="120" w:type="dxa"/>
              <w:bottom w:w="80" w:type="dxa"/>
              <w:right w:w="120" w:type="dxa"/>
            </w:tcMar>
          </w:tcPr>
          <w:p w14:paraId="07FB7CA2" w14:textId="77777777" w:rsidR="00B260E9" w:rsidRDefault="005042F6">
            <w:r>
              <w:rPr>
                <w:sz w:val="19"/>
                <w:szCs w:val="19"/>
              </w:rPr>
              <w:t>One row per pricing tier applied</w:t>
            </w:r>
          </w:p>
        </w:tc>
      </w:tr>
    </w:tbl>
    <w:p w14:paraId="6A0E9A61" w14:textId="77777777" w:rsidR="00B260E9" w:rsidRDefault="005042F6">
      <w:pPr>
        <w:spacing w:after="160"/>
      </w:pPr>
      <w:r>
        <w:t>Relationships: Tenant 1–N AppUser; Tenant 1–N Subscription; Plan 1–N PricingTier; Plan 1–N Subscription; Tenant 1–N MeteredResource; MeteredResource 1–N UsageEvent; Tenant/Resource/Period uniquely determine one UsagePeriodAggregate; Invoice 1–N InvoiceLineItem.</w:t>
      </w:r>
    </w:p>
    <w:p w14:paraId="4D457752" w14:textId="77777777" w:rsidR="00B260E9" w:rsidRDefault="005042F6">
      <w:pPr>
        <w:spacing w:after="160"/>
      </w:pPr>
      <w:r>
        <w:t xml:space="preserve">Supporting tables added during implementation: </w:t>
      </w:r>
      <w:r>
        <w:rPr>
          <w:rFonts w:ascii="Consolas" w:hAnsi="Consolas" w:cs="Consolas"/>
          <w:sz w:val="19"/>
          <w:szCs w:val="19"/>
        </w:rPr>
        <w:t>api_key</w:t>
      </w:r>
      <w:r>
        <w:t xml:space="preserve"> (SHA-256 hashed keys, shown once), </w:t>
      </w:r>
      <w:r>
        <w:rPr>
          <w:rFonts w:ascii="Consolas" w:hAnsi="Consolas" w:cs="Consolas"/>
          <w:sz w:val="19"/>
          <w:szCs w:val="19"/>
        </w:rPr>
        <w:t>refresh_token</w:t>
      </w:r>
      <w:r>
        <w:t xml:space="preserve"> (rotating, family-based reuse detection), </w:t>
      </w:r>
      <w:r>
        <w:rPr>
          <w:rFonts w:ascii="Consolas" w:hAnsi="Consolas" w:cs="Consolas"/>
          <w:sz w:val="19"/>
          <w:szCs w:val="19"/>
        </w:rPr>
        <w:t>notification</w:t>
      </w:r>
      <w:r>
        <w:t xml:space="preserve"> (idempotent delivery log), and two non-tenant system tables — </w:t>
      </w:r>
      <w:r>
        <w:rPr>
          <w:rFonts w:ascii="Consolas" w:hAnsi="Consolas" w:cs="Consolas"/>
          <w:sz w:val="19"/>
          <w:szCs w:val="19"/>
        </w:rPr>
        <w:t>outbox_event</w:t>
      </w:r>
      <w:r>
        <w:t xml:space="preserve"> (transactional outbox) and </w:t>
      </w:r>
      <w:r>
        <w:rPr>
          <w:rFonts w:ascii="Consolas" w:hAnsi="Consolas" w:cs="Consolas"/>
          <w:sz w:val="19"/>
          <w:szCs w:val="19"/>
        </w:rPr>
        <w:t>shedlock</w:t>
      </w:r>
      <w:r>
        <w:t xml:space="preserve"> (cluster-wide scheduler locks). Monetary columns are numeric(19,2), unit prices numeric(19,6).</w:t>
      </w:r>
    </w:p>
    <w:p w14:paraId="7CFF56D5" w14:textId="77777777" w:rsidR="00B260E9" w:rsidRDefault="005042F6">
      <w:pPr>
        <w:pStyle w:val="Heading1"/>
        <w:spacing w:before="360" w:after="160"/>
      </w:pPr>
      <w:bookmarkStart w:id="3" w:name="_Toc241071878"/>
      <w:r>
        <w:t>4. Multi-Tenancy Strategy</w:t>
      </w:r>
      <w:bookmarkEnd w:id="3"/>
    </w:p>
    <w:p w14:paraId="6AB3259C" w14:textId="77777777" w:rsidR="00B260E9" w:rsidRDefault="005042F6">
      <w:pPr>
        <w:spacing w:after="160"/>
      </w:pPr>
      <w:r>
        <w:t>Chosen approach: shared database, shared schema, isolation enforced by PostgreSQL Row-Level Security — not schema-per-tenant. This is the more common approach at real SaaS scale (schema-per-tenant does not scale operationally past a few hundred tenants) and it is the harder, more instructive thing to get right for a portfolio project.</w:t>
      </w:r>
    </w:p>
    <w:p w14:paraId="75B6B1CD" w14:textId="77777777" w:rsidR="00B260E9" w:rsidRDefault="005042F6">
      <w:pPr>
        <w:pStyle w:val="ListParagraph"/>
        <w:numPr>
          <w:ilvl w:val="0"/>
          <w:numId w:val="2"/>
        </w:numPr>
        <w:spacing w:after="80"/>
      </w:pPr>
      <w:r>
        <w:t>Every tenant-scoped table has a tenant_id column and an RLS policy: USING / WITH CHECK (tenant_id = NULLIF(current_setting('app.tenant_id', true), '')::uuid). An unset tenant matches zero rows and cannot insert (fail closed). Child tables reference parents through composite (tenant_id, id) foreign keys, because PostgreSQL's referential-integrity checks bypass RLS.</w:t>
      </w:r>
    </w:p>
    <w:p w14:paraId="7CD00765" w14:textId="77777777" w:rsidR="00B260E9" w:rsidRDefault="005042F6">
      <w:pPr>
        <w:pStyle w:val="ListParagraph"/>
        <w:numPr>
          <w:ilvl w:val="0"/>
          <w:numId w:val="2"/>
        </w:numPr>
        <w:spacing w:after="80"/>
      </w:pPr>
      <w:r>
        <w:t>A Spring @Around aspect wraps every request: it reads the tenant_id claim from the validated JWT and issues SET LOCAL app.tenant_id = '&lt;id&gt;' at the start of the database transaction, so the setting is transaction-scoped and cannot leak across pooled connections.</w:t>
      </w:r>
    </w:p>
    <w:p w14:paraId="53B8ACB2" w14:textId="77777777" w:rsidR="00B260E9" w:rsidRDefault="005042F6">
      <w:pPr>
        <w:pStyle w:val="ListParagraph"/>
        <w:numPr>
          <w:ilvl w:val="0"/>
          <w:numId w:val="2"/>
        </w:numPr>
        <w:spacing w:after="80"/>
      </w:pPr>
      <w:r>
        <w:rPr>
          <w:b/>
          <w:bCs/>
        </w:rPr>
        <w:t xml:space="preserve">Java realization: </w:t>
      </w:r>
      <w:r>
        <w:rPr>
          <w:rFonts w:ascii="Consolas" w:hAnsi="Consolas" w:cs="Consolas"/>
          <w:sz w:val="19"/>
          <w:szCs w:val="19"/>
        </w:rPr>
        <w:t>TenantContextAspect</w:t>
      </w:r>
      <w:r>
        <w:t xml:space="preserve"> (the @Around aspect) binds the JWT or API-key tenant to a scoped </w:t>
      </w:r>
      <w:r>
        <w:rPr>
          <w:rFonts w:ascii="Consolas" w:hAnsi="Consolas" w:cs="Consolas"/>
          <w:sz w:val="19"/>
          <w:szCs w:val="19"/>
        </w:rPr>
        <w:t>TenantContext</w:t>
      </w:r>
      <w:r>
        <w:t xml:space="preserve">; </w:t>
      </w:r>
      <w:r>
        <w:rPr>
          <w:rFonts w:ascii="Consolas" w:hAnsi="Consolas" w:cs="Consolas"/>
          <w:sz w:val="19"/>
          <w:szCs w:val="19"/>
        </w:rPr>
        <w:t>TenantAwareTransactionManager</w:t>
      </w:r>
      <w:r>
        <w:t xml:space="preserve"> — a DataSourceTransactionManager subclass — runs set_config('app.tenant_id', ?, true), the function form of SET LOCAL, immediately after BEGIN on the transaction's own pooled connection. Kafka consumers and schedulers bind explicitly, one tenant per transaction.</w:t>
      </w:r>
    </w:p>
    <w:p w14:paraId="6EC5FE01" w14:textId="77777777" w:rsidR="00B260E9" w:rsidRDefault="005042F6">
      <w:pPr>
        <w:pStyle w:val="ListParagraph"/>
        <w:numPr>
          <w:ilvl w:val="0"/>
          <w:numId w:val="2"/>
        </w:numPr>
        <w:spacing w:after="80"/>
      </w:pPr>
      <w:r>
        <w:t>The failure mode this defends against: a developer forgets a WHERE tenant_id = ? clause in a new query. Without RLS this leaks data; with RLS the database itself returns zero rows for any tenant other than the one set on the session.</w:t>
      </w:r>
    </w:p>
    <w:p w14:paraId="3CAE684C" w14:textId="77777777" w:rsidR="00B260E9" w:rsidRDefault="005042F6">
      <w:pPr>
        <w:pStyle w:val="ListParagraph"/>
        <w:numPr>
          <w:ilvl w:val="0"/>
          <w:numId w:val="2"/>
        </w:numPr>
        <w:spacing w:after="80"/>
      </w:pPr>
      <w:r>
        <w:t>A dedicated integration test asserts that a query with no tenant filter in its Java code still returns only the correct tenant's rows, under connection-pool reuse across two different tenants' requests in sequence.</w:t>
      </w:r>
    </w:p>
    <w:p w14:paraId="09E3EFDF" w14:textId="77777777" w:rsidR="00B260E9" w:rsidRDefault="005042F6">
      <w:pPr>
        <w:pStyle w:val="ListParagraph"/>
        <w:numPr>
          <w:ilvl w:val="0"/>
          <w:numId w:val="2"/>
        </w:numPr>
        <w:spacing w:after="80"/>
      </w:pPr>
      <w:r>
        <w:t>Lookups that must run before the tenant is known (login by email, API-key authentication, refresh-token exchange, scheduler tenant enumeration) go through narrow SECURITY DEFINER functions instead of a BYPASSRLS role. The application role is NOSUPERUSER, NOBYPASSRLS and not the table owner; the usage ledger is append-only for it (no UPDATE or DELETE grant).</w:t>
      </w:r>
    </w:p>
    <w:p w14:paraId="087603B3" w14:textId="77777777" w:rsidR="00B260E9" w:rsidRDefault="005042F6">
      <w:pPr>
        <w:pStyle w:val="Heading1"/>
        <w:spacing w:before="360" w:after="160"/>
      </w:pPr>
      <w:bookmarkStart w:id="4" w:name="_Toc241071879"/>
      <w:r>
        <w:t>5. Usage Metering Pipeline</w:t>
      </w:r>
      <w:bookmarkEnd w:id="4"/>
    </w:p>
    <w:p w14:paraId="32789AA8" w14:textId="77777777" w:rsidR="00B260E9" w:rsidRDefault="005042F6">
      <w:pPr>
        <w:pStyle w:val="Heading2"/>
        <w:spacing w:before="280" w:after="120"/>
      </w:pPr>
      <w:bookmarkStart w:id="5" w:name="_Toc241071880"/>
      <w:r>
        <w:t>5.1 Ingestion</w:t>
      </w:r>
      <w:bookmarkEnd w:id="5"/>
    </w:p>
    <w:p w14:paraId="57D1F473" w14:textId="77777777" w:rsidR="00B260E9" w:rsidRDefault="005042F6">
      <w:pPr>
        <w:spacing w:after="160"/>
      </w:pPr>
      <w:r>
        <w:t>POST /v1/usage-events accepts { resource_id, idempotency_key, quantity, occurred_at }. The idempotency_key is client-generated (e.g., a UUID per real-world API call) so that a client-side retry after a timeout does not double-count usage the server actually received the first time.</w:t>
      </w:r>
    </w:p>
    <w:p w14:paraId="2C9BBC51" w14:textId="77777777" w:rsidR="00B260E9" w:rsidRDefault="005042F6">
      <w:pPr>
        <w:spacing w:after="160"/>
      </w:pPr>
      <w:r>
        <w:t>Clients authenticate with a tenant API key (</w:t>
      </w:r>
      <w:r>
        <w:rPr>
          <w:rFonts w:ascii="Consolas" w:hAnsi="Consolas" w:cs="Consolas"/>
          <w:sz w:val="19"/>
          <w:szCs w:val="19"/>
        </w:rPr>
        <w:t>X-API-Key</w:t>
      </w:r>
      <w:r>
        <w:t>) or an admin JWT; the tenant always comes from the credential, never the body. Ingestion also keeps a 24-hour Redis idempotency record, written only after the Kafka ack, so a retry gets 200 "duplicate" and reusing a key with a different payload gets 409. This is a fast path only — correctness rests on the consumer's unique constraint. A per-tenant token bucket (atomic Lua script) enforces the rate limit.</w:t>
      </w:r>
    </w:p>
    <w:p w14:paraId="6D942F69" w14:textId="77777777" w:rsidR="00B260E9" w:rsidRDefault="005042F6">
      <w:pPr>
        <w:pStyle w:val="Heading2"/>
        <w:spacing w:before="280" w:after="120"/>
      </w:pPr>
      <w:bookmarkStart w:id="6" w:name="_Toc241071881"/>
      <w:r>
        <w:t>5.2 Kafka topic design</w:t>
      </w:r>
      <w:bookmarkEnd w:id="6"/>
    </w:p>
    <w:p w14:paraId="68EBD3FD" w14:textId="77777777" w:rsidR="00B260E9" w:rsidRDefault="005042F6">
      <w:pPr>
        <w:spacing w:after="160"/>
      </w:pPr>
      <w:r>
        <w:t>Topic usage-events is partitioned by tenant_id, which preserves per-tenant ordering (needed so period aggregation sees events in a sane order) while allowing horizontal scaling of consumers across tenants.</w:t>
      </w:r>
    </w:p>
    <w:p w14:paraId="3A309310" w14:textId="77777777" w:rsidR="00B260E9" w:rsidRDefault="005042F6">
      <w:pPr>
        <w:pStyle w:val="Heading2"/>
        <w:spacing w:before="280" w:after="120"/>
      </w:pPr>
      <w:bookmarkStart w:id="7" w:name="_Toc241071882"/>
      <w:r>
        <w:t>5.3 Idempotent consumption</w:t>
      </w:r>
      <w:bookmarkEnd w:id="7"/>
    </w:p>
    <w:p w14:paraId="748693D7" w14:textId="77777777" w:rsidR="00B260E9" w:rsidRDefault="005042F6">
      <w:pPr>
        <w:spacing w:after="160"/>
      </w:pPr>
      <w:r>
        <w:t>The metering-service consumer inserts into usage_event with ON CONFLICT (tenant_id, idempotency_key) DO NOTHING. Because Kafka is at-least-once, the same message can be redelivered after a consumer crash; the unique constraint makes redelivery a no-op rather than a double count. The Redis counter increment is only executed after the Postgres insert succeeds and reports a new row (not a conflict), so Redis never double-increments on redelivery either.</w:t>
      </w:r>
    </w:p>
    <w:p w14:paraId="69E2A6CC" w14:textId="77777777" w:rsidR="00B260E9" w:rsidRDefault="005042F6">
      <w:pPr>
        <w:spacing w:after="160"/>
      </w:pPr>
      <w:r>
        <w:t>The idempotency key is unique per tenant rather than globally, so one tenant can never collide with — or silently suppress — another tenant's events. Records that can never succeed (malformed payloads, a resource owned by another tenant) go to the usage-events.DLT dead-letter topic; transient failures retry with exponential backoff.</w:t>
      </w:r>
    </w:p>
    <w:p w14:paraId="3725DE84" w14:textId="77777777" w:rsidR="00B260E9" w:rsidRDefault="005042F6">
      <w:pPr>
        <w:pStyle w:val="Heading2"/>
        <w:spacing w:before="280" w:after="120"/>
      </w:pPr>
      <w:bookmarkStart w:id="8" w:name="_Toc241071883"/>
      <w:r>
        <w:t>5.4 Read path</w:t>
      </w:r>
      <w:bookmarkEnd w:id="8"/>
    </w:p>
    <w:p w14:paraId="42D631D7" w14:textId="77777777" w:rsidR="00B260E9" w:rsidRDefault="005042F6">
      <w:pPr>
        <w:spacing w:after="160"/>
      </w:pPr>
      <w:r>
        <w:t>Redis holds a per-tenant, per-resource, per-open-period counter for fast dashboard reads. Postgres remains authoritative: a nightly reconciliation job re-sums UsageEvent rows for the open period and corrects the Redis value if it has drifted, and logs a warning when it does (drift should be zero in normal operation — this check exists to catch bugs, not to be relied on as a routine correction path).</w:t>
      </w:r>
    </w:p>
    <w:p w14:paraId="2E42CE50" w14:textId="77777777" w:rsidR="00B260E9" w:rsidRDefault="005042F6">
      <w:pPr>
        <w:spacing w:after="160"/>
      </w:pPr>
      <w:r>
        <w:t>Live updates fan out across metering replicas through a Redis pub/sub channel, so a browser connected to any instance receives every update for its tenant. The STOMP CONNECT frame carries the JWT, and SUBSCRIBE is only allowed to the caller's own tenant destination.</w:t>
      </w:r>
    </w:p>
    <w:p w14:paraId="53F1984C" w14:textId="77777777" w:rsidR="00B260E9" w:rsidRDefault="005042F6">
      <w:pPr>
        <w:pStyle w:val="Heading1"/>
        <w:spacing w:before="360" w:after="160"/>
      </w:pPr>
      <w:bookmarkStart w:id="9" w:name="_Toc241071884"/>
      <w:r>
        <w:t>6. Billing &amp; Invoicing Logic</w:t>
      </w:r>
      <w:bookmarkEnd w:id="9"/>
    </w:p>
    <w:p w14:paraId="766C6F27" w14:textId="77777777" w:rsidR="00B260E9" w:rsidRDefault="005042F6">
      <w:pPr>
        <w:pStyle w:val="ListParagraph"/>
        <w:numPr>
          <w:ilvl w:val="0"/>
          <w:numId w:val="2"/>
        </w:numPr>
        <w:spacing w:after="80"/>
      </w:pPr>
      <w:r>
        <w:t>At period close, billing-service materializes UsagePeriodAggregate rows from UsageEvent for each tenant/resource.</w:t>
      </w:r>
    </w:p>
    <w:p w14:paraId="38F11950" w14:textId="77777777" w:rsidR="00B260E9" w:rsidRDefault="005042F6">
      <w:pPr>
        <w:pStyle w:val="ListParagraph"/>
        <w:numPr>
          <w:ilvl w:val="0"/>
          <w:numId w:val="2"/>
        </w:numPr>
        <w:spacing w:after="80"/>
      </w:pPr>
      <w:r>
        <w:t>The active Subscription determines the Plan; the Plan's included_units and its PricingTier rows determine the tiered marginal pricing above that allowance.</w:t>
      </w:r>
    </w:p>
    <w:p w14:paraId="1464EC81" w14:textId="77777777" w:rsidR="00B260E9" w:rsidRDefault="005042F6">
      <w:pPr>
        <w:pStyle w:val="ListParagraph"/>
        <w:numPr>
          <w:ilvl w:val="0"/>
          <w:numId w:val="2"/>
        </w:numPr>
        <w:spacing w:after="80"/>
      </w:pPr>
      <w:r>
        <w:t>All arithmetic uses java.math.BigDecimal; the documented rounding rule is HALF_EVEN at the cent, applied once, at the final line-item amount — never on intermediate values.</w:t>
      </w:r>
    </w:p>
    <w:p w14:paraId="7ED1CD8D" w14:textId="77777777" w:rsidR="00B260E9" w:rsidRDefault="005042F6">
      <w:pPr>
        <w:pStyle w:val="ListParagraph"/>
        <w:numPr>
          <w:ilvl w:val="0"/>
          <w:numId w:val="2"/>
        </w:numPr>
        <w:spacing w:after="80"/>
      </w:pPr>
      <w:r>
        <w:t>Invoice generation is idempotent: Invoice has a unique constraint on (tenant_id, period_start), so re-running the job for an already-invoiced period does nothing rather than producing a duplicate invoice.</w:t>
      </w:r>
    </w:p>
    <w:p w14:paraId="51C79F5F" w14:textId="77777777" w:rsidR="00B260E9" w:rsidRDefault="005042F6">
      <w:pPr>
        <w:pStyle w:val="ListParagraph"/>
        <w:numPr>
          <w:ilvl w:val="0"/>
          <w:numId w:val="2"/>
        </w:numPr>
        <w:spacing w:after="80"/>
      </w:pPr>
      <w:r>
        <w:rPr>
          <w:b/>
          <w:bCs/>
        </w:rPr>
        <w:t xml:space="preserve">Tier semantics: </w:t>
      </w:r>
      <w:r>
        <w:t>a tier prices cumulative units in (from_unit, to_unit]; the included allowance and the tiers apply per metered resource, and the base fee once per period.</w:t>
      </w:r>
    </w:p>
    <w:p w14:paraId="7239D0CE" w14:textId="77777777" w:rsidR="00B260E9" w:rsidRDefault="005042F6">
      <w:pPr>
        <w:pStyle w:val="ListParagraph"/>
        <w:numPr>
          <w:ilvl w:val="0"/>
          <w:numId w:val="2"/>
        </w:numPr>
        <w:spacing w:after="80"/>
      </w:pPr>
      <w:r>
        <w:t>A run takes a per-tenant, per-period advisory lock and executes in one transaction bound to the tenant. The scheduled period close (@Scheduled + ShedLock, so exactly one replica runs it) uses one transaction per tenant, so one tenant's failure cannot block the others.</w:t>
      </w:r>
    </w:p>
    <w:p w14:paraId="2F0C721D" w14:textId="77777777" w:rsidR="00B260E9" w:rsidRDefault="005042F6">
      <w:pPr>
        <w:pStyle w:val="ListParagraph"/>
        <w:numPr>
          <w:ilvl w:val="0"/>
          <w:numId w:val="2"/>
        </w:numPr>
        <w:spacing w:after="80"/>
      </w:pPr>
      <w:r>
        <w:t>The invoice-issued event is written to a transactional outbox in the same transaction as the invoice and relayed to Kafka, so a notification is emitted if and only if the invoice committed.</w:t>
      </w:r>
    </w:p>
    <w:p w14:paraId="0B827F01" w14:textId="77777777" w:rsidR="00B260E9" w:rsidRDefault="005042F6">
      <w:pPr>
        <w:pStyle w:val="ListParagraph"/>
        <w:numPr>
          <w:ilvl w:val="0"/>
          <w:numId w:val="2"/>
        </w:numPr>
        <w:spacing w:after="80"/>
      </w:pPr>
      <w:r>
        <w:t>Plan changes take effect at the next period boundary (no proration). A PostgreSQL exclusion constraint prevents overlapping subscriptions.</w:t>
      </w:r>
    </w:p>
    <w:p w14:paraId="284F133F" w14:textId="77777777" w:rsidR="00B260E9" w:rsidRDefault="005042F6">
      <w:pPr>
        <w:pStyle w:val="ListParagraph"/>
        <w:numPr>
          <w:ilvl w:val="0"/>
          <w:numId w:val="2"/>
        </w:numPr>
        <w:spacing w:after="80"/>
      </w:pPr>
      <w:r>
        <w:t>Explicitly deferred: multi-currency, tax computation, mid-period plan-change proration, dunning/retry on failed payment collection (there is no real payment collection in this project at all — invoices are generated, not charged).</w:t>
      </w:r>
    </w:p>
    <w:p w14:paraId="7CA20F1B" w14:textId="77777777" w:rsidR="00B260E9" w:rsidRDefault="005042F6">
      <w:pPr>
        <w:pStyle w:val="Heading1"/>
        <w:spacing w:before="360" w:after="160"/>
      </w:pPr>
      <w:bookmarkStart w:id="10" w:name="_Toc241071885"/>
      <w:r>
        <w:t>7. API Design</w:t>
      </w:r>
      <w:bookmarkEnd w:id="10"/>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600"/>
        <w:gridCol w:w="3400"/>
      </w:tblGrid>
      <w:tr w:rsidR="00B260E9" w14:paraId="30BEF0F2" w14:textId="77777777">
        <w:tblPrEx>
          <w:tblCellMar>
            <w:top w:w="0" w:type="dxa"/>
            <w:bottom w:w="0" w:type="dxa"/>
          </w:tblCellMar>
        </w:tblPrEx>
        <w:trPr>
          <w:tblHeader/>
        </w:trPr>
        <w:tc>
          <w:tcPr>
            <w:tcW w:w="3400" w:type="dxa"/>
            <w:shd w:val="clear" w:color="auto" w:fill="1F3B57"/>
            <w:tcMar>
              <w:top w:w="80" w:type="dxa"/>
              <w:left w:w="120" w:type="dxa"/>
              <w:bottom w:w="80" w:type="dxa"/>
              <w:right w:w="120" w:type="dxa"/>
            </w:tcMar>
          </w:tcPr>
          <w:p w14:paraId="702A79FD" w14:textId="77777777" w:rsidR="00B260E9" w:rsidRDefault="005042F6">
            <w:r>
              <w:rPr>
                <w:b/>
                <w:bCs/>
                <w:color w:val="FFFFFF"/>
                <w:sz w:val="19"/>
                <w:szCs w:val="19"/>
              </w:rPr>
              <w:t>Method &amp; path</w:t>
            </w:r>
          </w:p>
        </w:tc>
        <w:tc>
          <w:tcPr>
            <w:tcW w:w="2600" w:type="dxa"/>
            <w:shd w:val="clear" w:color="auto" w:fill="1F3B57"/>
            <w:tcMar>
              <w:top w:w="80" w:type="dxa"/>
              <w:left w:w="120" w:type="dxa"/>
              <w:bottom w:w="80" w:type="dxa"/>
              <w:right w:w="120" w:type="dxa"/>
            </w:tcMar>
          </w:tcPr>
          <w:p w14:paraId="2896D06E" w14:textId="77777777" w:rsidR="00B260E9" w:rsidRDefault="005042F6">
            <w:r>
              <w:rPr>
                <w:b/>
                <w:bCs/>
                <w:color w:val="FFFFFF"/>
                <w:sz w:val="19"/>
                <w:szCs w:val="19"/>
              </w:rPr>
              <w:t>Service</w:t>
            </w:r>
          </w:p>
        </w:tc>
        <w:tc>
          <w:tcPr>
            <w:tcW w:w="3400" w:type="dxa"/>
            <w:shd w:val="clear" w:color="auto" w:fill="1F3B57"/>
            <w:tcMar>
              <w:top w:w="80" w:type="dxa"/>
              <w:left w:w="120" w:type="dxa"/>
              <w:bottom w:w="80" w:type="dxa"/>
              <w:right w:w="120" w:type="dxa"/>
            </w:tcMar>
          </w:tcPr>
          <w:p w14:paraId="3CC6C6A1" w14:textId="77777777" w:rsidR="00B260E9" w:rsidRDefault="005042F6">
            <w:r>
              <w:rPr>
                <w:b/>
                <w:bCs/>
                <w:color w:val="FFFFFF"/>
                <w:sz w:val="19"/>
                <w:szCs w:val="19"/>
              </w:rPr>
              <w:t>Purpose</w:t>
            </w:r>
          </w:p>
        </w:tc>
      </w:tr>
      <w:tr w:rsidR="00B260E9" w14:paraId="4A6A86B6" w14:textId="77777777">
        <w:tblPrEx>
          <w:tblCellMar>
            <w:top w:w="0" w:type="dxa"/>
            <w:bottom w:w="0" w:type="dxa"/>
          </w:tblCellMar>
        </w:tblPrEx>
        <w:tc>
          <w:tcPr>
            <w:tcW w:w="3400" w:type="dxa"/>
            <w:tcMar>
              <w:top w:w="80" w:type="dxa"/>
              <w:left w:w="120" w:type="dxa"/>
              <w:bottom w:w="80" w:type="dxa"/>
              <w:right w:w="120" w:type="dxa"/>
            </w:tcMar>
          </w:tcPr>
          <w:p w14:paraId="282E4151" w14:textId="77777777" w:rsidR="00B260E9" w:rsidRDefault="005042F6">
            <w:r>
              <w:rPr>
                <w:sz w:val="19"/>
                <w:szCs w:val="19"/>
              </w:rPr>
              <w:t>POST /v1/tenants</w:t>
            </w:r>
          </w:p>
        </w:tc>
        <w:tc>
          <w:tcPr>
            <w:tcW w:w="2600" w:type="dxa"/>
            <w:tcMar>
              <w:top w:w="80" w:type="dxa"/>
              <w:left w:w="120" w:type="dxa"/>
              <w:bottom w:w="80" w:type="dxa"/>
              <w:right w:w="120" w:type="dxa"/>
            </w:tcMar>
          </w:tcPr>
          <w:p w14:paraId="118C8C42" w14:textId="77777777" w:rsidR="00B260E9" w:rsidRDefault="005042F6">
            <w:r>
              <w:rPr>
                <w:sz w:val="19"/>
                <w:szCs w:val="19"/>
              </w:rPr>
              <w:t>tenant-service</w:t>
            </w:r>
          </w:p>
        </w:tc>
        <w:tc>
          <w:tcPr>
            <w:tcW w:w="3400" w:type="dxa"/>
            <w:tcMar>
              <w:top w:w="80" w:type="dxa"/>
              <w:left w:w="120" w:type="dxa"/>
              <w:bottom w:w="80" w:type="dxa"/>
              <w:right w:w="120" w:type="dxa"/>
            </w:tcMar>
          </w:tcPr>
          <w:p w14:paraId="57ED6C8F" w14:textId="77777777" w:rsidR="00B260E9" w:rsidRDefault="005042F6">
            <w:r>
              <w:rPr>
                <w:sz w:val="19"/>
                <w:szCs w:val="19"/>
              </w:rPr>
              <w:t>Create a tenant and its initial admin user</w:t>
            </w:r>
          </w:p>
        </w:tc>
      </w:tr>
      <w:tr w:rsidR="00B260E9" w14:paraId="0D10FC15" w14:textId="77777777">
        <w:tblPrEx>
          <w:tblCellMar>
            <w:top w:w="0" w:type="dxa"/>
            <w:bottom w:w="0" w:type="dxa"/>
          </w:tblCellMar>
        </w:tblPrEx>
        <w:tc>
          <w:tcPr>
            <w:tcW w:w="3400" w:type="dxa"/>
            <w:tcMar>
              <w:top w:w="80" w:type="dxa"/>
              <w:left w:w="120" w:type="dxa"/>
              <w:bottom w:w="80" w:type="dxa"/>
              <w:right w:w="120" w:type="dxa"/>
            </w:tcMar>
          </w:tcPr>
          <w:p w14:paraId="73BEC902" w14:textId="77777777" w:rsidR="00B260E9" w:rsidRDefault="005042F6">
            <w:r>
              <w:rPr>
                <w:sz w:val="19"/>
                <w:szCs w:val="19"/>
              </w:rPr>
              <w:t>POST /v1/auth/login</w:t>
            </w:r>
          </w:p>
        </w:tc>
        <w:tc>
          <w:tcPr>
            <w:tcW w:w="2600" w:type="dxa"/>
            <w:tcMar>
              <w:top w:w="80" w:type="dxa"/>
              <w:left w:w="120" w:type="dxa"/>
              <w:bottom w:w="80" w:type="dxa"/>
              <w:right w:w="120" w:type="dxa"/>
            </w:tcMar>
          </w:tcPr>
          <w:p w14:paraId="79324A35" w14:textId="77777777" w:rsidR="00B260E9" w:rsidRDefault="005042F6">
            <w:r>
              <w:rPr>
                <w:sz w:val="19"/>
                <w:szCs w:val="19"/>
              </w:rPr>
              <w:t>tenant-service</w:t>
            </w:r>
          </w:p>
        </w:tc>
        <w:tc>
          <w:tcPr>
            <w:tcW w:w="3400" w:type="dxa"/>
            <w:tcMar>
              <w:top w:w="80" w:type="dxa"/>
              <w:left w:w="120" w:type="dxa"/>
              <w:bottom w:w="80" w:type="dxa"/>
              <w:right w:w="120" w:type="dxa"/>
            </w:tcMar>
          </w:tcPr>
          <w:p w14:paraId="1955D675" w14:textId="77777777" w:rsidR="00B260E9" w:rsidRDefault="005042F6">
            <w:r>
              <w:rPr>
                <w:sz w:val="19"/>
                <w:szCs w:val="19"/>
              </w:rPr>
              <w:t>Issue a JWT for an AppUser</w:t>
            </w:r>
          </w:p>
        </w:tc>
      </w:tr>
      <w:tr w:rsidR="00B260E9" w14:paraId="1E3BEFF3" w14:textId="77777777">
        <w:tblPrEx>
          <w:tblCellMar>
            <w:top w:w="0" w:type="dxa"/>
            <w:bottom w:w="0" w:type="dxa"/>
          </w:tblCellMar>
        </w:tblPrEx>
        <w:tc>
          <w:tcPr>
            <w:tcW w:w="3400" w:type="dxa"/>
            <w:tcMar>
              <w:top w:w="80" w:type="dxa"/>
              <w:left w:w="120" w:type="dxa"/>
              <w:bottom w:w="80" w:type="dxa"/>
              <w:right w:w="120" w:type="dxa"/>
            </w:tcMar>
          </w:tcPr>
          <w:p w14:paraId="5FA3603C" w14:textId="77777777" w:rsidR="00B260E9" w:rsidRDefault="005042F6">
            <w:r>
              <w:rPr>
                <w:sz w:val="19"/>
                <w:szCs w:val="19"/>
              </w:rPr>
              <w:t>GET /v1/resources</w:t>
            </w:r>
          </w:p>
        </w:tc>
        <w:tc>
          <w:tcPr>
            <w:tcW w:w="2600" w:type="dxa"/>
            <w:tcMar>
              <w:top w:w="80" w:type="dxa"/>
              <w:left w:w="120" w:type="dxa"/>
              <w:bottom w:w="80" w:type="dxa"/>
              <w:right w:w="120" w:type="dxa"/>
            </w:tcMar>
          </w:tcPr>
          <w:p w14:paraId="19AFB6E4" w14:textId="77777777" w:rsidR="00B260E9" w:rsidRDefault="005042F6">
            <w:r>
              <w:rPr>
                <w:sz w:val="19"/>
                <w:szCs w:val="19"/>
              </w:rPr>
              <w:t>tenant-service</w:t>
            </w:r>
          </w:p>
        </w:tc>
        <w:tc>
          <w:tcPr>
            <w:tcW w:w="3400" w:type="dxa"/>
            <w:tcMar>
              <w:top w:w="80" w:type="dxa"/>
              <w:left w:w="120" w:type="dxa"/>
              <w:bottom w:w="80" w:type="dxa"/>
              <w:right w:w="120" w:type="dxa"/>
            </w:tcMar>
          </w:tcPr>
          <w:p w14:paraId="0507FB2F" w14:textId="77777777" w:rsidR="00B260E9" w:rsidRDefault="005042F6">
            <w:r>
              <w:rPr>
                <w:sz w:val="19"/>
                <w:szCs w:val="19"/>
              </w:rPr>
              <w:t>List the calling tenant's metered resources</w:t>
            </w:r>
          </w:p>
        </w:tc>
      </w:tr>
      <w:tr w:rsidR="00B260E9" w14:paraId="7012C57D" w14:textId="77777777">
        <w:tblPrEx>
          <w:tblCellMar>
            <w:top w:w="0" w:type="dxa"/>
            <w:bottom w:w="0" w:type="dxa"/>
          </w:tblCellMar>
        </w:tblPrEx>
        <w:tc>
          <w:tcPr>
            <w:tcW w:w="3400" w:type="dxa"/>
            <w:tcMar>
              <w:top w:w="80" w:type="dxa"/>
              <w:left w:w="120" w:type="dxa"/>
              <w:bottom w:w="80" w:type="dxa"/>
              <w:right w:w="120" w:type="dxa"/>
            </w:tcMar>
          </w:tcPr>
          <w:p w14:paraId="7C7107C1" w14:textId="77777777" w:rsidR="00B260E9" w:rsidRDefault="005042F6">
            <w:r>
              <w:rPr>
                <w:sz w:val="19"/>
                <w:szCs w:val="19"/>
              </w:rPr>
              <w:t>POST /v1/usage-events</w:t>
            </w:r>
          </w:p>
        </w:tc>
        <w:tc>
          <w:tcPr>
            <w:tcW w:w="2600" w:type="dxa"/>
            <w:tcMar>
              <w:top w:w="80" w:type="dxa"/>
              <w:left w:w="120" w:type="dxa"/>
              <w:bottom w:w="80" w:type="dxa"/>
              <w:right w:w="120" w:type="dxa"/>
            </w:tcMar>
          </w:tcPr>
          <w:p w14:paraId="17436616" w14:textId="77777777" w:rsidR="00B260E9" w:rsidRDefault="005042F6">
            <w:r>
              <w:rPr>
                <w:sz w:val="19"/>
                <w:szCs w:val="19"/>
              </w:rPr>
              <w:t>ingestion-service</w:t>
            </w:r>
          </w:p>
        </w:tc>
        <w:tc>
          <w:tcPr>
            <w:tcW w:w="3400" w:type="dxa"/>
            <w:tcMar>
              <w:top w:w="80" w:type="dxa"/>
              <w:left w:w="120" w:type="dxa"/>
              <w:bottom w:w="80" w:type="dxa"/>
              <w:right w:w="120" w:type="dxa"/>
            </w:tcMar>
          </w:tcPr>
          <w:p w14:paraId="0FB00DEC" w14:textId="77777777" w:rsidR="00B260E9" w:rsidRDefault="005042F6">
            <w:r>
              <w:rPr>
                <w:sz w:val="19"/>
                <w:szCs w:val="19"/>
              </w:rPr>
              <w:t>Ingest one usage event (idempotency_key required)</w:t>
            </w:r>
          </w:p>
        </w:tc>
      </w:tr>
      <w:tr w:rsidR="00B260E9" w14:paraId="6D788893" w14:textId="77777777">
        <w:tblPrEx>
          <w:tblCellMar>
            <w:top w:w="0" w:type="dxa"/>
            <w:bottom w:w="0" w:type="dxa"/>
          </w:tblCellMar>
        </w:tblPrEx>
        <w:tc>
          <w:tcPr>
            <w:tcW w:w="3400" w:type="dxa"/>
            <w:tcMar>
              <w:top w:w="80" w:type="dxa"/>
              <w:left w:w="120" w:type="dxa"/>
              <w:bottom w:w="80" w:type="dxa"/>
              <w:right w:w="120" w:type="dxa"/>
            </w:tcMar>
          </w:tcPr>
          <w:p w14:paraId="1B2F3370" w14:textId="77777777" w:rsidR="00B260E9" w:rsidRDefault="005042F6">
            <w:r>
              <w:rPr>
                <w:sz w:val="19"/>
                <w:szCs w:val="19"/>
              </w:rPr>
              <w:t>GET /v1/usage/current</w:t>
            </w:r>
          </w:p>
        </w:tc>
        <w:tc>
          <w:tcPr>
            <w:tcW w:w="2600" w:type="dxa"/>
            <w:tcMar>
              <w:top w:w="80" w:type="dxa"/>
              <w:left w:w="120" w:type="dxa"/>
              <w:bottom w:w="80" w:type="dxa"/>
              <w:right w:w="120" w:type="dxa"/>
            </w:tcMar>
          </w:tcPr>
          <w:p w14:paraId="7CD5203B" w14:textId="77777777" w:rsidR="00B260E9" w:rsidRDefault="005042F6">
            <w:r>
              <w:rPr>
                <w:sz w:val="19"/>
                <w:szCs w:val="19"/>
              </w:rPr>
              <w:t>metering-service</w:t>
            </w:r>
          </w:p>
        </w:tc>
        <w:tc>
          <w:tcPr>
            <w:tcW w:w="3400" w:type="dxa"/>
            <w:tcMar>
              <w:top w:w="80" w:type="dxa"/>
              <w:left w:w="120" w:type="dxa"/>
              <w:bottom w:w="80" w:type="dxa"/>
              <w:right w:w="120" w:type="dxa"/>
            </w:tcMar>
          </w:tcPr>
          <w:p w14:paraId="174281C1" w14:textId="77777777" w:rsidR="00B260E9" w:rsidRDefault="005042F6">
            <w:r>
              <w:rPr>
                <w:sz w:val="19"/>
                <w:szCs w:val="19"/>
              </w:rPr>
              <w:t>Current-period usage counters for the calling tenant</w:t>
            </w:r>
          </w:p>
        </w:tc>
      </w:tr>
      <w:tr w:rsidR="00B260E9" w14:paraId="014635CD" w14:textId="77777777">
        <w:tblPrEx>
          <w:tblCellMar>
            <w:top w:w="0" w:type="dxa"/>
            <w:bottom w:w="0" w:type="dxa"/>
          </w:tblCellMar>
        </w:tblPrEx>
        <w:tc>
          <w:tcPr>
            <w:tcW w:w="3400" w:type="dxa"/>
            <w:tcMar>
              <w:top w:w="80" w:type="dxa"/>
              <w:left w:w="120" w:type="dxa"/>
              <w:bottom w:w="80" w:type="dxa"/>
              <w:right w:w="120" w:type="dxa"/>
            </w:tcMar>
          </w:tcPr>
          <w:p w14:paraId="441C69D6" w14:textId="77777777" w:rsidR="00B260E9" w:rsidRDefault="005042F6">
            <w:r>
              <w:rPr>
                <w:sz w:val="19"/>
                <w:szCs w:val="19"/>
              </w:rPr>
              <w:t>WS /ws/usage</w:t>
            </w:r>
          </w:p>
        </w:tc>
        <w:tc>
          <w:tcPr>
            <w:tcW w:w="2600" w:type="dxa"/>
            <w:tcMar>
              <w:top w:w="80" w:type="dxa"/>
              <w:left w:w="120" w:type="dxa"/>
              <w:bottom w:w="80" w:type="dxa"/>
              <w:right w:w="120" w:type="dxa"/>
            </w:tcMar>
          </w:tcPr>
          <w:p w14:paraId="11150917" w14:textId="77777777" w:rsidR="00B260E9" w:rsidRDefault="005042F6">
            <w:r>
              <w:rPr>
                <w:sz w:val="19"/>
                <w:szCs w:val="19"/>
              </w:rPr>
              <w:t>metering-service</w:t>
            </w:r>
          </w:p>
        </w:tc>
        <w:tc>
          <w:tcPr>
            <w:tcW w:w="3400" w:type="dxa"/>
            <w:tcMar>
              <w:top w:w="80" w:type="dxa"/>
              <w:left w:w="120" w:type="dxa"/>
              <w:bottom w:w="80" w:type="dxa"/>
              <w:right w:w="120" w:type="dxa"/>
            </w:tcMar>
          </w:tcPr>
          <w:p w14:paraId="6F0A82BB" w14:textId="77777777" w:rsidR="00B260E9" w:rsidRDefault="005042F6">
            <w:r>
              <w:rPr>
                <w:sz w:val="19"/>
                <w:szCs w:val="19"/>
              </w:rPr>
              <w:t>STOMP topic pushing live per-tenant usage updates</w:t>
            </w:r>
          </w:p>
        </w:tc>
      </w:tr>
      <w:tr w:rsidR="00B260E9" w14:paraId="3EAFA3A3" w14:textId="77777777">
        <w:tblPrEx>
          <w:tblCellMar>
            <w:top w:w="0" w:type="dxa"/>
            <w:bottom w:w="0" w:type="dxa"/>
          </w:tblCellMar>
        </w:tblPrEx>
        <w:tc>
          <w:tcPr>
            <w:tcW w:w="3400" w:type="dxa"/>
            <w:tcMar>
              <w:top w:w="80" w:type="dxa"/>
              <w:left w:w="120" w:type="dxa"/>
              <w:bottom w:w="80" w:type="dxa"/>
              <w:right w:w="120" w:type="dxa"/>
            </w:tcMar>
          </w:tcPr>
          <w:p w14:paraId="7D8AA24E" w14:textId="77777777" w:rsidR="00B260E9" w:rsidRDefault="005042F6">
            <w:r>
              <w:rPr>
                <w:sz w:val="19"/>
                <w:szCs w:val="19"/>
              </w:rPr>
              <w:t>POST /v1/billing/run</w:t>
            </w:r>
          </w:p>
        </w:tc>
        <w:tc>
          <w:tcPr>
            <w:tcW w:w="2600" w:type="dxa"/>
            <w:tcMar>
              <w:top w:w="80" w:type="dxa"/>
              <w:left w:w="120" w:type="dxa"/>
              <w:bottom w:w="80" w:type="dxa"/>
              <w:right w:w="120" w:type="dxa"/>
            </w:tcMar>
          </w:tcPr>
          <w:p w14:paraId="4A818A50" w14:textId="77777777" w:rsidR="00B260E9" w:rsidRDefault="005042F6">
            <w:r>
              <w:rPr>
                <w:sz w:val="19"/>
                <w:szCs w:val="19"/>
              </w:rPr>
              <w:t>billing-service</w:t>
            </w:r>
          </w:p>
        </w:tc>
        <w:tc>
          <w:tcPr>
            <w:tcW w:w="3400" w:type="dxa"/>
            <w:tcMar>
              <w:top w:w="80" w:type="dxa"/>
              <w:left w:w="120" w:type="dxa"/>
              <w:bottom w:w="80" w:type="dxa"/>
              <w:right w:w="120" w:type="dxa"/>
            </w:tcMar>
          </w:tcPr>
          <w:p w14:paraId="66A40DBB" w14:textId="77777777" w:rsidR="00B260E9" w:rsidRDefault="005042F6">
            <w:r>
              <w:rPr>
                <w:sz w:val="19"/>
                <w:szCs w:val="19"/>
              </w:rPr>
              <w:t>Trigger period-close billing for a tenant (manual trigger for demo; a scheduler triggers it in steady state)</w:t>
            </w:r>
          </w:p>
        </w:tc>
      </w:tr>
      <w:tr w:rsidR="00B260E9" w14:paraId="41076E98" w14:textId="77777777">
        <w:tblPrEx>
          <w:tblCellMar>
            <w:top w:w="0" w:type="dxa"/>
            <w:bottom w:w="0" w:type="dxa"/>
          </w:tblCellMar>
        </w:tblPrEx>
        <w:tc>
          <w:tcPr>
            <w:tcW w:w="3400" w:type="dxa"/>
            <w:tcMar>
              <w:top w:w="80" w:type="dxa"/>
              <w:left w:w="120" w:type="dxa"/>
              <w:bottom w:w="80" w:type="dxa"/>
              <w:right w:w="120" w:type="dxa"/>
            </w:tcMar>
          </w:tcPr>
          <w:p w14:paraId="732582D9" w14:textId="77777777" w:rsidR="00B260E9" w:rsidRDefault="005042F6">
            <w:r>
              <w:rPr>
                <w:sz w:val="19"/>
                <w:szCs w:val="19"/>
              </w:rPr>
              <w:t>GET /v1/invoices</w:t>
            </w:r>
          </w:p>
        </w:tc>
        <w:tc>
          <w:tcPr>
            <w:tcW w:w="2600" w:type="dxa"/>
            <w:tcMar>
              <w:top w:w="80" w:type="dxa"/>
              <w:left w:w="120" w:type="dxa"/>
              <w:bottom w:w="80" w:type="dxa"/>
              <w:right w:w="120" w:type="dxa"/>
            </w:tcMar>
          </w:tcPr>
          <w:p w14:paraId="0119A87C" w14:textId="77777777" w:rsidR="00B260E9" w:rsidRDefault="005042F6">
            <w:r>
              <w:rPr>
                <w:sz w:val="19"/>
                <w:szCs w:val="19"/>
              </w:rPr>
              <w:t>billing-service</w:t>
            </w:r>
          </w:p>
        </w:tc>
        <w:tc>
          <w:tcPr>
            <w:tcW w:w="3400" w:type="dxa"/>
            <w:tcMar>
              <w:top w:w="80" w:type="dxa"/>
              <w:left w:w="120" w:type="dxa"/>
              <w:bottom w:w="80" w:type="dxa"/>
              <w:right w:w="120" w:type="dxa"/>
            </w:tcMar>
          </w:tcPr>
          <w:p w14:paraId="50615505" w14:textId="77777777" w:rsidR="00B260E9" w:rsidRDefault="005042F6">
            <w:r>
              <w:rPr>
                <w:sz w:val="19"/>
                <w:szCs w:val="19"/>
              </w:rPr>
              <w:t>List the calling tenant's invoices</w:t>
            </w:r>
          </w:p>
        </w:tc>
      </w:tr>
      <w:tr w:rsidR="00B260E9" w14:paraId="703D8677" w14:textId="77777777">
        <w:tblPrEx>
          <w:tblCellMar>
            <w:top w:w="0" w:type="dxa"/>
            <w:bottom w:w="0" w:type="dxa"/>
          </w:tblCellMar>
        </w:tblPrEx>
        <w:tc>
          <w:tcPr>
            <w:tcW w:w="3400" w:type="dxa"/>
            <w:tcMar>
              <w:top w:w="80" w:type="dxa"/>
              <w:left w:w="120" w:type="dxa"/>
              <w:bottom w:w="80" w:type="dxa"/>
              <w:right w:w="120" w:type="dxa"/>
            </w:tcMar>
          </w:tcPr>
          <w:p w14:paraId="552A90FD" w14:textId="77777777" w:rsidR="00B260E9" w:rsidRDefault="005042F6">
            <w:r>
              <w:rPr>
                <w:sz w:val="19"/>
                <w:szCs w:val="19"/>
              </w:rPr>
              <w:t>GET /v1/invoices/{id}</w:t>
            </w:r>
          </w:p>
        </w:tc>
        <w:tc>
          <w:tcPr>
            <w:tcW w:w="2600" w:type="dxa"/>
            <w:tcMar>
              <w:top w:w="80" w:type="dxa"/>
              <w:left w:w="120" w:type="dxa"/>
              <w:bottom w:w="80" w:type="dxa"/>
              <w:right w:w="120" w:type="dxa"/>
            </w:tcMar>
          </w:tcPr>
          <w:p w14:paraId="5D091698" w14:textId="77777777" w:rsidR="00B260E9" w:rsidRDefault="005042F6">
            <w:r>
              <w:rPr>
                <w:sz w:val="19"/>
                <w:szCs w:val="19"/>
              </w:rPr>
              <w:t>billing-service</w:t>
            </w:r>
          </w:p>
        </w:tc>
        <w:tc>
          <w:tcPr>
            <w:tcW w:w="3400" w:type="dxa"/>
            <w:tcMar>
              <w:top w:w="80" w:type="dxa"/>
              <w:left w:w="120" w:type="dxa"/>
              <w:bottom w:w="80" w:type="dxa"/>
              <w:right w:w="120" w:type="dxa"/>
            </w:tcMar>
          </w:tcPr>
          <w:p w14:paraId="40B4B982" w14:textId="77777777" w:rsidR="00B260E9" w:rsidRDefault="005042F6">
            <w:r>
              <w:rPr>
                <w:sz w:val="19"/>
                <w:szCs w:val="19"/>
              </w:rPr>
              <w:t>Fetch one invoice with its line items</w:t>
            </w:r>
          </w:p>
        </w:tc>
      </w:tr>
    </w:tbl>
    <w:p w14:paraId="035C860F" w14:textId="77777777" w:rsidR="00B260E9" w:rsidRDefault="005042F6">
      <w:pPr>
        <w:spacing w:after="160"/>
      </w:pPr>
      <w:r>
        <w:t xml:space="preserve">The complete contract is maintained in </w:t>
      </w:r>
      <w:r>
        <w:rPr>
          <w:rFonts w:ascii="Consolas" w:hAnsi="Consolas" w:cs="Consolas"/>
          <w:sz w:val="19"/>
          <w:szCs w:val="19"/>
        </w:rPr>
        <w:t>docs/api-contract.md</w:t>
      </w:r>
      <w:r>
        <w:t>. Beyond the table above it adds auth refresh and logout, /v1/me, plan catalog, subscription change, users, API keys, resource management, usage timeseries, a billing preview for the open period, notifications, a batch ingestion endpoint, and internal service-to-service endpoints. All JSON is snake_case; money is always a JSON string (e.g. "278.69"); errors are RFC 7807 problem documents with a stable code.</w:t>
      </w:r>
    </w:p>
    <w:p w14:paraId="0F8FA69F" w14:textId="77777777" w:rsidR="00B260E9" w:rsidRDefault="005042F6">
      <w:pPr>
        <w:pStyle w:val="Heading1"/>
        <w:spacing w:before="360" w:after="160"/>
      </w:pPr>
      <w:bookmarkStart w:id="11" w:name="_Toc241071886"/>
      <w:r>
        <w:t>8. Frontend Architecture (Angular)</w:t>
      </w:r>
      <w:bookmarkEnd w:id="11"/>
    </w:p>
    <w:p w14:paraId="14F7EBF2" w14:textId="77777777" w:rsidR="00B260E9" w:rsidRDefault="005042F6">
      <w:pPr>
        <w:pStyle w:val="ListParagraph"/>
        <w:numPr>
          <w:ilvl w:val="0"/>
          <w:numId w:val="2"/>
        </w:numPr>
        <w:spacing w:after="80"/>
      </w:pPr>
      <w:r>
        <w:t>CoreModule: HTTP interceptor attaching the JWT, a WebSocket/STOMP service wrapping the live usage channel, route guards.</w:t>
      </w:r>
    </w:p>
    <w:p w14:paraId="06234FA6" w14:textId="77777777" w:rsidR="00B260E9" w:rsidRDefault="005042F6">
      <w:pPr>
        <w:pStyle w:val="ListParagraph"/>
        <w:numPr>
          <w:ilvl w:val="0"/>
          <w:numId w:val="2"/>
        </w:numPr>
        <w:spacing w:after="80"/>
      </w:pPr>
      <w:r>
        <w:t>AuthModule: login view, token storage in memory (not localStorage, to reduce XSS token-theft surface).</w:t>
      </w:r>
    </w:p>
    <w:p w14:paraId="13B357A4" w14:textId="77777777" w:rsidR="00B260E9" w:rsidRDefault="005042F6">
      <w:pPr>
        <w:pStyle w:val="ListParagraph"/>
        <w:numPr>
          <w:ilvl w:val="0"/>
          <w:numId w:val="2"/>
        </w:numPr>
        <w:spacing w:after="80"/>
      </w:pPr>
      <w:r>
        <w:t>Sessions survive reloads through a rotating refresh token held in an httpOnly, SameSite=Strict cookie scoped to /v1/auth; the access token itself never touches browser storage.</w:t>
      </w:r>
    </w:p>
    <w:p w14:paraId="6235FB3A" w14:textId="77777777" w:rsidR="00B260E9" w:rsidRDefault="005042F6">
      <w:pPr>
        <w:pStyle w:val="ListParagraph"/>
        <w:numPr>
          <w:ilvl w:val="0"/>
          <w:numId w:val="2"/>
        </w:numPr>
        <w:spacing w:after="80"/>
      </w:pPr>
      <w:r>
        <w:t>DashboardModule: live usage view driven by an RxJS observable fed by the STOMP subscription; chart rendered with ngx-charts.</w:t>
      </w:r>
    </w:p>
    <w:p w14:paraId="4BF3D94E" w14:textId="77777777" w:rsidR="00B260E9" w:rsidRDefault="005042F6">
      <w:pPr>
        <w:pStyle w:val="ListParagraph"/>
        <w:numPr>
          <w:ilvl w:val="0"/>
          <w:numId w:val="2"/>
        </w:numPr>
        <w:spacing w:after="80"/>
      </w:pPr>
      <w:r>
        <w:t>BillingModule: invoice list and invoice detail views, plan/tier display.</w:t>
      </w:r>
    </w:p>
    <w:p w14:paraId="64E45B20" w14:textId="77777777" w:rsidR="00B260E9" w:rsidRDefault="005042F6">
      <w:pPr>
        <w:pStyle w:val="ListParagraph"/>
        <w:numPr>
          <w:ilvl w:val="0"/>
          <w:numId w:val="2"/>
        </w:numPr>
        <w:spacing w:after="80"/>
      </w:pPr>
      <w:r>
        <w:t>State management is plain RxJS services with Angular signals for local component state — NgRx is deliberately not used. At this scope, NgRx's boilerplate would be over-engineering; this is a scope decision worth being able to defend in an interview, not an oversight.</w:t>
      </w:r>
    </w:p>
    <w:p w14:paraId="2788DA01" w14:textId="77777777" w:rsidR="00B260E9" w:rsidRDefault="005042F6">
      <w:pPr>
        <w:pStyle w:val="Heading1"/>
        <w:spacing w:before="360" w:after="160"/>
      </w:pPr>
      <w:bookmarkStart w:id="12" w:name="_Toc241071887"/>
      <w:r>
        <w:t>9. Security &amp; Auth</w:t>
      </w:r>
      <w:bookmarkEnd w:id="12"/>
    </w:p>
    <w:p w14:paraId="48202A1C" w14:textId="77777777" w:rsidR="00B260E9" w:rsidRDefault="005042F6">
      <w:pPr>
        <w:pStyle w:val="ListParagraph"/>
        <w:numPr>
          <w:ilvl w:val="0"/>
          <w:numId w:val="2"/>
        </w:numPr>
        <w:spacing w:after="80"/>
      </w:pPr>
      <w:r>
        <w:t>Spring Security issues and validates JWTs; the tenant_id and role are claims embedded in the token.</w:t>
      </w:r>
    </w:p>
    <w:p w14:paraId="14FC5488" w14:textId="77777777" w:rsidR="00B260E9" w:rsidRDefault="005042F6">
      <w:pPr>
        <w:pStyle w:val="ListParagraph"/>
        <w:numPr>
          <w:ilvl w:val="0"/>
          <w:numId w:val="2"/>
        </w:numPr>
        <w:spacing w:after="80"/>
      </w:pPr>
      <w:r>
        <w:t>Tokens are RS256-signed by tenant-service and validated by every other service against its JWKS endpoint, so no other service holds signing material. Access tokens live 15 minutes. Service-to-service calls use a shared internal token compared in constant time.</w:t>
      </w:r>
    </w:p>
    <w:p w14:paraId="2F43AF83" w14:textId="77777777" w:rsidR="00B260E9" w:rsidRDefault="005042F6">
      <w:pPr>
        <w:pStyle w:val="ListParagraph"/>
        <w:numPr>
          <w:ilvl w:val="0"/>
          <w:numId w:val="2"/>
        </w:numPr>
        <w:spacing w:after="80"/>
      </w:pPr>
      <w:r>
        <w:t>Roles: TENANT_ADMIN (manage plan, view billing) and TENANT_USER (view usage dashboard only).</w:t>
      </w:r>
    </w:p>
    <w:p w14:paraId="52B100B7" w14:textId="77777777" w:rsidR="00B260E9" w:rsidRDefault="005042F6">
      <w:pPr>
        <w:pStyle w:val="ListParagraph"/>
        <w:numPr>
          <w:ilvl w:val="0"/>
          <w:numId w:val="2"/>
        </w:numPr>
        <w:spacing w:after="80"/>
      </w:pPr>
      <w:r>
        <w:t>Passwords hashed with bcrypt; never logged, never returned in any response body.</w:t>
      </w:r>
    </w:p>
    <w:p w14:paraId="6B755B4C" w14:textId="77777777" w:rsidR="00B260E9" w:rsidRDefault="005042F6">
      <w:pPr>
        <w:pStyle w:val="ListParagraph"/>
        <w:numPr>
          <w:ilvl w:val="0"/>
          <w:numId w:val="2"/>
        </w:numPr>
        <w:spacing w:after="80"/>
      </w:pPr>
      <w:r>
        <w:t>CORS restricted to the Angular SPA's origin only.</w:t>
      </w:r>
    </w:p>
    <w:p w14:paraId="103C6541" w14:textId="77777777" w:rsidR="00B260E9" w:rsidRDefault="005042F6">
      <w:pPr>
        <w:pStyle w:val="ListParagraph"/>
        <w:numPr>
          <w:ilvl w:val="0"/>
          <w:numId w:val="2"/>
        </w:numPr>
        <w:spacing w:after="80"/>
      </w:pPr>
      <w:r>
        <w:t>The usage-ingestion endpoint is rate-limited per tenant via a Redis token bucket, so a misbehaving or malicious client cannot skew usage counters or run up an artificial bill for itself (or, in a shared-infra failure, for another tenant).</w:t>
      </w:r>
    </w:p>
    <w:p w14:paraId="78051ECA" w14:textId="77777777" w:rsidR="00B260E9" w:rsidRDefault="005042F6">
      <w:pPr>
        <w:pStyle w:val="ListParagraph"/>
        <w:numPr>
          <w:ilvl w:val="0"/>
          <w:numId w:val="2"/>
        </w:numPr>
        <w:spacing w:after="80"/>
      </w:pPr>
      <w:r>
        <w:t>Keycloak as an external identity provider is a named stretch goal (Section 13) — not required for the core design to be correct or complete.</w:t>
      </w:r>
    </w:p>
    <w:p w14:paraId="777B23B7" w14:textId="77777777" w:rsidR="00B260E9" w:rsidRDefault="005042F6">
      <w:pPr>
        <w:pStyle w:val="Heading1"/>
        <w:spacing w:before="360" w:after="160"/>
      </w:pPr>
      <w:bookmarkStart w:id="13" w:name="_Toc241071888"/>
      <w:r>
        <w:t>10. Non-Functional Requirements</w:t>
      </w:r>
      <w:bookmarkEnd w:id="13"/>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200"/>
      </w:tblGrid>
      <w:tr w:rsidR="00B260E9" w14:paraId="5C8713E4" w14:textId="77777777">
        <w:tblPrEx>
          <w:tblCellMar>
            <w:top w:w="0" w:type="dxa"/>
            <w:bottom w:w="0" w:type="dxa"/>
          </w:tblCellMar>
        </w:tblPrEx>
        <w:trPr>
          <w:tblHeader/>
        </w:trPr>
        <w:tc>
          <w:tcPr>
            <w:tcW w:w="3400" w:type="dxa"/>
            <w:shd w:val="clear" w:color="auto" w:fill="1F3B57"/>
            <w:tcMar>
              <w:top w:w="80" w:type="dxa"/>
              <w:left w:w="120" w:type="dxa"/>
              <w:bottom w:w="80" w:type="dxa"/>
              <w:right w:w="120" w:type="dxa"/>
            </w:tcMar>
          </w:tcPr>
          <w:p w14:paraId="4A1618E5" w14:textId="77777777" w:rsidR="00B260E9" w:rsidRDefault="005042F6">
            <w:r>
              <w:rPr>
                <w:b/>
                <w:bCs/>
                <w:color w:val="FFFFFF"/>
                <w:sz w:val="19"/>
                <w:szCs w:val="19"/>
              </w:rPr>
              <w:t>Category</w:t>
            </w:r>
          </w:p>
        </w:tc>
        <w:tc>
          <w:tcPr>
            <w:tcW w:w="6200" w:type="dxa"/>
            <w:shd w:val="clear" w:color="auto" w:fill="1F3B57"/>
            <w:tcMar>
              <w:top w:w="80" w:type="dxa"/>
              <w:left w:w="120" w:type="dxa"/>
              <w:bottom w:w="80" w:type="dxa"/>
              <w:right w:w="120" w:type="dxa"/>
            </w:tcMar>
          </w:tcPr>
          <w:p w14:paraId="4CC5D4F2" w14:textId="77777777" w:rsidR="00B260E9" w:rsidRDefault="005042F6">
            <w:r>
              <w:rPr>
                <w:b/>
                <w:bCs/>
                <w:color w:val="FFFFFF"/>
                <w:sz w:val="19"/>
                <w:szCs w:val="19"/>
              </w:rPr>
              <w:t>Requirement</w:t>
            </w:r>
          </w:p>
        </w:tc>
      </w:tr>
      <w:tr w:rsidR="00B260E9" w14:paraId="331CB6DC" w14:textId="77777777">
        <w:tblPrEx>
          <w:tblCellMar>
            <w:top w:w="0" w:type="dxa"/>
            <w:bottom w:w="0" w:type="dxa"/>
          </w:tblCellMar>
        </w:tblPrEx>
        <w:tc>
          <w:tcPr>
            <w:tcW w:w="3400" w:type="dxa"/>
            <w:tcMar>
              <w:top w:w="80" w:type="dxa"/>
              <w:left w:w="120" w:type="dxa"/>
              <w:bottom w:w="80" w:type="dxa"/>
              <w:right w:w="120" w:type="dxa"/>
            </w:tcMar>
          </w:tcPr>
          <w:p w14:paraId="4512F2B6" w14:textId="77777777" w:rsidR="00B260E9" w:rsidRDefault="005042F6">
            <w:r>
              <w:rPr>
                <w:sz w:val="19"/>
                <w:szCs w:val="19"/>
              </w:rPr>
              <w:t>Reliability</w:t>
            </w:r>
          </w:p>
        </w:tc>
        <w:tc>
          <w:tcPr>
            <w:tcW w:w="6200" w:type="dxa"/>
            <w:tcMar>
              <w:top w:w="80" w:type="dxa"/>
              <w:left w:w="120" w:type="dxa"/>
              <w:bottom w:w="80" w:type="dxa"/>
              <w:right w:w="120" w:type="dxa"/>
            </w:tcMar>
          </w:tcPr>
          <w:p w14:paraId="02F604A4" w14:textId="77777777" w:rsidR="00B260E9" w:rsidRDefault="005042F6">
            <w:r>
              <w:rPr>
                <w:sz w:val="19"/>
                <w:szCs w:val="19"/>
              </w:rPr>
              <w:t>At-least-once Kafka delivery is assumed; all consumers are idempotent by construction, not by convention.</w:t>
            </w:r>
          </w:p>
        </w:tc>
      </w:tr>
      <w:tr w:rsidR="00B260E9" w14:paraId="672ABFD0" w14:textId="77777777">
        <w:tblPrEx>
          <w:tblCellMar>
            <w:top w:w="0" w:type="dxa"/>
            <w:bottom w:w="0" w:type="dxa"/>
          </w:tblCellMar>
        </w:tblPrEx>
        <w:tc>
          <w:tcPr>
            <w:tcW w:w="3400" w:type="dxa"/>
            <w:tcMar>
              <w:top w:w="80" w:type="dxa"/>
              <w:left w:w="120" w:type="dxa"/>
              <w:bottom w:w="80" w:type="dxa"/>
              <w:right w:w="120" w:type="dxa"/>
            </w:tcMar>
          </w:tcPr>
          <w:p w14:paraId="6F9FE100" w14:textId="77777777" w:rsidR="00B260E9" w:rsidRDefault="005042F6">
            <w:r>
              <w:rPr>
                <w:sz w:val="19"/>
                <w:szCs w:val="19"/>
              </w:rPr>
              <w:t>Data integrity</w:t>
            </w:r>
          </w:p>
        </w:tc>
        <w:tc>
          <w:tcPr>
            <w:tcW w:w="6200" w:type="dxa"/>
            <w:tcMar>
              <w:top w:w="80" w:type="dxa"/>
              <w:left w:w="120" w:type="dxa"/>
              <w:bottom w:w="80" w:type="dxa"/>
              <w:right w:w="120" w:type="dxa"/>
            </w:tcMar>
          </w:tcPr>
          <w:p w14:paraId="6387ADFD" w14:textId="77777777" w:rsidR="00B260E9" w:rsidRDefault="005042F6">
            <w:r>
              <w:rPr>
                <w:sz w:val="19"/>
                <w:szCs w:val="19"/>
              </w:rPr>
              <w:t>No float/double in the billing domain; every monetary value is BigDecimal with one documented rounding rule.</w:t>
            </w:r>
          </w:p>
        </w:tc>
      </w:tr>
      <w:tr w:rsidR="00B260E9" w14:paraId="5E3AEA51" w14:textId="77777777">
        <w:tblPrEx>
          <w:tblCellMar>
            <w:top w:w="0" w:type="dxa"/>
            <w:bottom w:w="0" w:type="dxa"/>
          </w:tblCellMar>
        </w:tblPrEx>
        <w:tc>
          <w:tcPr>
            <w:tcW w:w="3400" w:type="dxa"/>
            <w:tcMar>
              <w:top w:w="80" w:type="dxa"/>
              <w:left w:w="120" w:type="dxa"/>
              <w:bottom w:w="80" w:type="dxa"/>
              <w:right w:w="120" w:type="dxa"/>
            </w:tcMar>
          </w:tcPr>
          <w:p w14:paraId="6E0D86E5" w14:textId="77777777" w:rsidR="00B260E9" w:rsidRDefault="005042F6">
            <w:r>
              <w:rPr>
                <w:sz w:val="19"/>
                <w:szCs w:val="19"/>
              </w:rPr>
              <w:t>Observability</w:t>
            </w:r>
          </w:p>
        </w:tc>
        <w:tc>
          <w:tcPr>
            <w:tcW w:w="6200" w:type="dxa"/>
            <w:tcMar>
              <w:top w:w="80" w:type="dxa"/>
              <w:left w:w="120" w:type="dxa"/>
              <w:bottom w:w="80" w:type="dxa"/>
              <w:right w:w="120" w:type="dxa"/>
            </w:tcMar>
          </w:tcPr>
          <w:p w14:paraId="17FCF475" w14:textId="77777777" w:rsidR="00B260E9" w:rsidRDefault="005042F6">
            <w:r>
              <w:rPr>
                <w:sz w:val="19"/>
                <w:szCs w:val="19"/>
              </w:rPr>
              <w:t>Structured JSON logs with a request/correlation ID; Micrometer metrics exposed for Prometheus; Grafana dashboard as a stretch goal.</w:t>
            </w:r>
          </w:p>
        </w:tc>
      </w:tr>
      <w:tr w:rsidR="00B260E9" w14:paraId="5353EF7C" w14:textId="77777777">
        <w:tblPrEx>
          <w:tblCellMar>
            <w:top w:w="0" w:type="dxa"/>
            <w:bottom w:w="0" w:type="dxa"/>
          </w:tblCellMar>
        </w:tblPrEx>
        <w:tc>
          <w:tcPr>
            <w:tcW w:w="3400" w:type="dxa"/>
            <w:tcMar>
              <w:top w:w="80" w:type="dxa"/>
              <w:left w:w="120" w:type="dxa"/>
              <w:bottom w:w="80" w:type="dxa"/>
              <w:right w:w="120" w:type="dxa"/>
            </w:tcMar>
          </w:tcPr>
          <w:p w14:paraId="153C2003" w14:textId="77777777" w:rsidR="00B260E9" w:rsidRDefault="005042F6">
            <w:r>
              <w:rPr>
                <w:sz w:val="19"/>
                <w:szCs w:val="19"/>
              </w:rPr>
              <w:t>Scalability (design target, not load-tested)</w:t>
            </w:r>
          </w:p>
        </w:tc>
        <w:tc>
          <w:tcPr>
            <w:tcW w:w="6200" w:type="dxa"/>
            <w:tcMar>
              <w:top w:w="80" w:type="dxa"/>
              <w:left w:w="120" w:type="dxa"/>
              <w:bottom w:w="80" w:type="dxa"/>
              <w:right w:w="120" w:type="dxa"/>
            </w:tcMar>
          </w:tcPr>
          <w:p w14:paraId="3EA4CCDC" w14:textId="77777777" w:rsidR="00B260E9" w:rsidRDefault="005042F6">
            <w:r>
              <w:rPr>
                <w:sz w:val="19"/>
                <w:szCs w:val="19"/>
              </w:rPr>
              <w:t>metering-service consumers scale horizontally via Kafka consumer groups partitioned by tenant_id.</w:t>
            </w:r>
          </w:p>
        </w:tc>
      </w:tr>
      <w:tr w:rsidR="00B260E9" w14:paraId="70256D12" w14:textId="77777777">
        <w:tblPrEx>
          <w:tblCellMar>
            <w:top w:w="0" w:type="dxa"/>
            <w:bottom w:w="0" w:type="dxa"/>
          </w:tblCellMar>
        </w:tblPrEx>
        <w:tc>
          <w:tcPr>
            <w:tcW w:w="3400" w:type="dxa"/>
            <w:tcMar>
              <w:top w:w="80" w:type="dxa"/>
              <w:left w:w="120" w:type="dxa"/>
              <w:bottom w:w="80" w:type="dxa"/>
              <w:right w:w="120" w:type="dxa"/>
            </w:tcMar>
          </w:tcPr>
          <w:p w14:paraId="56174089" w14:textId="77777777" w:rsidR="00B260E9" w:rsidRDefault="005042F6">
            <w:r>
              <w:rPr>
                <w:sz w:val="19"/>
                <w:szCs w:val="19"/>
              </w:rPr>
              <w:t>Isolation</w:t>
            </w:r>
          </w:p>
        </w:tc>
        <w:tc>
          <w:tcPr>
            <w:tcW w:w="6200" w:type="dxa"/>
            <w:tcMar>
              <w:top w:w="80" w:type="dxa"/>
              <w:left w:w="120" w:type="dxa"/>
              <w:bottom w:w="80" w:type="dxa"/>
              <w:right w:w="120" w:type="dxa"/>
            </w:tcMar>
          </w:tcPr>
          <w:p w14:paraId="5513B577" w14:textId="77777777" w:rsidR="00B260E9" w:rsidRDefault="005042F6">
            <w:r>
              <w:rPr>
                <w:sz w:val="19"/>
                <w:szCs w:val="19"/>
              </w:rPr>
              <w:t>No cross-tenant data access is possible even with a missing application-layer filter, enforced by RLS.</w:t>
            </w:r>
          </w:p>
        </w:tc>
      </w:tr>
    </w:tbl>
    <w:p w14:paraId="66D63962" w14:textId="77777777" w:rsidR="00B260E9" w:rsidRDefault="005042F6">
      <w:pPr>
        <w:pStyle w:val="Heading1"/>
        <w:spacing w:before="360" w:after="160"/>
      </w:pPr>
      <w:bookmarkStart w:id="14" w:name="_Toc241071889"/>
      <w:r>
        <w:t>11. Deployment &amp; Infrastructure</w:t>
      </w:r>
      <w:bookmarkEnd w:id="14"/>
    </w:p>
    <w:p w14:paraId="43644988" w14:textId="77777777" w:rsidR="00B260E9" w:rsidRDefault="005042F6">
      <w:pPr>
        <w:pStyle w:val="ListParagraph"/>
        <w:numPr>
          <w:ilvl w:val="0"/>
          <w:numId w:val="2"/>
        </w:numPr>
        <w:spacing w:after="80"/>
      </w:pPr>
      <w:r>
        <w:t>Local development: Docker Compose brings up PostgreSQL, Redis, Redpanda, and all Spring Boot services with one command.</w:t>
      </w:r>
    </w:p>
    <w:p w14:paraId="7965B394" w14:textId="77777777" w:rsidR="00B260E9" w:rsidRDefault="005042F6">
      <w:pPr>
        <w:pStyle w:val="ListParagraph"/>
        <w:numPr>
          <w:ilvl w:val="0"/>
          <w:numId w:val="2"/>
        </w:numPr>
        <w:spacing w:after="80"/>
      </w:pPr>
      <w:r>
        <w:t>CI: GitHub Actions runs unit tests on every push; integration tests use Testcontainers to spin up real Postgres and Kafka/Redpanda instances rather than mocks.</w:t>
      </w:r>
    </w:p>
    <w:p w14:paraId="4DA7386A" w14:textId="77777777" w:rsidR="00B260E9" w:rsidRDefault="005042F6">
      <w:pPr>
        <w:pStyle w:val="ListParagraph"/>
        <w:numPr>
          <w:ilvl w:val="0"/>
          <w:numId w:val="2"/>
        </w:numPr>
        <w:spacing w:after="80"/>
      </w:pPr>
      <w:r>
        <w:t>Kubernetes manifests (Deployments, Services, a ConfigMap per service) are a stretch goal for portfolio depth once the core system is functionally correct — not a prerequisite for a working demo.</w:t>
      </w:r>
    </w:p>
    <w:p w14:paraId="232C19E5" w14:textId="77777777" w:rsidR="00B260E9" w:rsidRDefault="005042F6">
      <w:pPr>
        <w:pStyle w:val="Heading1"/>
        <w:spacing w:before="360" w:after="160"/>
      </w:pPr>
      <w:bookmarkStart w:id="15" w:name="_Toc241071890"/>
      <w:r>
        <w:t>12. Testing Strategy</w:t>
      </w:r>
      <w:bookmarkEnd w:id="15"/>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00"/>
      </w:tblGrid>
      <w:tr w:rsidR="00B260E9" w14:paraId="5B59586B" w14:textId="77777777">
        <w:tblPrEx>
          <w:tblCellMar>
            <w:top w:w="0" w:type="dxa"/>
            <w:bottom w:w="0" w:type="dxa"/>
          </w:tblCellMar>
        </w:tblPrEx>
        <w:trPr>
          <w:tblHeader/>
        </w:trPr>
        <w:tc>
          <w:tcPr>
            <w:tcW w:w="3000" w:type="dxa"/>
            <w:shd w:val="clear" w:color="auto" w:fill="1F3B57"/>
            <w:tcMar>
              <w:top w:w="80" w:type="dxa"/>
              <w:left w:w="120" w:type="dxa"/>
              <w:bottom w:w="80" w:type="dxa"/>
              <w:right w:w="120" w:type="dxa"/>
            </w:tcMar>
          </w:tcPr>
          <w:p w14:paraId="6DEA226E" w14:textId="77777777" w:rsidR="00B260E9" w:rsidRDefault="005042F6">
            <w:r>
              <w:rPr>
                <w:b/>
                <w:bCs/>
                <w:color w:val="FFFFFF"/>
                <w:sz w:val="19"/>
                <w:szCs w:val="19"/>
              </w:rPr>
              <w:t>Layer</w:t>
            </w:r>
          </w:p>
        </w:tc>
        <w:tc>
          <w:tcPr>
            <w:tcW w:w="6600" w:type="dxa"/>
            <w:shd w:val="clear" w:color="auto" w:fill="1F3B57"/>
            <w:tcMar>
              <w:top w:w="80" w:type="dxa"/>
              <w:left w:w="120" w:type="dxa"/>
              <w:bottom w:w="80" w:type="dxa"/>
              <w:right w:w="120" w:type="dxa"/>
            </w:tcMar>
          </w:tcPr>
          <w:p w14:paraId="4A37D7A9" w14:textId="77777777" w:rsidR="00B260E9" w:rsidRDefault="005042F6">
            <w:r>
              <w:rPr>
                <w:b/>
                <w:bCs/>
                <w:color w:val="FFFFFF"/>
                <w:sz w:val="19"/>
                <w:szCs w:val="19"/>
              </w:rPr>
              <w:t>What is tested</w:t>
            </w:r>
          </w:p>
        </w:tc>
      </w:tr>
      <w:tr w:rsidR="00B260E9" w14:paraId="01323093" w14:textId="77777777">
        <w:tblPrEx>
          <w:tblCellMar>
            <w:top w:w="0" w:type="dxa"/>
            <w:bottom w:w="0" w:type="dxa"/>
          </w:tblCellMar>
        </w:tblPrEx>
        <w:tc>
          <w:tcPr>
            <w:tcW w:w="3000" w:type="dxa"/>
            <w:tcMar>
              <w:top w:w="80" w:type="dxa"/>
              <w:left w:w="120" w:type="dxa"/>
              <w:bottom w:w="80" w:type="dxa"/>
              <w:right w:w="120" w:type="dxa"/>
            </w:tcMar>
          </w:tcPr>
          <w:p w14:paraId="0DA1DB8A" w14:textId="77777777" w:rsidR="00B260E9" w:rsidRDefault="005042F6">
            <w:r>
              <w:rPr>
                <w:sz w:val="19"/>
                <w:szCs w:val="19"/>
              </w:rPr>
              <w:t>Unit — billing</w:t>
            </w:r>
          </w:p>
        </w:tc>
        <w:tc>
          <w:tcPr>
            <w:tcW w:w="6600" w:type="dxa"/>
            <w:tcMar>
              <w:top w:w="80" w:type="dxa"/>
              <w:left w:w="120" w:type="dxa"/>
              <w:bottom w:w="80" w:type="dxa"/>
              <w:right w:w="120" w:type="dxa"/>
            </w:tcMar>
          </w:tcPr>
          <w:p w14:paraId="156FE85F" w14:textId="77777777" w:rsidR="00B260E9" w:rsidRDefault="005042F6">
            <w:r>
              <w:rPr>
                <w:sz w:val="19"/>
                <w:szCs w:val="19"/>
              </w:rPr>
              <w:t>Tier-boundary edge cases (usage exactly at included_units, usage spanning two tiers, zero usage) against hand-calculated expected totals</w:t>
            </w:r>
          </w:p>
        </w:tc>
      </w:tr>
      <w:tr w:rsidR="00B260E9" w14:paraId="52EA0301" w14:textId="77777777">
        <w:tblPrEx>
          <w:tblCellMar>
            <w:top w:w="0" w:type="dxa"/>
            <w:bottom w:w="0" w:type="dxa"/>
          </w:tblCellMar>
        </w:tblPrEx>
        <w:tc>
          <w:tcPr>
            <w:tcW w:w="3000" w:type="dxa"/>
            <w:tcMar>
              <w:top w:w="80" w:type="dxa"/>
              <w:left w:w="120" w:type="dxa"/>
              <w:bottom w:w="80" w:type="dxa"/>
              <w:right w:w="120" w:type="dxa"/>
            </w:tcMar>
          </w:tcPr>
          <w:p w14:paraId="7D7E2362" w14:textId="77777777" w:rsidR="00B260E9" w:rsidRDefault="005042F6">
            <w:r>
              <w:rPr>
                <w:sz w:val="19"/>
                <w:szCs w:val="19"/>
              </w:rPr>
              <w:t>Integration — metering</w:t>
            </w:r>
          </w:p>
        </w:tc>
        <w:tc>
          <w:tcPr>
            <w:tcW w:w="6600" w:type="dxa"/>
            <w:tcMar>
              <w:top w:w="80" w:type="dxa"/>
              <w:left w:w="120" w:type="dxa"/>
              <w:bottom w:w="80" w:type="dxa"/>
              <w:right w:w="120" w:type="dxa"/>
            </w:tcMar>
          </w:tcPr>
          <w:p w14:paraId="6B205857" w14:textId="77777777" w:rsidR="00B260E9" w:rsidRDefault="005042F6">
            <w:r>
              <w:rPr>
                <w:sz w:val="19"/>
                <w:szCs w:val="19"/>
              </w:rPr>
              <w:t>Testcontainers Postgres + Redpanda: duplicate idempotency_key and simulated Kafka redelivery both produce exactly one counted event</w:t>
            </w:r>
          </w:p>
        </w:tc>
      </w:tr>
      <w:tr w:rsidR="00B260E9" w14:paraId="1AD169EE" w14:textId="77777777">
        <w:tblPrEx>
          <w:tblCellMar>
            <w:top w:w="0" w:type="dxa"/>
            <w:bottom w:w="0" w:type="dxa"/>
          </w:tblCellMar>
        </w:tblPrEx>
        <w:tc>
          <w:tcPr>
            <w:tcW w:w="3000" w:type="dxa"/>
            <w:tcMar>
              <w:top w:w="80" w:type="dxa"/>
              <w:left w:w="120" w:type="dxa"/>
              <w:bottom w:w="80" w:type="dxa"/>
              <w:right w:w="120" w:type="dxa"/>
            </w:tcMar>
          </w:tcPr>
          <w:p w14:paraId="768231E0" w14:textId="77777777" w:rsidR="00B260E9" w:rsidRDefault="005042F6">
            <w:r>
              <w:rPr>
                <w:sz w:val="19"/>
                <w:szCs w:val="19"/>
              </w:rPr>
              <w:t>Integration — RLS</w:t>
            </w:r>
          </w:p>
        </w:tc>
        <w:tc>
          <w:tcPr>
            <w:tcW w:w="6600" w:type="dxa"/>
            <w:tcMar>
              <w:top w:w="80" w:type="dxa"/>
              <w:left w:w="120" w:type="dxa"/>
              <w:bottom w:w="80" w:type="dxa"/>
              <w:right w:w="120" w:type="dxa"/>
            </w:tcMar>
          </w:tcPr>
          <w:p w14:paraId="7BC04985" w14:textId="77777777" w:rsidR="00B260E9" w:rsidRDefault="005042F6">
            <w:r>
              <w:rPr>
                <w:sz w:val="19"/>
                <w:szCs w:val="19"/>
              </w:rPr>
              <w:t>A query missing its tenant filter still returns only the correct tenant's rows under pooled-connection reuse</w:t>
            </w:r>
          </w:p>
        </w:tc>
      </w:tr>
      <w:tr w:rsidR="00B260E9" w14:paraId="3941B549" w14:textId="77777777">
        <w:tblPrEx>
          <w:tblCellMar>
            <w:top w:w="0" w:type="dxa"/>
            <w:bottom w:w="0" w:type="dxa"/>
          </w:tblCellMar>
        </w:tblPrEx>
        <w:tc>
          <w:tcPr>
            <w:tcW w:w="3000" w:type="dxa"/>
            <w:tcMar>
              <w:top w:w="80" w:type="dxa"/>
              <w:left w:w="120" w:type="dxa"/>
              <w:bottom w:w="80" w:type="dxa"/>
              <w:right w:w="120" w:type="dxa"/>
            </w:tcMar>
          </w:tcPr>
          <w:p w14:paraId="6ED9979D" w14:textId="77777777" w:rsidR="00B260E9" w:rsidRDefault="005042F6">
            <w:r>
              <w:rPr>
                <w:sz w:val="19"/>
                <w:szCs w:val="19"/>
              </w:rPr>
              <w:t>Frontend — dashboard</w:t>
            </w:r>
          </w:p>
        </w:tc>
        <w:tc>
          <w:tcPr>
            <w:tcW w:w="6600" w:type="dxa"/>
            <w:tcMar>
              <w:top w:w="80" w:type="dxa"/>
              <w:left w:w="120" w:type="dxa"/>
              <w:bottom w:w="80" w:type="dxa"/>
              <w:right w:w="120" w:type="dxa"/>
            </w:tcMar>
          </w:tcPr>
          <w:p w14:paraId="2C9A5F2B" w14:textId="77777777" w:rsidR="00B260E9" w:rsidRDefault="005042F6">
            <w:r>
              <w:rPr>
                <w:sz w:val="19"/>
                <w:szCs w:val="19"/>
              </w:rPr>
              <w:t>Angular component test asserting the chart updates correctly given a mocked STOMP payload</w:t>
            </w:r>
          </w:p>
        </w:tc>
      </w:tr>
      <w:tr w:rsidR="00B260E9" w14:paraId="3CDB2FC7" w14:textId="77777777">
        <w:tblPrEx>
          <w:tblCellMar>
            <w:top w:w="0" w:type="dxa"/>
            <w:bottom w:w="0" w:type="dxa"/>
          </w:tblCellMar>
        </w:tblPrEx>
        <w:tc>
          <w:tcPr>
            <w:tcW w:w="3000" w:type="dxa"/>
            <w:tcMar>
              <w:top w:w="80" w:type="dxa"/>
              <w:left w:w="120" w:type="dxa"/>
              <w:bottom w:w="80" w:type="dxa"/>
              <w:right w:w="120" w:type="dxa"/>
            </w:tcMar>
          </w:tcPr>
          <w:p w14:paraId="28D481FF" w14:textId="77777777" w:rsidR="00B260E9" w:rsidRDefault="005042F6">
            <w:r>
              <w:rPr>
                <w:sz w:val="19"/>
                <w:szCs w:val="19"/>
              </w:rPr>
              <w:t>End-to-end — billing idempotency</w:t>
            </w:r>
          </w:p>
        </w:tc>
        <w:tc>
          <w:tcPr>
            <w:tcW w:w="6600" w:type="dxa"/>
            <w:tcMar>
              <w:top w:w="80" w:type="dxa"/>
              <w:left w:w="120" w:type="dxa"/>
              <w:bottom w:w="80" w:type="dxa"/>
              <w:right w:w="120" w:type="dxa"/>
            </w:tcMar>
          </w:tcPr>
          <w:p w14:paraId="7B8BCA42" w14:textId="77777777" w:rsidR="00B260E9" w:rsidRDefault="005042F6">
            <w:r>
              <w:rPr>
                <w:sz w:val="19"/>
                <w:szCs w:val="19"/>
              </w:rPr>
              <w:t>Re-running the billing job for an already-invoiced period produces no duplicate Invoice row</w:t>
            </w:r>
          </w:p>
        </w:tc>
      </w:tr>
    </w:tbl>
    <w:p w14:paraId="3FC4AB0D" w14:textId="77777777" w:rsidR="00B260E9" w:rsidRDefault="005042F6">
      <w:pPr>
        <w:pStyle w:val="Heading1"/>
        <w:spacing w:before="360" w:after="160"/>
      </w:pPr>
      <w:bookmarkStart w:id="16" w:name="_Toc241071891"/>
      <w:r>
        <w:t>13. Milestones &amp; Phased Delivery Plan</w:t>
      </w:r>
      <w:bookmarkEnd w:id="16"/>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00"/>
      </w:tblGrid>
      <w:tr w:rsidR="00B260E9" w14:paraId="777990FF" w14:textId="77777777">
        <w:tblPrEx>
          <w:tblCellMar>
            <w:top w:w="0" w:type="dxa"/>
            <w:bottom w:w="0" w:type="dxa"/>
          </w:tblCellMar>
        </w:tblPrEx>
        <w:trPr>
          <w:tblHeader/>
        </w:trPr>
        <w:tc>
          <w:tcPr>
            <w:tcW w:w="3000" w:type="dxa"/>
            <w:shd w:val="clear" w:color="auto" w:fill="1F3B57"/>
            <w:tcMar>
              <w:top w:w="80" w:type="dxa"/>
              <w:left w:w="120" w:type="dxa"/>
              <w:bottom w:w="80" w:type="dxa"/>
              <w:right w:w="120" w:type="dxa"/>
            </w:tcMar>
          </w:tcPr>
          <w:p w14:paraId="76E2EFAE" w14:textId="77777777" w:rsidR="00B260E9" w:rsidRDefault="005042F6">
            <w:r>
              <w:rPr>
                <w:b/>
                <w:bCs/>
                <w:color w:val="FFFFFF"/>
                <w:sz w:val="19"/>
                <w:szCs w:val="19"/>
              </w:rPr>
              <w:t>Phase</w:t>
            </w:r>
          </w:p>
        </w:tc>
        <w:tc>
          <w:tcPr>
            <w:tcW w:w="6600" w:type="dxa"/>
            <w:shd w:val="clear" w:color="auto" w:fill="1F3B57"/>
            <w:tcMar>
              <w:top w:w="80" w:type="dxa"/>
              <w:left w:w="120" w:type="dxa"/>
              <w:bottom w:w="80" w:type="dxa"/>
              <w:right w:w="120" w:type="dxa"/>
            </w:tcMar>
          </w:tcPr>
          <w:p w14:paraId="7B11DDDE" w14:textId="77777777" w:rsidR="00B260E9" w:rsidRDefault="005042F6">
            <w:r>
              <w:rPr>
                <w:b/>
                <w:bCs/>
                <w:color w:val="FFFFFF"/>
                <w:sz w:val="19"/>
                <w:szCs w:val="19"/>
              </w:rPr>
              <w:t>Deliverable</w:t>
            </w:r>
          </w:p>
        </w:tc>
      </w:tr>
      <w:tr w:rsidR="00B260E9" w14:paraId="3DDBC323" w14:textId="77777777">
        <w:tblPrEx>
          <w:tblCellMar>
            <w:top w:w="0" w:type="dxa"/>
            <w:bottom w:w="0" w:type="dxa"/>
          </w:tblCellMar>
        </w:tblPrEx>
        <w:tc>
          <w:tcPr>
            <w:tcW w:w="3000" w:type="dxa"/>
            <w:tcMar>
              <w:top w:w="80" w:type="dxa"/>
              <w:left w:w="120" w:type="dxa"/>
              <w:bottom w:w="80" w:type="dxa"/>
              <w:right w:w="120" w:type="dxa"/>
            </w:tcMar>
          </w:tcPr>
          <w:p w14:paraId="0DBC7084" w14:textId="77777777" w:rsidR="00B260E9" w:rsidRDefault="005042F6">
            <w:r>
              <w:rPr>
                <w:sz w:val="19"/>
                <w:szCs w:val="19"/>
              </w:rPr>
              <w:t>Phase 0 — POC (see companion POC document)</w:t>
            </w:r>
          </w:p>
        </w:tc>
        <w:tc>
          <w:tcPr>
            <w:tcW w:w="6600" w:type="dxa"/>
            <w:tcMar>
              <w:top w:w="80" w:type="dxa"/>
              <w:left w:w="120" w:type="dxa"/>
              <w:bottom w:w="80" w:type="dxa"/>
              <w:right w:w="120" w:type="dxa"/>
            </w:tcMar>
          </w:tcPr>
          <w:p w14:paraId="11351E65" w14:textId="77777777" w:rsidR="00B260E9" w:rsidRDefault="005042F6">
            <w:r>
              <w:rPr>
                <w:sz w:val="19"/>
                <w:szCs w:val="19"/>
              </w:rPr>
              <w:t>Single-tenant metering, RLS proof, live dashboard, one tiered invoice — validates the riskiest design decisions before full build</w:t>
            </w:r>
          </w:p>
        </w:tc>
      </w:tr>
      <w:tr w:rsidR="00B260E9" w14:paraId="04A3A34D" w14:textId="77777777">
        <w:tblPrEx>
          <w:tblCellMar>
            <w:top w:w="0" w:type="dxa"/>
            <w:bottom w:w="0" w:type="dxa"/>
          </w:tblCellMar>
        </w:tblPrEx>
        <w:tc>
          <w:tcPr>
            <w:tcW w:w="3000" w:type="dxa"/>
            <w:tcMar>
              <w:top w:w="80" w:type="dxa"/>
              <w:left w:w="120" w:type="dxa"/>
              <w:bottom w:w="80" w:type="dxa"/>
              <w:right w:w="120" w:type="dxa"/>
            </w:tcMar>
          </w:tcPr>
          <w:p w14:paraId="32D9E344" w14:textId="77777777" w:rsidR="00B260E9" w:rsidRDefault="005042F6">
            <w:r>
              <w:rPr>
                <w:sz w:val="19"/>
                <w:szCs w:val="19"/>
              </w:rPr>
              <w:t>Phase 1 — Core MVP</w:t>
            </w:r>
          </w:p>
        </w:tc>
        <w:tc>
          <w:tcPr>
            <w:tcW w:w="6600" w:type="dxa"/>
            <w:tcMar>
              <w:top w:w="80" w:type="dxa"/>
              <w:left w:w="120" w:type="dxa"/>
              <w:bottom w:w="80" w:type="dxa"/>
              <w:right w:w="120" w:type="dxa"/>
            </w:tcMar>
          </w:tcPr>
          <w:p w14:paraId="6BF08177" w14:textId="77777777" w:rsidR="00B260E9" w:rsidRDefault="005042F6">
            <w:r>
              <w:rPr>
                <w:sz w:val="19"/>
                <w:szCs w:val="19"/>
              </w:rPr>
              <w:t>Multi-tenant onboarding, full ingestion/metering/billing services, Angular auth + dashboard + billing views</w:t>
            </w:r>
          </w:p>
        </w:tc>
      </w:tr>
      <w:tr w:rsidR="00B260E9" w14:paraId="6A5290B3" w14:textId="77777777">
        <w:tblPrEx>
          <w:tblCellMar>
            <w:top w:w="0" w:type="dxa"/>
            <w:bottom w:w="0" w:type="dxa"/>
          </w:tblCellMar>
        </w:tblPrEx>
        <w:tc>
          <w:tcPr>
            <w:tcW w:w="3000" w:type="dxa"/>
            <w:tcMar>
              <w:top w:w="80" w:type="dxa"/>
              <w:left w:w="120" w:type="dxa"/>
              <w:bottom w:w="80" w:type="dxa"/>
              <w:right w:w="120" w:type="dxa"/>
            </w:tcMar>
          </w:tcPr>
          <w:p w14:paraId="14BC7833" w14:textId="77777777" w:rsidR="00B260E9" w:rsidRDefault="005042F6">
            <w:r>
              <w:rPr>
                <w:sz w:val="19"/>
                <w:szCs w:val="19"/>
              </w:rPr>
              <w:t>Phase 2 — Hardening</w:t>
            </w:r>
          </w:p>
        </w:tc>
        <w:tc>
          <w:tcPr>
            <w:tcW w:w="6600" w:type="dxa"/>
            <w:tcMar>
              <w:top w:w="80" w:type="dxa"/>
              <w:left w:w="120" w:type="dxa"/>
              <w:bottom w:w="80" w:type="dxa"/>
              <w:right w:w="120" w:type="dxa"/>
            </w:tcMar>
          </w:tcPr>
          <w:p w14:paraId="1D5BEAFC" w14:textId="77777777" w:rsidR="00B260E9" w:rsidRDefault="005042F6">
            <w:r>
              <w:rPr>
                <w:sz w:val="19"/>
                <w:szCs w:val="19"/>
              </w:rPr>
              <w:t>Rate limiting, RLS edge-case tests, reconciliation job, CI with Testcontainers</w:t>
            </w:r>
          </w:p>
        </w:tc>
      </w:tr>
      <w:tr w:rsidR="00B260E9" w14:paraId="727B48DD" w14:textId="77777777">
        <w:tblPrEx>
          <w:tblCellMar>
            <w:top w:w="0" w:type="dxa"/>
            <w:bottom w:w="0" w:type="dxa"/>
          </w:tblCellMar>
        </w:tblPrEx>
        <w:tc>
          <w:tcPr>
            <w:tcW w:w="3000" w:type="dxa"/>
            <w:tcMar>
              <w:top w:w="80" w:type="dxa"/>
              <w:left w:w="120" w:type="dxa"/>
              <w:bottom w:w="80" w:type="dxa"/>
              <w:right w:w="120" w:type="dxa"/>
            </w:tcMar>
          </w:tcPr>
          <w:p w14:paraId="7C8603FB" w14:textId="77777777" w:rsidR="00B260E9" w:rsidRDefault="005042F6">
            <w:r>
              <w:rPr>
                <w:sz w:val="19"/>
                <w:szCs w:val="19"/>
              </w:rPr>
              <w:t>Phase 3 — Stretch</w:t>
            </w:r>
          </w:p>
        </w:tc>
        <w:tc>
          <w:tcPr>
            <w:tcW w:w="6600" w:type="dxa"/>
            <w:tcMar>
              <w:top w:w="80" w:type="dxa"/>
              <w:left w:w="120" w:type="dxa"/>
              <w:bottom w:w="80" w:type="dxa"/>
              <w:right w:w="120" w:type="dxa"/>
            </w:tcMar>
          </w:tcPr>
          <w:p w14:paraId="3C53B609" w14:textId="77777777" w:rsidR="00B260E9" w:rsidRDefault="005042F6">
            <w:r>
              <w:rPr>
                <w:sz w:val="19"/>
                <w:szCs w:val="19"/>
              </w:rPr>
              <w:t>Kubernetes manifests, Keycloak, Prometheus/Grafana observability, notification-service</w:t>
            </w:r>
          </w:p>
        </w:tc>
      </w:tr>
    </w:tbl>
    <w:p w14:paraId="7EA73F11" w14:textId="77777777" w:rsidR="00B260E9" w:rsidRDefault="005042F6">
      <w:pPr>
        <w:pStyle w:val="Heading1"/>
        <w:spacing w:before="360" w:after="160"/>
      </w:pPr>
      <w:bookmarkStart w:id="17" w:name="_Toc241071892"/>
      <w:r>
        <w:t>14. Risks &amp; Open Questions</w:t>
      </w:r>
      <w:bookmarkEnd w:id="17"/>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200"/>
      </w:tblGrid>
      <w:tr w:rsidR="00B260E9" w14:paraId="2D0A1FEA" w14:textId="77777777">
        <w:tblPrEx>
          <w:tblCellMar>
            <w:top w:w="0" w:type="dxa"/>
            <w:bottom w:w="0" w:type="dxa"/>
          </w:tblCellMar>
        </w:tblPrEx>
        <w:trPr>
          <w:tblHeader/>
        </w:trPr>
        <w:tc>
          <w:tcPr>
            <w:tcW w:w="3400" w:type="dxa"/>
            <w:shd w:val="clear" w:color="auto" w:fill="1F3B57"/>
            <w:tcMar>
              <w:top w:w="80" w:type="dxa"/>
              <w:left w:w="120" w:type="dxa"/>
              <w:bottom w:w="80" w:type="dxa"/>
              <w:right w:w="120" w:type="dxa"/>
            </w:tcMar>
          </w:tcPr>
          <w:p w14:paraId="712B67E2" w14:textId="77777777" w:rsidR="00B260E9" w:rsidRDefault="005042F6">
            <w:r>
              <w:rPr>
                <w:b/>
                <w:bCs/>
                <w:color w:val="FFFFFF"/>
                <w:sz w:val="19"/>
                <w:szCs w:val="19"/>
              </w:rPr>
              <w:t>Risk / question</w:t>
            </w:r>
          </w:p>
        </w:tc>
        <w:tc>
          <w:tcPr>
            <w:tcW w:w="6200" w:type="dxa"/>
            <w:shd w:val="clear" w:color="auto" w:fill="1F3B57"/>
            <w:tcMar>
              <w:top w:w="80" w:type="dxa"/>
              <w:left w:w="120" w:type="dxa"/>
              <w:bottom w:w="80" w:type="dxa"/>
              <w:right w:w="120" w:type="dxa"/>
            </w:tcMar>
          </w:tcPr>
          <w:p w14:paraId="293D3AEB" w14:textId="77777777" w:rsidR="00B260E9" w:rsidRDefault="005042F6">
            <w:r>
              <w:rPr>
                <w:b/>
                <w:bCs/>
                <w:color w:val="FFFFFF"/>
                <w:sz w:val="19"/>
                <w:szCs w:val="19"/>
              </w:rPr>
              <w:t>Current position</w:t>
            </w:r>
          </w:p>
        </w:tc>
      </w:tr>
      <w:tr w:rsidR="00B260E9" w14:paraId="1F4652CF" w14:textId="77777777">
        <w:tblPrEx>
          <w:tblCellMar>
            <w:top w:w="0" w:type="dxa"/>
            <w:bottom w:w="0" w:type="dxa"/>
          </w:tblCellMar>
        </w:tblPrEx>
        <w:tc>
          <w:tcPr>
            <w:tcW w:w="3400" w:type="dxa"/>
            <w:tcMar>
              <w:top w:w="80" w:type="dxa"/>
              <w:left w:w="120" w:type="dxa"/>
              <w:bottom w:w="80" w:type="dxa"/>
              <w:right w:w="120" w:type="dxa"/>
            </w:tcMar>
          </w:tcPr>
          <w:p w14:paraId="787725FA" w14:textId="77777777" w:rsidR="00B260E9" w:rsidRDefault="005042F6">
            <w:r>
              <w:rPr>
                <w:sz w:val="19"/>
                <w:szCs w:val="19"/>
              </w:rPr>
              <w:t>Kafka operational overhead for a portfolio-scale project</w:t>
            </w:r>
          </w:p>
        </w:tc>
        <w:tc>
          <w:tcPr>
            <w:tcW w:w="6200" w:type="dxa"/>
            <w:tcMar>
              <w:top w:w="80" w:type="dxa"/>
              <w:left w:w="120" w:type="dxa"/>
              <w:bottom w:w="80" w:type="dxa"/>
              <w:right w:w="120" w:type="dxa"/>
            </w:tcMar>
          </w:tcPr>
          <w:p w14:paraId="0DF8DD16" w14:textId="77777777" w:rsidR="00B260E9" w:rsidRDefault="005042F6">
            <w:r>
              <w:rPr>
                <w:sz w:val="19"/>
                <w:szCs w:val="19"/>
              </w:rPr>
              <w:t>Use Redpanda locally (Kafka-API compatible, single binary); document the substitution explicitly rather than silently pretending it's Kafka.</w:t>
            </w:r>
          </w:p>
        </w:tc>
      </w:tr>
      <w:tr w:rsidR="00B260E9" w14:paraId="7D35A1EC" w14:textId="77777777">
        <w:tblPrEx>
          <w:tblCellMar>
            <w:top w:w="0" w:type="dxa"/>
            <w:bottom w:w="0" w:type="dxa"/>
          </w:tblCellMar>
        </w:tblPrEx>
        <w:tc>
          <w:tcPr>
            <w:tcW w:w="3400" w:type="dxa"/>
            <w:tcMar>
              <w:top w:w="80" w:type="dxa"/>
              <w:left w:w="120" w:type="dxa"/>
              <w:bottom w:w="80" w:type="dxa"/>
              <w:right w:w="120" w:type="dxa"/>
            </w:tcMar>
          </w:tcPr>
          <w:p w14:paraId="67E3A36B" w14:textId="77777777" w:rsidR="00B260E9" w:rsidRDefault="005042F6">
            <w:r>
              <w:rPr>
                <w:sz w:val="19"/>
                <w:szCs w:val="19"/>
              </w:rPr>
              <w:t>RLS + connection pooling is the fiddliest integration point in the whole system</w:t>
            </w:r>
          </w:p>
        </w:tc>
        <w:tc>
          <w:tcPr>
            <w:tcW w:w="6200" w:type="dxa"/>
            <w:tcMar>
              <w:top w:w="80" w:type="dxa"/>
              <w:left w:w="120" w:type="dxa"/>
              <w:bottom w:w="80" w:type="dxa"/>
              <w:right w:w="120" w:type="dxa"/>
            </w:tcMar>
          </w:tcPr>
          <w:p w14:paraId="23012002" w14:textId="77777777" w:rsidR="00B260E9" w:rsidRDefault="005042F6">
            <w:r>
              <w:rPr>
                <w:sz w:val="19"/>
                <w:szCs w:val="19"/>
              </w:rPr>
              <w:t>Treated as the highest-risk item; validated first, in the POC, before anything else is built on top of it.</w:t>
            </w:r>
          </w:p>
        </w:tc>
      </w:tr>
      <w:tr w:rsidR="00B260E9" w14:paraId="741C1126" w14:textId="77777777">
        <w:tblPrEx>
          <w:tblCellMar>
            <w:top w:w="0" w:type="dxa"/>
            <w:bottom w:w="0" w:type="dxa"/>
          </w:tblCellMar>
        </w:tblPrEx>
        <w:tc>
          <w:tcPr>
            <w:tcW w:w="3400" w:type="dxa"/>
            <w:tcMar>
              <w:top w:w="80" w:type="dxa"/>
              <w:left w:w="120" w:type="dxa"/>
              <w:bottom w:w="80" w:type="dxa"/>
              <w:right w:w="120" w:type="dxa"/>
            </w:tcMar>
          </w:tcPr>
          <w:p w14:paraId="0D91D997" w14:textId="77777777" w:rsidR="00B260E9" w:rsidRDefault="005042F6">
            <w:r>
              <w:rPr>
                <w:sz w:val="19"/>
                <w:szCs w:val="19"/>
              </w:rPr>
              <w:t>Scope creep toward a real payment processor</w:t>
            </w:r>
          </w:p>
        </w:tc>
        <w:tc>
          <w:tcPr>
            <w:tcW w:w="6200" w:type="dxa"/>
            <w:tcMar>
              <w:top w:w="80" w:type="dxa"/>
              <w:left w:w="120" w:type="dxa"/>
              <w:bottom w:w="80" w:type="dxa"/>
              <w:right w:w="120" w:type="dxa"/>
            </w:tcMar>
          </w:tcPr>
          <w:p w14:paraId="2F553D43" w14:textId="77777777" w:rsidR="00B260E9" w:rsidRDefault="005042F6">
            <w:r>
              <w:rPr>
                <w:sz w:val="19"/>
                <w:szCs w:val="19"/>
              </w:rPr>
              <w:t>Explicitly out of scope for the entire project — Meterly generates invoices, it does not collect payment. Revisit only if there is a specific reason to add it later.</w:t>
            </w:r>
          </w:p>
        </w:tc>
      </w:tr>
      <w:tr w:rsidR="00B260E9" w14:paraId="38BEE831" w14:textId="77777777">
        <w:tblPrEx>
          <w:tblCellMar>
            <w:top w:w="0" w:type="dxa"/>
            <w:bottom w:w="0" w:type="dxa"/>
          </w:tblCellMar>
        </w:tblPrEx>
        <w:tc>
          <w:tcPr>
            <w:tcW w:w="3400" w:type="dxa"/>
            <w:tcMar>
              <w:top w:w="80" w:type="dxa"/>
              <w:left w:w="120" w:type="dxa"/>
              <w:bottom w:w="80" w:type="dxa"/>
              <w:right w:w="120" w:type="dxa"/>
            </w:tcMar>
          </w:tcPr>
          <w:p w14:paraId="73CAC887" w14:textId="77777777" w:rsidR="00B260E9" w:rsidRDefault="005042F6">
            <w:r>
              <w:rPr>
                <w:sz w:val="19"/>
                <w:szCs w:val="19"/>
              </w:rPr>
              <w:t>Multi-currency and tax</w:t>
            </w:r>
          </w:p>
        </w:tc>
        <w:tc>
          <w:tcPr>
            <w:tcW w:w="6200" w:type="dxa"/>
            <w:tcMar>
              <w:top w:w="80" w:type="dxa"/>
              <w:left w:w="120" w:type="dxa"/>
              <w:bottom w:w="80" w:type="dxa"/>
              <w:right w:w="120" w:type="dxa"/>
            </w:tcMar>
          </w:tcPr>
          <w:p w14:paraId="457BC845" w14:textId="77777777" w:rsidR="00B260E9" w:rsidRDefault="005042F6">
            <w:r>
              <w:rPr>
                <w:sz w:val="19"/>
                <w:szCs w:val="19"/>
              </w:rPr>
              <w:t>Deferred indefinitely; named here so it is a deliberate decision, not a silent gap.</w:t>
            </w:r>
          </w:p>
        </w:tc>
      </w:tr>
    </w:tbl>
    <w:p w14:paraId="0EDE7393" w14:textId="77777777" w:rsidR="00B260E9" w:rsidRDefault="005042F6">
      <w:pPr>
        <w:pStyle w:val="Heading1"/>
        <w:spacing w:before="360" w:after="160"/>
      </w:pPr>
      <w:bookmarkStart w:id="18" w:name="_Toc241071893"/>
      <w:r>
        <w:t>15. Java Implementation Design</w:t>
      </w:r>
      <w:bookmarkEnd w:id="18"/>
    </w:p>
    <w:p w14:paraId="070484BB" w14:textId="77777777" w:rsidR="00B260E9" w:rsidRDefault="005042F6">
      <w:pPr>
        <w:spacing w:after="160"/>
      </w:pPr>
      <w:r>
        <w:t>This section records how the design above is realized in Java 21, and why Java is the right tool for each hard problem. The rationale is kept in the repository as docs/why-java.md.</w:t>
      </w:r>
    </w:p>
    <w:p w14:paraId="5364A17F" w14:textId="77777777" w:rsidR="00B260E9" w:rsidRDefault="005042F6">
      <w:pPr>
        <w:pStyle w:val="Heading2"/>
        <w:spacing w:before="280" w:after="120"/>
      </w:pPr>
      <w:bookmarkStart w:id="19" w:name="_Toc241071894"/>
      <w:r>
        <w:t>15.1 Why Java — requirement to feature</w:t>
      </w:r>
      <w:bookmarkEnd w:id="19"/>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600"/>
        <w:gridCol w:w="3800"/>
      </w:tblGrid>
      <w:tr w:rsidR="00B260E9" w14:paraId="53055CC0" w14:textId="77777777">
        <w:tblPrEx>
          <w:tblCellMar>
            <w:top w:w="0" w:type="dxa"/>
            <w:bottom w:w="0" w:type="dxa"/>
          </w:tblCellMar>
        </w:tblPrEx>
        <w:trPr>
          <w:tblHeader/>
        </w:trPr>
        <w:tc>
          <w:tcPr>
            <w:tcW w:w="3000" w:type="dxa"/>
            <w:shd w:val="clear" w:color="auto" w:fill="1F3B57"/>
            <w:tcMar>
              <w:top w:w="80" w:type="dxa"/>
              <w:left w:w="120" w:type="dxa"/>
              <w:bottom w:w="80" w:type="dxa"/>
              <w:right w:w="120" w:type="dxa"/>
            </w:tcMar>
          </w:tcPr>
          <w:p w14:paraId="56945B61" w14:textId="77777777" w:rsidR="00B260E9" w:rsidRDefault="005042F6">
            <w:r>
              <w:rPr>
                <w:b/>
                <w:bCs/>
                <w:color w:val="FFFFFF"/>
                <w:sz w:val="19"/>
                <w:szCs w:val="19"/>
              </w:rPr>
              <w:t>Requirement</w:t>
            </w:r>
          </w:p>
        </w:tc>
        <w:tc>
          <w:tcPr>
            <w:tcW w:w="3600" w:type="dxa"/>
            <w:shd w:val="clear" w:color="auto" w:fill="1F3B57"/>
            <w:tcMar>
              <w:top w:w="80" w:type="dxa"/>
              <w:left w:w="120" w:type="dxa"/>
              <w:bottom w:w="80" w:type="dxa"/>
              <w:right w:w="120" w:type="dxa"/>
            </w:tcMar>
          </w:tcPr>
          <w:p w14:paraId="148274B4" w14:textId="77777777" w:rsidR="00B260E9" w:rsidRDefault="005042F6">
            <w:r>
              <w:rPr>
                <w:b/>
                <w:bCs/>
                <w:color w:val="FFFFFF"/>
                <w:sz w:val="19"/>
                <w:szCs w:val="19"/>
              </w:rPr>
              <w:t>Java capability</w:t>
            </w:r>
          </w:p>
        </w:tc>
        <w:tc>
          <w:tcPr>
            <w:tcW w:w="3800" w:type="dxa"/>
            <w:shd w:val="clear" w:color="auto" w:fill="1F3B57"/>
            <w:tcMar>
              <w:top w:w="80" w:type="dxa"/>
              <w:left w:w="120" w:type="dxa"/>
              <w:bottom w:w="80" w:type="dxa"/>
              <w:right w:w="120" w:type="dxa"/>
            </w:tcMar>
          </w:tcPr>
          <w:p w14:paraId="6BC3D669" w14:textId="77777777" w:rsidR="00B260E9" w:rsidRDefault="005042F6">
            <w:r>
              <w:rPr>
                <w:b/>
                <w:bCs/>
                <w:color w:val="FFFFFF"/>
                <w:sz w:val="19"/>
                <w:szCs w:val="19"/>
              </w:rPr>
              <w:t>Where</w:t>
            </w:r>
          </w:p>
        </w:tc>
      </w:tr>
      <w:tr w:rsidR="00B260E9" w14:paraId="317AB1AE" w14:textId="77777777">
        <w:tblPrEx>
          <w:tblCellMar>
            <w:top w:w="0" w:type="dxa"/>
            <w:bottom w:w="0" w:type="dxa"/>
          </w:tblCellMar>
        </w:tblPrEx>
        <w:tc>
          <w:tcPr>
            <w:tcW w:w="3000" w:type="dxa"/>
            <w:tcMar>
              <w:top w:w="80" w:type="dxa"/>
              <w:left w:w="120" w:type="dxa"/>
              <w:bottom w:w="80" w:type="dxa"/>
              <w:right w:w="120" w:type="dxa"/>
            </w:tcMar>
          </w:tcPr>
          <w:p w14:paraId="0FC40D17" w14:textId="77777777" w:rsidR="00B260E9" w:rsidRDefault="005042F6">
            <w:r>
              <w:rPr>
                <w:sz w:val="19"/>
                <w:szCs w:val="19"/>
              </w:rPr>
              <w:t>Exact money math (§1, §6)</w:t>
            </w:r>
          </w:p>
        </w:tc>
        <w:tc>
          <w:tcPr>
            <w:tcW w:w="3600" w:type="dxa"/>
            <w:tcMar>
              <w:top w:w="80" w:type="dxa"/>
              <w:left w:w="120" w:type="dxa"/>
              <w:bottom w:w="80" w:type="dxa"/>
              <w:right w:w="120" w:type="dxa"/>
            </w:tcMar>
          </w:tcPr>
          <w:p w14:paraId="6F36EEF0" w14:textId="77777777" w:rsidR="00B260E9" w:rsidRDefault="005042F6">
            <w:r>
              <w:rPr>
                <w:sz w:val="19"/>
                <w:szCs w:val="19"/>
              </w:rPr>
              <w:t>java.math.BigDecimal, RoundingMode.HALF_EVEN; static types reject double where BigDecimal is required</w:t>
            </w:r>
          </w:p>
        </w:tc>
        <w:tc>
          <w:tcPr>
            <w:tcW w:w="3800" w:type="dxa"/>
            <w:tcMar>
              <w:top w:w="80" w:type="dxa"/>
              <w:left w:w="120" w:type="dxa"/>
              <w:bottom w:w="80" w:type="dxa"/>
              <w:right w:w="120" w:type="dxa"/>
            </w:tcMar>
          </w:tcPr>
          <w:p w14:paraId="2979673F" w14:textId="77777777" w:rsidR="00B260E9" w:rsidRDefault="005042F6">
            <w:r>
              <w:rPr>
                <w:sz w:val="19"/>
                <w:szCs w:val="19"/>
              </w:rPr>
              <w:t>billing-service domain; ArchUnit no-float rule; BigDecimal serialized as a JSON string</w:t>
            </w:r>
          </w:p>
        </w:tc>
      </w:tr>
      <w:tr w:rsidR="00B260E9" w14:paraId="02F313A1" w14:textId="77777777">
        <w:tblPrEx>
          <w:tblCellMar>
            <w:top w:w="0" w:type="dxa"/>
            <w:bottom w:w="0" w:type="dxa"/>
          </w:tblCellMar>
        </w:tblPrEx>
        <w:tc>
          <w:tcPr>
            <w:tcW w:w="3000" w:type="dxa"/>
            <w:tcMar>
              <w:top w:w="80" w:type="dxa"/>
              <w:left w:w="120" w:type="dxa"/>
              <w:bottom w:w="80" w:type="dxa"/>
              <w:right w:w="120" w:type="dxa"/>
            </w:tcMar>
          </w:tcPr>
          <w:p w14:paraId="4AFF393A" w14:textId="77777777" w:rsidR="00B260E9" w:rsidRDefault="005042F6">
            <w:r>
              <w:rPr>
                <w:sz w:val="19"/>
                <w:szCs w:val="19"/>
              </w:rPr>
              <w:t>Correct billing periods</w:t>
            </w:r>
          </w:p>
        </w:tc>
        <w:tc>
          <w:tcPr>
            <w:tcW w:w="3600" w:type="dxa"/>
            <w:tcMar>
              <w:top w:w="80" w:type="dxa"/>
              <w:left w:w="120" w:type="dxa"/>
              <w:bottom w:w="80" w:type="dxa"/>
              <w:right w:w="120" w:type="dxa"/>
            </w:tcMar>
          </w:tcPr>
          <w:p w14:paraId="3C4337D1" w14:textId="77777777" w:rsidR="00B260E9" w:rsidRDefault="005042F6">
            <w:r>
              <w:rPr>
                <w:sz w:val="19"/>
                <w:szCs w:val="19"/>
              </w:rPr>
              <w:t>java.time (YearMonth, Instant, ZoneOffset.UTC), injectable Clock</w:t>
            </w:r>
          </w:p>
        </w:tc>
        <w:tc>
          <w:tcPr>
            <w:tcW w:w="3800" w:type="dxa"/>
            <w:tcMar>
              <w:top w:w="80" w:type="dxa"/>
              <w:left w:w="120" w:type="dxa"/>
              <w:bottom w:w="80" w:type="dxa"/>
              <w:right w:w="120" w:type="dxa"/>
            </w:tcMar>
          </w:tcPr>
          <w:p w14:paraId="79C12D48" w14:textId="77777777" w:rsidR="00B260E9" w:rsidRDefault="005042F6">
            <w:r>
              <w:rPr>
                <w:sz w:val="19"/>
                <w:szCs w:val="19"/>
              </w:rPr>
              <w:t>BillingPeriod record in meterly-common</w:t>
            </w:r>
          </w:p>
        </w:tc>
      </w:tr>
      <w:tr w:rsidR="00B260E9" w14:paraId="2C5C4DD2" w14:textId="77777777">
        <w:tblPrEx>
          <w:tblCellMar>
            <w:top w:w="0" w:type="dxa"/>
            <w:bottom w:w="0" w:type="dxa"/>
          </w:tblCellMar>
        </w:tblPrEx>
        <w:tc>
          <w:tcPr>
            <w:tcW w:w="3000" w:type="dxa"/>
            <w:tcMar>
              <w:top w:w="80" w:type="dxa"/>
              <w:left w:w="120" w:type="dxa"/>
              <w:bottom w:w="80" w:type="dxa"/>
              <w:right w:w="120" w:type="dxa"/>
            </w:tcMar>
          </w:tcPr>
          <w:p w14:paraId="4244AD54" w14:textId="77777777" w:rsidR="00B260E9" w:rsidRDefault="005042F6">
            <w:r>
              <w:rPr>
                <w:sz w:val="19"/>
                <w:szCs w:val="19"/>
              </w:rPr>
              <w:t>Immutable, value-equal messages (idempotency)</w:t>
            </w:r>
          </w:p>
        </w:tc>
        <w:tc>
          <w:tcPr>
            <w:tcW w:w="3600" w:type="dxa"/>
            <w:tcMar>
              <w:top w:w="80" w:type="dxa"/>
              <w:left w:w="120" w:type="dxa"/>
              <w:bottom w:w="80" w:type="dxa"/>
              <w:right w:w="120" w:type="dxa"/>
            </w:tcMar>
          </w:tcPr>
          <w:p w14:paraId="5FBA3EF1" w14:textId="77777777" w:rsidR="00B260E9" w:rsidRDefault="005042F6">
            <w:r>
              <w:rPr>
                <w:sz w:val="19"/>
                <w:szCs w:val="19"/>
              </w:rPr>
              <w:t>Records with validating compact constructors</w:t>
            </w:r>
          </w:p>
        </w:tc>
        <w:tc>
          <w:tcPr>
            <w:tcW w:w="3800" w:type="dxa"/>
            <w:tcMar>
              <w:top w:w="80" w:type="dxa"/>
              <w:left w:w="120" w:type="dxa"/>
              <w:bottom w:w="80" w:type="dxa"/>
              <w:right w:w="120" w:type="dxa"/>
            </w:tcMar>
          </w:tcPr>
          <w:p w14:paraId="070D82B7" w14:textId="77777777" w:rsidR="00B260E9" w:rsidRDefault="005042F6">
            <w:r>
              <w:rPr>
                <w:sz w:val="19"/>
                <w:szCs w:val="19"/>
              </w:rPr>
              <w:t>UsageEventMessage, UsageUpdate, DTOs, config properties</w:t>
            </w:r>
          </w:p>
        </w:tc>
      </w:tr>
      <w:tr w:rsidR="00B260E9" w14:paraId="7F45E8E2" w14:textId="77777777">
        <w:tblPrEx>
          <w:tblCellMar>
            <w:top w:w="0" w:type="dxa"/>
            <w:bottom w:w="0" w:type="dxa"/>
          </w:tblCellMar>
        </w:tblPrEx>
        <w:tc>
          <w:tcPr>
            <w:tcW w:w="3000" w:type="dxa"/>
            <w:tcMar>
              <w:top w:w="80" w:type="dxa"/>
              <w:left w:w="120" w:type="dxa"/>
              <w:bottom w:w="80" w:type="dxa"/>
              <w:right w:w="120" w:type="dxa"/>
            </w:tcMar>
          </w:tcPr>
          <w:p w14:paraId="6C2232A0" w14:textId="77777777" w:rsidR="00B260E9" w:rsidRDefault="005042F6">
            <w:r>
              <w:rPr>
                <w:sz w:val="19"/>
                <w:szCs w:val="19"/>
              </w:rPr>
              <w:t>Every event type handled</w:t>
            </w:r>
          </w:p>
        </w:tc>
        <w:tc>
          <w:tcPr>
            <w:tcW w:w="3600" w:type="dxa"/>
            <w:tcMar>
              <w:top w:w="80" w:type="dxa"/>
              <w:left w:w="120" w:type="dxa"/>
              <w:bottom w:w="80" w:type="dxa"/>
              <w:right w:w="120" w:type="dxa"/>
            </w:tcMar>
          </w:tcPr>
          <w:p w14:paraId="76FD0CF2" w14:textId="77777777" w:rsidR="00B260E9" w:rsidRDefault="005042F6">
            <w:r>
              <w:rPr>
                <w:sz w:val="19"/>
                <w:szCs w:val="19"/>
              </w:rPr>
              <w:t>Sealed interfaces + exhaustive pattern-matching switch (no default)</w:t>
            </w:r>
          </w:p>
        </w:tc>
        <w:tc>
          <w:tcPr>
            <w:tcW w:w="3800" w:type="dxa"/>
            <w:tcMar>
              <w:top w:w="80" w:type="dxa"/>
              <w:left w:w="120" w:type="dxa"/>
              <w:bottom w:w="80" w:type="dxa"/>
              <w:right w:w="120" w:type="dxa"/>
            </w:tcMar>
          </w:tcPr>
          <w:p w14:paraId="64E6A49C" w14:textId="77777777" w:rsidR="00B260E9" w:rsidRDefault="005042F6">
            <w:r>
              <w:rPr>
                <w:sz w:val="19"/>
                <w:szCs w:val="19"/>
              </w:rPr>
              <w:t>NotificationEvent dispatch; service outcome types (e.g. BillingRunResult)</w:t>
            </w:r>
          </w:p>
        </w:tc>
      </w:tr>
      <w:tr w:rsidR="00B260E9" w14:paraId="71FD9250" w14:textId="77777777">
        <w:tblPrEx>
          <w:tblCellMar>
            <w:top w:w="0" w:type="dxa"/>
            <w:bottom w:w="0" w:type="dxa"/>
          </w:tblCellMar>
        </w:tblPrEx>
        <w:tc>
          <w:tcPr>
            <w:tcW w:w="3000" w:type="dxa"/>
            <w:tcMar>
              <w:top w:w="80" w:type="dxa"/>
              <w:left w:w="120" w:type="dxa"/>
              <w:bottom w:w="80" w:type="dxa"/>
              <w:right w:w="120" w:type="dxa"/>
            </w:tcMar>
          </w:tcPr>
          <w:p w14:paraId="38041BBD" w14:textId="77777777" w:rsidR="00B260E9" w:rsidRDefault="005042F6">
            <w:r>
              <w:rPr>
                <w:sz w:val="19"/>
                <w:szCs w:val="19"/>
              </w:rPr>
              <w:t>I/O-bound services at scale</w:t>
            </w:r>
          </w:p>
        </w:tc>
        <w:tc>
          <w:tcPr>
            <w:tcW w:w="3600" w:type="dxa"/>
            <w:tcMar>
              <w:top w:w="80" w:type="dxa"/>
              <w:left w:w="120" w:type="dxa"/>
              <w:bottom w:w="80" w:type="dxa"/>
              <w:right w:w="120" w:type="dxa"/>
            </w:tcMar>
          </w:tcPr>
          <w:p w14:paraId="10A90265" w14:textId="77777777" w:rsidR="00B260E9" w:rsidRDefault="005042F6">
            <w:r>
              <w:rPr>
                <w:sz w:val="19"/>
                <w:szCs w:val="19"/>
              </w:rPr>
              <w:t>Virtual threads (spring.threads.virtual.enabled)</w:t>
            </w:r>
          </w:p>
        </w:tc>
        <w:tc>
          <w:tcPr>
            <w:tcW w:w="3800" w:type="dxa"/>
            <w:tcMar>
              <w:top w:w="80" w:type="dxa"/>
              <w:left w:w="120" w:type="dxa"/>
              <w:bottom w:w="80" w:type="dxa"/>
              <w:right w:w="120" w:type="dxa"/>
            </w:tcMar>
          </w:tcPr>
          <w:p w14:paraId="3ECDA346" w14:textId="77777777" w:rsidR="00B260E9" w:rsidRDefault="005042F6">
            <w:r>
              <w:rPr>
                <w:sz w:val="19"/>
                <w:szCs w:val="19"/>
              </w:rPr>
              <w:t>All services; the validation harness's load generator and burst dispatch</w:t>
            </w:r>
          </w:p>
        </w:tc>
      </w:tr>
      <w:tr w:rsidR="00B260E9" w14:paraId="7DA0A5F4" w14:textId="77777777">
        <w:tblPrEx>
          <w:tblCellMar>
            <w:top w:w="0" w:type="dxa"/>
            <w:bottom w:w="0" w:type="dxa"/>
          </w:tblCellMar>
        </w:tblPrEx>
        <w:tc>
          <w:tcPr>
            <w:tcW w:w="3000" w:type="dxa"/>
            <w:tcMar>
              <w:top w:w="80" w:type="dxa"/>
              <w:left w:w="120" w:type="dxa"/>
              <w:bottom w:w="80" w:type="dxa"/>
              <w:right w:w="120" w:type="dxa"/>
            </w:tcMar>
          </w:tcPr>
          <w:p w14:paraId="27E2F7C2" w14:textId="77777777" w:rsidR="00B260E9" w:rsidRDefault="005042F6">
            <w:r>
              <w:rPr>
                <w:sz w:val="19"/>
                <w:szCs w:val="19"/>
              </w:rPr>
              <w:t>RLS tenant binding per transaction</w:t>
            </w:r>
          </w:p>
        </w:tc>
        <w:tc>
          <w:tcPr>
            <w:tcW w:w="3600" w:type="dxa"/>
            <w:tcMar>
              <w:top w:w="80" w:type="dxa"/>
              <w:left w:w="120" w:type="dxa"/>
              <w:bottom w:w="80" w:type="dxa"/>
              <w:right w:w="120" w:type="dxa"/>
            </w:tcMar>
          </w:tcPr>
          <w:p w14:paraId="49478825" w14:textId="77777777" w:rsidR="00B260E9" w:rsidRDefault="005042F6">
            <w:r>
              <w:rPr>
                <w:sz w:val="19"/>
                <w:szCs w:val="19"/>
              </w:rPr>
              <w:t>JDBC + Spring transaction hook (prepareTransactionalConnection), @Around aspect</w:t>
            </w:r>
          </w:p>
        </w:tc>
        <w:tc>
          <w:tcPr>
            <w:tcW w:w="3800" w:type="dxa"/>
            <w:tcMar>
              <w:top w:w="80" w:type="dxa"/>
              <w:left w:w="120" w:type="dxa"/>
              <w:bottom w:w="80" w:type="dxa"/>
              <w:right w:w="120" w:type="dxa"/>
            </w:tcMar>
          </w:tcPr>
          <w:p w14:paraId="583ED5E5" w14:textId="77777777" w:rsidR="00B260E9" w:rsidRDefault="005042F6">
            <w:r>
              <w:rPr>
                <w:sz w:val="19"/>
                <w:szCs w:val="19"/>
              </w:rPr>
              <w:t>TenantAwareTransactionManager, TenantContextAspect</w:t>
            </w:r>
          </w:p>
        </w:tc>
      </w:tr>
      <w:tr w:rsidR="00B260E9" w14:paraId="0320EEE8" w14:textId="77777777">
        <w:tblPrEx>
          <w:tblCellMar>
            <w:top w:w="0" w:type="dxa"/>
            <w:bottom w:w="0" w:type="dxa"/>
          </w:tblCellMar>
        </w:tblPrEx>
        <w:tc>
          <w:tcPr>
            <w:tcW w:w="3000" w:type="dxa"/>
            <w:tcMar>
              <w:top w:w="80" w:type="dxa"/>
              <w:left w:w="120" w:type="dxa"/>
              <w:bottom w:w="80" w:type="dxa"/>
              <w:right w:w="120" w:type="dxa"/>
            </w:tcMar>
          </w:tcPr>
          <w:p w14:paraId="170B73D6" w14:textId="77777777" w:rsidR="00B260E9" w:rsidRDefault="005042F6">
            <w:r>
              <w:rPr>
                <w:sz w:val="19"/>
                <w:szCs w:val="19"/>
              </w:rPr>
              <w:t>Kafka at-least-once with DLT</w:t>
            </w:r>
          </w:p>
        </w:tc>
        <w:tc>
          <w:tcPr>
            <w:tcW w:w="3600" w:type="dxa"/>
            <w:tcMar>
              <w:top w:w="80" w:type="dxa"/>
              <w:left w:w="120" w:type="dxa"/>
              <w:bottom w:w="80" w:type="dxa"/>
              <w:right w:w="120" w:type="dxa"/>
            </w:tcMar>
          </w:tcPr>
          <w:p w14:paraId="2D678553" w14:textId="77777777" w:rsidR="00B260E9" w:rsidRDefault="005042F6">
            <w:r>
              <w:rPr>
                <w:sz w:val="19"/>
                <w:szCs w:val="19"/>
              </w:rPr>
              <w:t>Apache Kafka JVM client + Spring Kafka error handling</w:t>
            </w:r>
          </w:p>
        </w:tc>
        <w:tc>
          <w:tcPr>
            <w:tcW w:w="3800" w:type="dxa"/>
            <w:tcMar>
              <w:top w:w="80" w:type="dxa"/>
              <w:left w:w="120" w:type="dxa"/>
              <w:bottom w:w="80" w:type="dxa"/>
              <w:right w:w="120" w:type="dxa"/>
            </w:tcMar>
          </w:tcPr>
          <w:p w14:paraId="77729DE9" w14:textId="77777777" w:rsidR="00B260E9" w:rsidRDefault="005042F6">
            <w:r>
              <w:rPr>
                <w:sz w:val="19"/>
                <w:szCs w:val="19"/>
              </w:rPr>
              <w:t>metering and notification consumers</w:t>
            </w:r>
          </w:p>
        </w:tc>
      </w:tr>
      <w:tr w:rsidR="00B260E9" w14:paraId="013EF402" w14:textId="77777777">
        <w:tblPrEx>
          <w:tblCellMar>
            <w:top w:w="0" w:type="dxa"/>
            <w:bottom w:w="0" w:type="dxa"/>
          </w:tblCellMar>
        </w:tblPrEx>
        <w:tc>
          <w:tcPr>
            <w:tcW w:w="3000" w:type="dxa"/>
            <w:tcMar>
              <w:top w:w="80" w:type="dxa"/>
              <w:left w:w="120" w:type="dxa"/>
              <w:bottom w:w="80" w:type="dxa"/>
              <w:right w:w="120" w:type="dxa"/>
            </w:tcMar>
          </w:tcPr>
          <w:p w14:paraId="2179E61E" w14:textId="77777777" w:rsidR="00B260E9" w:rsidRDefault="005042F6">
            <w:r>
              <w:rPr>
                <w:sz w:val="19"/>
                <w:szCs w:val="19"/>
              </w:rPr>
              <w:t>Real infrastructure in tests, no mocks</w:t>
            </w:r>
          </w:p>
        </w:tc>
        <w:tc>
          <w:tcPr>
            <w:tcW w:w="3600" w:type="dxa"/>
            <w:tcMar>
              <w:top w:w="80" w:type="dxa"/>
              <w:left w:w="120" w:type="dxa"/>
              <w:bottom w:w="80" w:type="dxa"/>
              <w:right w:w="120" w:type="dxa"/>
            </w:tcMar>
          </w:tcPr>
          <w:p w14:paraId="5C7DCA57" w14:textId="77777777" w:rsidR="00B260E9" w:rsidRDefault="005042F6">
            <w:r>
              <w:rPr>
                <w:sz w:val="19"/>
                <w:szCs w:val="19"/>
              </w:rPr>
              <w:t>Testcontainers, JUnit 5, ArchUnit</w:t>
            </w:r>
          </w:p>
        </w:tc>
        <w:tc>
          <w:tcPr>
            <w:tcW w:w="3800" w:type="dxa"/>
            <w:tcMar>
              <w:top w:w="80" w:type="dxa"/>
              <w:left w:w="120" w:type="dxa"/>
              <w:bottom w:w="80" w:type="dxa"/>
              <w:right w:w="120" w:type="dxa"/>
            </w:tcMar>
          </w:tcPr>
          <w:p w14:paraId="60C85A59" w14:textId="77777777" w:rsidR="00B260E9" w:rsidRDefault="005042F6">
            <w:r>
              <w:rPr>
                <w:sz w:val="19"/>
                <w:szCs w:val="19"/>
              </w:rPr>
              <w:t>*IT suites in every service; 322 tests total, all green</w:t>
            </w:r>
          </w:p>
        </w:tc>
      </w:tr>
    </w:tbl>
    <w:p w14:paraId="6723A4E0" w14:textId="77777777" w:rsidR="00B260E9" w:rsidRDefault="00B260E9">
      <w:pPr>
        <w:spacing w:after="120"/>
      </w:pPr>
    </w:p>
    <w:p w14:paraId="5D790F66" w14:textId="77777777" w:rsidR="00B260E9" w:rsidRDefault="005042F6">
      <w:pPr>
        <w:pStyle w:val="Heading2"/>
        <w:spacing w:before="280" w:after="120"/>
      </w:pPr>
      <w:bookmarkStart w:id="20" w:name="_Toc241071895"/>
      <w:r>
        <w:t>15.2 Codebase structure</w:t>
      </w:r>
      <w:bookmarkEnd w:id="20"/>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600"/>
      </w:tblGrid>
      <w:tr w:rsidR="00B260E9" w14:paraId="4FBB24BE" w14:textId="77777777">
        <w:tblPrEx>
          <w:tblCellMar>
            <w:top w:w="0" w:type="dxa"/>
            <w:bottom w:w="0" w:type="dxa"/>
          </w:tblCellMar>
        </w:tblPrEx>
        <w:trPr>
          <w:tblHeader/>
        </w:trPr>
        <w:tc>
          <w:tcPr>
            <w:tcW w:w="2800" w:type="dxa"/>
            <w:shd w:val="clear" w:color="auto" w:fill="1F3B57"/>
            <w:tcMar>
              <w:top w:w="80" w:type="dxa"/>
              <w:left w:w="120" w:type="dxa"/>
              <w:bottom w:w="80" w:type="dxa"/>
              <w:right w:w="120" w:type="dxa"/>
            </w:tcMar>
          </w:tcPr>
          <w:p w14:paraId="0850A230" w14:textId="77777777" w:rsidR="00B260E9" w:rsidRDefault="005042F6">
            <w:r>
              <w:rPr>
                <w:b/>
                <w:bCs/>
                <w:color w:val="FFFFFF"/>
                <w:sz w:val="19"/>
                <w:szCs w:val="19"/>
              </w:rPr>
              <w:t>Maven module</w:t>
            </w:r>
          </w:p>
        </w:tc>
        <w:tc>
          <w:tcPr>
            <w:tcW w:w="7600" w:type="dxa"/>
            <w:shd w:val="clear" w:color="auto" w:fill="1F3B57"/>
            <w:tcMar>
              <w:top w:w="80" w:type="dxa"/>
              <w:left w:w="120" w:type="dxa"/>
              <w:bottom w:w="80" w:type="dxa"/>
              <w:right w:w="120" w:type="dxa"/>
            </w:tcMar>
          </w:tcPr>
          <w:p w14:paraId="186AAEA8" w14:textId="77777777" w:rsidR="00B260E9" w:rsidRDefault="005042F6">
            <w:r>
              <w:rPr>
                <w:b/>
                <w:bCs/>
                <w:color w:val="FFFFFF"/>
                <w:sz w:val="19"/>
                <w:szCs w:val="19"/>
              </w:rPr>
              <w:t>Purpose</w:t>
            </w:r>
          </w:p>
        </w:tc>
      </w:tr>
      <w:tr w:rsidR="00B260E9" w14:paraId="2633C2AB" w14:textId="77777777">
        <w:tblPrEx>
          <w:tblCellMar>
            <w:top w:w="0" w:type="dxa"/>
            <w:bottom w:w="0" w:type="dxa"/>
          </w:tblCellMar>
        </w:tblPrEx>
        <w:tc>
          <w:tcPr>
            <w:tcW w:w="2800" w:type="dxa"/>
            <w:tcMar>
              <w:top w:w="80" w:type="dxa"/>
              <w:left w:w="120" w:type="dxa"/>
              <w:bottom w:w="80" w:type="dxa"/>
              <w:right w:w="120" w:type="dxa"/>
            </w:tcMar>
          </w:tcPr>
          <w:p w14:paraId="597D7253" w14:textId="77777777" w:rsidR="00B260E9" w:rsidRDefault="005042F6">
            <w:r>
              <w:rPr>
                <w:sz w:val="19"/>
                <w:szCs w:val="19"/>
              </w:rPr>
              <w:t>meterly-common</w:t>
            </w:r>
          </w:p>
        </w:tc>
        <w:tc>
          <w:tcPr>
            <w:tcW w:w="7600" w:type="dxa"/>
            <w:tcMar>
              <w:top w:w="80" w:type="dxa"/>
              <w:left w:w="120" w:type="dxa"/>
              <w:bottom w:w="80" w:type="dxa"/>
              <w:right w:w="120" w:type="dxa"/>
            </w:tcMar>
          </w:tcPr>
          <w:p w14:paraId="3C97CA2C" w14:textId="77777777" w:rsidR="00B260E9" w:rsidRDefault="005042F6">
            <w:r>
              <w:rPr>
                <w:sz w:val="19"/>
                <w:szCs w:val="19"/>
              </w:rPr>
              <w:t>Tenant context + RLS transaction manager, @Around aspect, correlation IDs, RFC 7807 errors, JWT helpers, event contracts, BillingPeriod, Redis keys</w:t>
            </w:r>
          </w:p>
        </w:tc>
      </w:tr>
      <w:tr w:rsidR="00B260E9" w14:paraId="1A52784A" w14:textId="77777777">
        <w:tblPrEx>
          <w:tblCellMar>
            <w:top w:w="0" w:type="dxa"/>
            <w:bottom w:w="0" w:type="dxa"/>
          </w:tblCellMar>
        </w:tblPrEx>
        <w:tc>
          <w:tcPr>
            <w:tcW w:w="2800" w:type="dxa"/>
            <w:tcMar>
              <w:top w:w="80" w:type="dxa"/>
              <w:left w:w="120" w:type="dxa"/>
              <w:bottom w:w="80" w:type="dxa"/>
              <w:right w:w="120" w:type="dxa"/>
            </w:tcMar>
          </w:tcPr>
          <w:p w14:paraId="2ABFD4F1" w14:textId="77777777" w:rsidR="00B260E9" w:rsidRDefault="005042F6">
            <w:r>
              <w:rPr>
                <w:sz w:val="19"/>
                <w:szCs w:val="19"/>
              </w:rPr>
              <w:t>meterly-db</w:t>
            </w:r>
          </w:p>
        </w:tc>
        <w:tc>
          <w:tcPr>
            <w:tcW w:w="7600" w:type="dxa"/>
            <w:tcMar>
              <w:top w:w="80" w:type="dxa"/>
              <w:left w:w="120" w:type="dxa"/>
              <w:bottom w:w="80" w:type="dxa"/>
              <w:right w:w="120" w:type="dxa"/>
            </w:tcMar>
          </w:tcPr>
          <w:p w14:paraId="1C58EB95" w14:textId="77777777" w:rsidR="00B260E9" w:rsidRDefault="005042F6">
            <w:r>
              <w:rPr>
                <w:sz w:val="19"/>
                <w:szCs w:val="19"/>
              </w:rPr>
              <w:t>Flyway migrations (schema, RLS policies, grants, SECURITY DEFINER lookups, plan catalog, demo seed) and the one-shot migrator</w:t>
            </w:r>
          </w:p>
        </w:tc>
      </w:tr>
      <w:tr w:rsidR="00B260E9" w14:paraId="1A0D447C" w14:textId="77777777">
        <w:tblPrEx>
          <w:tblCellMar>
            <w:top w:w="0" w:type="dxa"/>
            <w:bottom w:w="0" w:type="dxa"/>
          </w:tblCellMar>
        </w:tblPrEx>
        <w:tc>
          <w:tcPr>
            <w:tcW w:w="2800" w:type="dxa"/>
            <w:tcMar>
              <w:top w:w="80" w:type="dxa"/>
              <w:left w:w="120" w:type="dxa"/>
              <w:bottom w:w="80" w:type="dxa"/>
              <w:right w:w="120" w:type="dxa"/>
            </w:tcMar>
          </w:tcPr>
          <w:p w14:paraId="68DD7B75" w14:textId="77777777" w:rsidR="00B260E9" w:rsidRDefault="005042F6">
            <w:r>
              <w:rPr>
                <w:sz w:val="19"/>
                <w:szCs w:val="19"/>
              </w:rPr>
              <w:t>meterly-test-support</w:t>
            </w:r>
          </w:p>
        </w:tc>
        <w:tc>
          <w:tcPr>
            <w:tcW w:w="7600" w:type="dxa"/>
            <w:tcMar>
              <w:top w:w="80" w:type="dxa"/>
              <w:left w:w="120" w:type="dxa"/>
              <w:bottom w:w="80" w:type="dxa"/>
              <w:right w:w="120" w:type="dxa"/>
            </w:tcMar>
          </w:tcPr>
          <w:p w14:paraId="13D629C6" w14:textId="77777777" w:rsidR="00B260E9" w:rsidRDefault="005042F6">
            <w:r>
              <w:rPr>
                <w:sz w:val="19"/>
                <w:szCs w:val="19"/>
              </w:rPr>
              <w:t>Testcontainers fixtures (PostgreSQL with production-like roles, Redis, Redpanda) and test JWT minting</w:t>
            </w:r>
          </w:p>
        </w:tc>
      </w:tr>
      <w:tr w:rsidR="00B260E9" w14:paraId="7AE521D5" w14:textId="77777777">
        <w:tblPrEx>
          <w:tblCellMar>
            <w:top w:w="0" w:type="dxa"/>
            <w:bottom w:w="0" w:type="dxa"/>
          </w:tblCellMar>
        </w:tblPrEx>
        <w:tc>
          <w:tcPr>
            <w:tcW w:w="2800" w:type="dxa"/>
            <w:tcMar>
              <w:top w:w="80" w:type="dxa"/>
              <w:left w:w="120" w:type="dxa"/>
              <w:bottom w:w="80" w:type="dxa"/>
              <w:right w:w="120" w:type="dxa"/>
            </w:tcMar>
          </w:tcPr>
          <w:p w14:paraId="0A08FB54" w14:textId="77777777" w:rsidR="00B260E9" w:rsidRDefault="005042F6">
            <w:r>
              <w:rPr>
                <w:sz w:val="19"/>
                <w:szCs w:val="19"/>
              </w:rPr>
              <w:t>tenant-service</w:t>
            </w:r>
          </w:p>
        </w:tc>
        <w:tc>
          <w:tcPr>
            <w:tcW w:w="7600" w:type="dxa"/>
            <w:tcMar>
              <w:top w:w="80" w:type="dxa"/>
              <w:left w:w="120" w:type="dxa"/>
              <w:bottom w:w="80" w:type="dxa"/>
              <w:right w:w="120" w:type="dxa"/>
            </w:tcMar>
          </w:tcPr>
          <w:p w14:paraId="159E746C" w14:textId="77777777" w:rsidR="00B260E9" w:rsidRDefault="005042F6">
            <w:r>
              <w:rPr>
                <w:sz w:val="19"/>
                <w:szCs w:val="19"/>
              </w:rPr>
              <w:t>Signup/onboarding, RS256 JWT issuer + JWKS, refresh tokens, users, plans, subscriptions, resources, API keys</w:t>
            </w:r>
          </w:p>
        </w:tc>
      </w:tr>
      <w:tr w:rsidR="00B260E9" w14:paraId="63CFF68E" w14:textId="77777777">
        <w:tblPrEx>
          <w:tblCellMar>
            <w:top w:w="0" w:type="dxa"/>
            <w:bottom w:w="0" w:type="dxa"/>
          </w:tblCellMar>
        </w:tblPrEx>
        <w:tc>
          <w:tcPr>
            <w:tcW w:w="2800" w:type="dxa"/>
            <w:tcMar>
              <w:top w:w="80" w:type="dxa"/>
              <w:left w:w="120" w:type="dxa"/>
              <w:bottom w:w="80" w:type="dxa"/>
              <w:right w:w="120" w:type="dxa"/>
            </w:tcMar>
          </w:tcPr>
          <w:p w14:paraId="434FD6F9" w14:textId="77777777" w:rsidR="00B260E9" w:rsidRDefault="005042F6">
            <w:r>
              <w:rPr>
                <w:sz w:val="19"/>
                <w:szCs w:val="19"/>
              </w:rPr>
              <w:t>ingestion-service</w:t>
            </w:r>
          </w:p>
        </w:tc>
        <w:tc>
          <w:tcPr>
            <w:tcW w:w="7600" w:type="dxa"/>
            <w:tcMar>
              <w:top w:w="80" w:type="dxa"/>
              <w:left w:w="120" w:type="dxa"/>
              <w:bottom w:w="80" w:type="dxa"/>
              <w:right w:w="120" w:type="dxa"/>
            </w:tcMar>
          </w:tcPr>
          <w:p w14:paraId="68F6EC31" w14:textId="77777777" w:rsidR="00B260E9" w:rsidRDefault="005042F6">
            <w:r>
              <w:rPr>
                <w:sz w:val="19"/>
                <w:szCs w:val="19"/>
              </w:rPr>
              <w:t>API-key/JWT auth, validation, per-tenant token bucket, idempotency fast path, Kafka producer</w:t>
            </w:r>
          </w:p>
        </w:tc>
      </w:tr>
      <w:tr w:rsidR="00B260E9" w14:paraId="518A47EF" w14:textId="77777777">
        <w:tblPrEx>
          <w:tblCellMar>
            <w:top w:w="0" w:type="dxa"/>
            <w:bottom w:w="0" w:type="dxa"/>
          </w:tblCellMar>
        </w:tblPrEx>
        <w:tc>
          <w:tcPr>
            <w:tcW w:w="2800" w:type="dxa"/>
            <w:tcMar>
              <w:top w:w="80" w:type="dxa"/>
              <w:left w:w="120" w:type="dxa"/>
              <w:bottom w:w="80" w:type="dxa"/>
              <w:right w:w="120" w:type="dxa"/>
            </w:tcMar>
          </w:tcPr>
          <w:p w14:paraId="3C328EDC" w14:textId="77777777" w:rsidR="00B260E9" w:rsidRDefault="005042F6">
            <w:r>
              <w:rPr>
                <w:sz w:val="19"/>
                <w:szCs w:val="19"/>
              </w:rPr>
              <w:t>metering-service</w:t>
            </w:r>
          </w:p>
        </w:tc>
        <w:tc>
          <w:tcPr>
            <w:tcW w:w="7600" w:type="dxa"/>
            <w:tcMar>
              <w:top w:w="80" w:type="dxa"/>
              <w:left w:w="120" w:type="dxa"/>
              <w:bottom w:w="80" w:type="dxa"/>
              <w:right w:w="120" w:type="dxa"/>
            </w:tcMar>
          </w:tcPr>
          <w:p w14:paraId="7A9F6FA0" w14:textId="77777777" w:rsidR="00B260E9" w:rsidRDefault="005042F6">
            <w:r>
              <w:rPr>
                <w:sz w:val="19"/>
                <w:szCs w:val="19"/>
              </w:rPr>
              <w:t>Idempotent consumer, Redis counters, STOMP live updates with Redis fan-out, usage APIs, thresholds, reconciliation</w:t>
            </w:r>
          </w:p>
        </w:tc>
      </w:tr>
      <w:tr w:rsidR="00B260E9" w14:paraId="27563989" w14:textId="77777777">
        <w:tblPrEx>
          <w:tblCellMar>
            <w:top w:w="0" w:type="dxa"/>
            <w:bottom w:w="0" w:type="dxa"/>
          </w:tblCellMar>
        </w:tblPrEx>
        <w:tc>
          <w:tcPr>
            <w:tcW w:w="2800" w:type="dxa"/>
            <w:tcMar>
              <w:top w:w="80" w:type="dxa"/>
              <w:left w:w="120" w:type="dxa"/>
              <w:bottom w:w="80" w:type="dxa"/>
              <w:right w:w="120" w:type="dxa"/>
            </w:tcMar>
          </w:tcPr>
          <w:p w14:paraId="40F66A93" w14:textId="77777777" w:rsidR="00B260E9" w:rsidRDefault="005042F6">
            <w:r>
              <w:rPr>
                <w:sz w:val="19"/>
                <w:szCs w:val="19"/>
              </w:rPr>
              <w:t>billing-service</w:t>
            </w:r>
          </w:p>
        </w:tc>
        <w:tc>
          <w:tcPr>
            <w:tcW w:w="7600" w:type="dxa"/>
            <w:tcMar>
              <w:top w:w="80" w:type="dxa"/>
              <w:left w:w="120" w:type="dxa"/>
              <w:bottom w:w="80" w:type="dxa"/>
              <w:right w:w="120" w:type="dxa"/>
            </w:tcMar>
          </w:tcPr>
          <w:p w14:paraId="48635F92" w14:textId="77777777" w:rsidR="00B260E9" w:rsidRDefault="005042F6">
            <w:r>
              <w:rPr>
                <w:sz w:val="19"/>
                <w:szCs w:val="19"/>
              </w:rPr>
              <w:t>Pricing engine, period close, idempotent invoices, preview, transactional outbox relay</w:t>
            </w:r>
          </w:p>
        </w:tc>
      </w:tr>
      <w:tr w:rsidR="00B260E9" w14:paraId="485D0D3C" w14:textId="77777777">
        <w:tblPrEx>
          <w:tblCellMar>
            <w:top w:w="0" w:type="dxa"/>
            <w:bottom w:w="0" w:type="dxa"/>
          </w:tblCellMar>
        </w:tblPrEx>
        <w:tc>
          <w:tcPr>
            <w:tcW w:w="2800" w:type="dxa"/>
            <w:tcMar>
              <w:top w:w="80" w:type="dxa"/>
              <w:left w:w="120" w:type="dxa"/>
              <w:bottom w:w="80" w:type="dxa"/>
              <w:right w:w="120" w:type="dxa"/>
            </w:tcMar>
          </w:tcPr>
          <w:p w14:paraId="31E9F9EA" w14:textId="77777777" w:rsidR="00B260E9" w:rsidRDefault="005042F6">
            <w:r>
              <w:rPr>
                <w:sz w:val="19"/>
                <w:szCs w:val="19"/>
              </w:rPr>
              <w:t>notification-service</w:t>
            </w:r>
          </w:p>
        </w:tc>
        <w:tc>
          <w:tcPr>
            <w:tcW w:w="7600" w:type="dxa"/>
            <w:tcMar>
              <w:top w:w="80" w:type="dxa"/>
              <w:left w:w="120" w:type="dxa"/>
              <w:bottom w:w="80" w:type="dxa"/>
              <w:right w:w="120" w:type="dxa"/>
            </w:tcMar>
          </w:tcPr>
          <w:p w14:paraId="782541DF" w14:textId="77777777" w:rsidR="00B260E9" w:rsidRDefault="005042F6">
            <w:r>
              <w:rPr>
                <w:sz w:val="19"/>
                <w:szCs w:val="19"/>
              </w:rPr>
              <w:t>Idempotent notification delivery (stub or SMTP), notification history</w:t>
            </w:r>
          </w:p>
        </w:tc>
      </w:tr>
      <w:tr w:rsidR="00B260E9" w14:paraId="01442E0C" w14:textId="77777777">
        <w:tblPrEx>
          <w:tblCellMar>
            <w:top w:w="0" w:type="dxa"/>
            <w:bottom w:w="0" w:type="dxa"/>
          </w:tblCellMar>
        </w:tblPrEx>
        <w:tc>
          <w:tcPr>
            <w:tcW w:w="2800" w:type="dxa"/>
            <w:tcMar>
              <w:top w:w="80" w:type="dxa"/>
              <w:left w:w="120" w:type="dxa"/>
              <w:bottom w:w="80" w:type="dxa"/>
              <w:right w:w="120" w:type="dxa"/>
            </w:tcMar>
          </w:tcPr>
          <w:p w14:paraId="34D18F23" w14:textId="77777777" w:rsidR="00B260E9" w:rsidRDefault="005042F6">
            <w:r>
              <w:rPr>
                <w:sz w:val="19"/>
                <w:szCs w:val="19"/>
              </w:rPr>
              <w:t>meterly-validation</w:t>
            </w:r>
          </w:p>
        </w:tc>
        <w:tc>
          <w:tcPr>
            <w:tcW w:w="7600" w:type="dxa"/>
            <w:tcMar>
              <w:top w:w="80" w:type="dxa"/>
              <w:left w:w="120" w:type="dxa"/>
              <w:bottom w:w="80" w:type="dxa"/>
              <w:right w:w="120" w:type="dxa"/>
            </w:tcMar>
          </w:tcPr>
          <w:p w14:paraId="666D1179" w14:textId="77777777" w:rsidR="00B260E9" w:rsidRDefault="005042F6">
            <w:r>
              <w:rPr>
                <w:sz w:val="19"/>
                <w:szCs w:val="19"/>
              </w:rPr>
              <w:t>Java exit-criteria harness and load generator (no Testcontainers, no mocks — a real black-box client)</w:t>
            </w:r>
          </w:p>
        </w:tc>
      </w:tr>
      <w:tr w:rsidR="00B260E9" w14:paraId="33636148" w14:textId="77777777">
        <w:tblPrEx>
          <w:tblCellMar>
            <w:top w:w="0" w:type="dxa"/>
            <w:bottom w:w="0" w:type="dxa"/>
          </w:tblCellMar>
        </w:tblPrEx>
        <w:tc>
          <w:tcPr>
            <w:tcW w:w="2800" w:type="dxa"/>
            <w:tcMar>
              <w:top w:w="80" w:type="dxa"/>
              <w:left w:w="120" w:type="dxa"/>
              <w:bottom w:w="80" w:type="dxa"/>
              <w:right w:w="120" w:type="dxa"/>
            </w:tcMar>
          </w:tcPr>
          <w:p w14:paraId="2FA722BB" w14:textId="77777777" w:rsidR="00B260E9" w:rsidRDefault="005042F6">
            <w:r>
              <w:rPr>
                <w:sz w:val="19"/>
                <w:szCs w:val="19"/>
              </w:rPr>
              <w:t>meterly-web</w:t>
            </w:r>
          </w:p>
        </w:tc>
        <w:tc>
          <w:tcPr>
            <w:tcW w:w="7600" w:type="dxa"/>
            <w:tcMar>
              <w:top w:w="80" w:type="dxa"/>
              <w:left w:w="120" w:type="dxa"/>
              <w:bottom w:w="80" w:type="dxa"/>
              <w:right w:w="120" w:type="dxa"/>
            </w:tcMar>
          </w:tcPr>
          <w:p w14:paraId="39EC2565" w14:textId="77777777" w:rsidR="00B260E9" w:rsidRDefault="005042F6">
            <w:r>
              <w:rPr>
                <w:sz w:val="19"/>
                <w:szCs w:val="19"/>
              </w:rPr>
              <w:t>Angular 18 SPA (the only non-Java code, per this PDD)</w:t>
            </w:r>
          </w:p>
        </w:tc>
      </w:tr>
    </w:tbl>
    <w:p w14:paraId="0697D130" w14:textId="77777777" w:rsidR="00B260E9" w:rsidRDefault="00B260E9">
      <w:pPr>
        <w:spacing w:after="120"/>
      </w:pPr>
    </w:p>
    <w:p w14:paraId="0940E39A" w14:textId="77777777" w:rsidR="00B260E9" w:rsidRDefault="005042F6">
      <w:pPr>
        <w:pStyle w:val="Heading2"/>
        <w:spacing w:before="280" w:after="120"/>
      </w:pPr>
      <w:bookmarkStart w:id="21" w:name="_Toc241071896"/>
      <w:r>
        <w:t>15.3 Implementation decisions</w:t>
      </w:r>
      <w:bookmarkEnd w:id="21"/>
    </w:p>
    <w:p w14:paraId="19683129" w14:textId="77777777" w:rsidR="00B260E9" w:rsidRDefault="005042F6">
      <w:pPr>
        <w:pStyle w:val="ListParagraph"/>
        <w:numPr>
          <w:ilvl w:val="0"/>
          <w:numId w:val="2"/>
        </w:numPr>
        <w:spacing w:after="80"/>
      </w:pPr>
      <w:r>
        <w:t>Plain JDBC (Spring JdbcClient with text-block SQL) instead of JPA: every query that matters (ON CONFLICT upserts, aggregates, advisory locks) is explicit, and the transaction manager controls exactly which connection receives the tenant setting.</w:t>
      </w:r>
    </w:p>
    <w:p w14:paraId="4D32BDCC" w14:textId="77777777" w:rsidR="00B260E9" w:rsidRDefault="005042F6">
      <w:pPr>
        <w:pStyle w:val="ListParagraph"/>
        <w:numPr>
          <w:ilvl w:val="0"/>
          <w:numId w:val="2"/>
        </w:numPr>
        <w:spacing w:after="80"/>
      </w:pPr>
      <w:r>
        <w:t>Idempotency keys are unique per tenant — UNIQUE (tenant_id, idempotency_key) — not globally.</w:t>
      </w:r>
    </w:p>
    <w:p w14:paraId="2EA81506" w14:textId="77777777" w:rsidR="00B260E9" w:rsidRDefault="005042F6">
      <w:pPr>
        <w:pStyle w:val="ListParagraph"/>
        <w:numPr>
          <w:ilvl w:val="0"/>
          <w:numId w:val="2"/>
        </w:numPr>
        <w:spacing w:after="80"/>
      </w:pPr>
      <w:r>
        <w:t>RS256 JWTs with a JWKS endpoint (only tenant-service can sign); rotating refresh tokens in an httpOnly cookie; bcrypt passwords with timing-safe login and Redis-based login throttling.</w:t>
      </w:r>
    </w:p>
    <w:p w14:paraId="013B5FD3" w14:textId="77777777" w:rsidR="00B260E9" w:rsidRDefault="005042F6">
      <w:pPr>
        <w:pStyle w:val="ListParagraph"/>
        <w:numPr>
          <w:ilvl w:val="0"/>
          <w:numId w:val="2"/>
        </w:numPr>
        <w:spacing w:after="80"/>
      </w:pPr>
      <w:r>
        <w:t>Transactional outbox for invoice and usage-threshold events, one relay per producing service filtered by event type; ShedLock for single-runner schedulers; Redis pub/sub for multi-replica WebSocket fan-out.</w:t>
      </w:r>
    </w:p>
    <w:p w14:paraId="5DD7D08E" w14:textId="77777777" w:rsidR="00B260E9" w:rsidRDefault="005042F6">
      <w:pPr>
        <w:pStyle w:val="ListParagraph"/>
        <w:numPr>
          <w:ilvl w:val="0"/>
          <w:numId w:val="2"/>
        </w:numPr>
        <w:spacing w:after="80"/>
      </w:pPr>
      <w:r>
        <w:t>Money is a JSON string on the wire and BigDecimal in Java; rounding happens once, HALF_EVEN at the cent, per line item.</w:t>
      </w:r>
    </w:p>
    <w:p w14:paraId="3B68CC8D" w14:textId="77777777" w:rsidR="00B260E9" w:rsidRDefault="005042F6">
      <w:pPr>
        <w:pStyle w:val="ListParagraph"/>
        <w:numPr>
          <w:ilvl w:val="0"/>
          <w:numId w:val="2"/>
        </w:numPr>
        <w:spacing w:after="80"/>
      </w:pPr>
      <w:r>
        <w:t>Schema changes are owned by one migrator run as the schema owner; services connect as a non-owner, NOBYPASSRLS role.</w:t>
      </w:r>
    </w:p>
    <w:p w14:paraId="3E7C10EB" w14:textId="77777777" w:rsidR="00B260E9" w:rsidRDefault="005042F6">
      <w:pPr>
        <w:pStyle w:val="ListParagraph"/>
        <w:numPr>
          <w:ilvl w:val="0"/>
          <w:numId w:val="2"/>
        </w:numPr>
        <w:spacing w:after="80"/>
      </w:pPr>
      <w:r>
        <w:t>A validation harness bug is still a bug worth fixing in the harness, not the system under test: both failures the harness first reported (Section 16.2) traced to the harness's own connection-per-request dispatch pattern hitting a local Docker Desktop networking ceiling, confirmed by isolated probes showing zero server-side errors for the same window; fixing the harness's dispatch (bounded, connection-reusing workers) turned both into clean passes without touching the services under test.</w:t>
      </w:r>
    </w:p>
    <w:p w14:paraId="38A1DD17" w14:textId="77777777" w:rsidR="00B260E9" w:rsidRDefault="005042F6">
      <w:pPr>
        <w:pStyle w:val="Heading2"/>
        <w:spacing w:before="280" w:after="120"/>
      </w:pPr>
      <w:bookmarkStart w:id="22" w:name="_Toc241071897"/>
      <w:r>
        <w:t>15.4 Testing in Java</w:t>
      </w:r>
      <w:bookmarkEnd w:id="22"/>
    </w:p>
    <w:p w14:paraId="34AB8D67" w14:textId="77777777" w:rsidR="00B260E9" w:rsidRDefault="005042F6">
      <w:pPr>
        <w:pStyle w:val="ListParagraph"/>
        <w:numPr>
          <w:ilvl w:val="0"/>
          <w:numId w:val="2"/>
        </w:numPr>
        <w:spacing w:after="80"/>
      </w:pPr>
      <w:r>
        <w:t>Unit tests for pricing edge cases, billing periods, validation, JWT issuance and outcome mapping.</w:t>
      </w:r>
    </w:p>
    <w:p w14:paraId="345C7E49" w14:textId="77777777" w:rsidR="00B260E9" w:rsidRDefault="005042F6">
      <w:pPr>
        <w:pStyle w:val="ListParagraph"/>
        <w:numPr>
          <w:ilvl w:val="0"/>
          <w:numId w:val="2"/>
        </w:numPr>
        <w:spacing w:after="80"/>
      </w:pPr>
      <w:r>
        <w:t>Testcontainers integration tests with real PostgreSQL, Redpanda and Redis in every service — including RLS under pooled-connection reuse, duplicate/redelivered Kafka messages, concurrent billing runs and STOMP delivery.</w:t>
      </w:r>
    </w:p>
    <w:p w14:paraId="5B659680" w14:textId="77777777" w:rsidR="00B260E9" w:rsidRDefault="005042F6">
      <w:pPr>
        <w:pStyle w:val="ListParagraph"/>
        <w:numPr>
          <w:ilvl w:val="0"/>
          <w:numId w:val="2"/>
        </w:numPr>
        <w:spacing w:after="80"/>
      </w:pPr>
      <w:r>
        <w:t>ArchUnit enforces the no-float/double rule in the billing domain.</w:t>
      </w:r>
    </w:p>
    <w:p w14:paraId="634BA07D" w14:textId="77777777" w:rsidR="00B260E9" w:rsidRDefault="005042F6">
      <w:pPr>
        <w:pStyle w:val="ListParagraph"/>
        <w:numPr>
          <w:ilvl w:val="0"/>
          <w:numId w:val="2"/>
        </w:numPr>
        <w:spacing w:after="80"/>
      </w:pPr>
      <w:r>
        <w:t>322 tests total across all modules (Java unit + integration + Angular), all passing.</w:t>
      </w:r>
    </w:p>
    <w:p w14:paraId="6758BC24" w14:textId="77777777" w:rsidR="00B260E9" w:rsidRDefault="005042F6">
      <w:pPr>
        <w:pStyle w:val="ListParagraph"/>
        <w:numPr>
          <w:ilvl w:val="0"/>
          <w:numId w:val="2"/>
        </w:numPr>
        <w:spacing w:after="80"/>
      </w:pPr>
      <w:r>
        <w:t>The meterly-validation harness automates the POC exit criteria and the full release bar (contract §9) against the live Docker Compose stack — 14/14 checks passing on the final run.</w:t>
      </w:r>
    </w:p>
    <w:p w14:paraId="52369E06" w14:textId="77777777" w:rsidR="00B260E9" w:rsidRDefault="005042F6">
      <w:pPr>
        <w:pStyle w:val="Heading1"/>
        <w:spacing w:before="360" w:after="160"/>
      </w:pPr>
      <w:bookmarkStart w:id="23" w:name="_Toc241071898"/>
      <w:r>
        <w:t>16. Implementation Status &amp; Validation</w:t>
      </w:r>
      <w:bookmarkEnd w:id="23"/>
    </w:p>
    <w:p w14:paraId="14592A11" w14:textId="77777777" w:rsidR="00B260E9" w:rsidRDefault="005042F6">
      <w:pPr>
        <w:pStyle w:val="Heading2"/>
        <w:spacing w:before="280" w:after="120"/>
      </w:pPr>
      <w:bookmarkStart w:id="24" w:name="_Toc241071899"/>
      <w:r>
        <w:t>16.1 Phase status</w:t>
      </w:r>
      <w:bookmarkEnd w:id="24"/>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800"/>
      </w:tblGrid>
      <w:tr w:rsidR="00B260E9" w14:paraId="25D6CCA6" w14:textId="77777777">
        <w:tblPrEx>
          <w:tblCellMar>
            <w:top w:w="0" w:type="dxa"/>
            <w:bottom w:w="0" w:type="dxa"/>
          </w:tblCellMar>
        </w:tblPrEx>
        <w:trPr>
          <w:tblHeader/>
        </w:trPr>
        <w:tc>
          <w:tcPr>
            <w:tcW w:w="2600" w:type="dxa"/>
            <w:shd w:val="clear" w:color="auto" w:fill="1F3B57"/>
            <w:tcMar>
              <w:top w:w="80" w:type="dxa"/>
              <w:left w:w="120" w:type="dxa"/>
              <w:bottom w:w="80" w:type="dxa"/>
              <w:right w:w="120" w:type="dxa"/>
            </w:tcMar>
          </w:tcPr>
          <w:p w14:paraId="3BAF9881" w14:textId="77777777" w:rsidR="00B260E9" w:rsidRDefault="005042F6">
            <w:r>
              <w:rPr>
                <w:b/>
                <w:bCs/>
                <w:color w:val="FFFFFF"/>
                <w:sz w:val="19"/>
                <w:szCs w:val="19"/>
              </w:rPr>
              <w:t>Phase</w:t>
            </w:r>
          </w:p>
        </w:tc>
        <w:tc>
          <w:tcPr>
            <w:tcW w:w="7800" w:type="dxa"/>
            <w:shd w:val="clear" w:color="auto" w:fill="1F3B57"/>
            <w:tcMar>
              <w:top w:w="80" w:type="dxa"/>
              <w:left w:w="120" w:type="dxa"/>
              <w:bottom w:w="80" w:type="dxa"/>
              <w:right w:w="120" w:type="dxa"/>
            </w:tcMar>
          </w:tcPr>
          <w:p w14:paraId="5A7A6DE5" w14:textId="77777777" w:rsidR="00B260E9" w:rsidRDefault="005042F6">
            <w:r>
              <w:rPr>
                <w:b/>
                <w:bCs/>
                <w:color w:val="FFFFFF"/>
                <w:sz w:val="19"/>
                <w:szCs w:val="19"/>
              </w:rPr>
              <w:t>Status</w:t>
            </w:r>
          </w:p>
        </w:tc>
      </w:tr>
      <w:tr w:rsidR="00B260E9" w14:paraId="4A655713" w14:textId="77777777">
        <w:tblPrEx>
          <w:tblCellMar>
            <w:top w:w="0" w:type="dxa"/>
            <w:bottom w:w="0" w:type="dxa"/>
          </w:tblCellMar>
        </w:tblPrEx>
        <w:tc>
          <w:tcPr>
            <w:tcW w:w="2600" w:type="dxa"/>
            <w:tcMar>
              <w:top w:w="80" w:type="dxa"/>
              <w:left w:w="120" w:type="dxa"/>
              <w:bottom w:w="80" w:type="dxa"/>
              <w:right w:w="120" w:type="dxa"/>
            </w:tcMar>
          </w:tcPr>
          <w:p w14:paraId="3C75C9B5" w14:textId="77777777" w:rsidR="00B260E9" w:rsidRDefault="005042F6">
            <w:r>
              <w:rPr>
                <w:sz w:val="19"/>
                <w:szCs w:val="19"/>
              </w:rPr>
              <w:t>Phase 0 — POC</w:t>
            </w:r>
          </w:p>
        </w:tc>
        <w:tc>
          <w:tcPr>
            <w:tcW w:w="7800" w:type="dxa"/>
            <w:tcMar>
              <w:top w:w="80" w:type="dxa"/>
              <w:left w:w="120" w:type="dxa"/>
              <w:bottom w:w="80" w:type="dxa"/>
              <w:right w:w="120" w:type="dxa"/>
            </w:tcMar>
          </w:tcPr>
          <w:p w14:paraId="0DC7F096" w14:textId="77777777" w:rsidR="00B260E9" w:rsidRDefault="005042F6">
            <w:r>
              <w:rPr>
                <w:sz w:val="19"/>
                <w:szCs w:val="19"/>
              </w:rPr>
              <w:t>Complete. All four hypotheses validated against the Java implementation (Section 16.2).</w:t>
            </w:r>
          </w:p>
        </w:tc>
      </w:tr>
      <w:tr w:rsidR="00B260E9" w14:paraId="5F8CFECA" w14:textId="77777777">
        <w:tblPrEx>
          <w:tblCellMar>
            <w:top w:w="0" w:type="dxa"/>
            <w:bottom w:w="0" w:type="dxa"/>
          </w:tblCellMar>
        </w:tblPrEx>
        <w:tc>
          <w:tcPr>
            <w:tcW w:w="2600" w:type="dxa"/>
            <w:tcMar>
              <w:top w:w="80" w:type="dxa"/>
              <w:left w:w="120" w:type="dxa"/>
              <w:bottom w:w="80" w:type="dxa"/>
              <w:right w:w="120" w:type="dxa"/>
            </w:tcMar>
          </w:tcPr>
          <w:p w14:paraId="2CCA50AA" w14:textId="77777777" w:rsidR="00B260E9" w:rsidRDefault="005042F6">
            <w:r>
              <w:rPr>
                <w:sz w:val="19"/>
                <w:szCs w:val="19"/>
              </w:rPr>
              <w:t>Phase 1 — Core MVP</w:t>
            </w:r>
          </w:p>
        </w:tc>
        <w:tc>
          <w:tcPr>
            <w:tcW w:w="7800" w:type="dxa"/>
            <w:tcMar>
              <w:top w:w="80" w:type="dxa"/>
              <w:left w:w="120" w:type="dxa"/>
              <w:bottom w:w="80" w:type="dxa"/>
              <w:right w:w="120" w:type="dxa"/>
            </w:tcMar>
          </w:tcPr>
          <w:p w14:paraId="68855EA6" w14:textId="77777777" w:rsidR="00B260E9" w:rsidRDefault="005042F6">
            <w:r>
              <w:rPr>
                <w:sz w:val="19"/>
                <w:szCs w:val="19"/>
              </w:rPr>
              <w:t>Complete. Multi-tenant onboarding, all five backend services, and the Angular auth/dashboard/billing/admin views are implemented and covered by tests.</w:t>
            </w:r>
          </w:p>
        </w:tc>
      </w:tr>
      <w:tr w:rsidR="00B260E9" w14:paraId="0275A742" w14:textId="77777777">
        <w:tblPrEx>
          <w:tblCellMar>
            <w:top w:w="0" w:type="dxa"/>
            <w:bottom w:w="0" w:type="dxa"/>
          </w:tblCellMar>
        </w:tblPrEx>
        <w:tc>
          <w:tcPr>
            <w:tcW w:w="2600" w:type="dxa"/>
            <w:tcMar>
              <w:top w:w="80" w:type="dxa"/>
              <w:left w:w="120" w:type="dxa"/>
              <w:bottom w:w="80" w:type="dxa"/>
              <w:right w:w="120" w:type="dxa"/>
            </w:tcMar>
          </w:tcPr>
          <w:p w14:paraId="3F176838" w14:textId="77777777" w:rsidR="00B260E9" w:rsidRDefault="005042F6">
            <w:r>
              <w:rPr>
                <w:sz w:val="19"/>
                <w:szCs w:val="19"/>
              </w:rPr>
              <w:t>Phase 2 — Hardening</w:t>
            </w:r>
          </w:p>
        </w:tc>
        <w:tc>
          <w:tcPr>
            <w:tcW w:w="7800" w:type="dxa"/>
            <w:tcMar>
              <w:top w:w="80" w:type="dxa"/>
              <w:left w:w="120" w:type="dxa"/>
              <w:bottom w:w="80" w:type="dxa"/>
              <w:right w:w="120" w:type="dxa"/>
            </w:tcMar>
          </w:tcPr>
          <w:p w14:paraId="00060836" w14:textId="77777777" w:rsidR="00B260E9" w:rsidRDefault="005042F6">
            <w:r>
              <w:rPr>
                <w:sz w:val="19"/>
                <w:szCs w:val="19"/>
              </w:rPr>
              <w:t>Complete. Per-tenant rate limiting, the RLS pooled-connection integration test, the nightly reconciliation job, and Testcontainers-based CI are all in place.</w:t>
            </w:r>
          </w:p>
        </w:tc>
      </w:tr>
      <w:tr w:rsidR="00B260E9" w14:paraId="0C1EDB99" w14:textId="77777777">
        <w:tblPrEx>
          <w:tblCellMar>
            <w:top w:w="0" w:type="dxa"/>
            <w:bottom w:w="0" w:type="dxa"/>
          </w:tblCellMar>
        </w:tblPrEx>
        <w:tc>
          <w:tcPr>
            <w:tcW w:w="2600" w:type="dxa"/>
            <w:tcMar>
              <w:top w:w="80" w:type="dxa"/>
              <w:left w:w="120" w:type="dxa"/>
              <w:bottom w:w="80" w:type="dxa"/>
              <w:right w:w="120" w:type="dxa"/>
            </w:tcMar>
          </w:tcPr>
          <w:p w14:paraId="769E45D3" w14:textId="77777777" w:rsidR="00B260E9" w:rsidRDefault="005042F6">
            <w:r>
              <w:rPr>
                <w:sz w:val="19"/>
                <w:szCs w:val="19"/>
              </w:rPr>
              <w:t>Phase 3 — Stretch</w:t>
            </w:r>
          </w:p>
        </w:tc>
        <w:tc>
          <w:tcPr>
            <w:tcW w:w="7800" w:type="dxa"/>
            <w:tcMar>
              <w:top w:w="80" w:type="dxa"/>
              <w:left w:w="120" w:type="dxa"/>
              <w:bottom w:w="80" w:type="dxa"/>
              <w:right w:w="120" w:type="dxa"/>
            </w:tcMar>
          </w:tcPr>
          <w:p w14:paraId="30E995A6" w14:textId="77777777" w:rsidR="00B260E9" w:rsidRDefault="005042F6">
            <w:r>
              <w:rPr>
                <w:sz w:val="19"/>
                <w:szCs w:val="19"/>
              </w:rPr>
              <w:t>Partially complete. Kubernetes manifests, Prometheus/Grafana observability and notification-service are implemented; Keycloak remains out of scope (self-issued JWTs, as the PDD allows).</w:t>
            </w:r>
          </w:p>
        </w:tc>
      </w:tr>
    </w:tbl>
    <w:p w14:paraId="16DB2B57" w14:textId="77777777" w:rsidR="00B260E9" w:rsidRDefault="00B260E9">
      <w:pPr>
        <w:spacing w:after="120"/>
      </w:pPr>
    </w:p>
    <w:p w14:paraId="711A6944" w14:textId="77777777" w:rsidR="00B260E9" w:rsidRDefault="005042F6">
      <w:pPr>
        <w:pStyle w:val="Heading2"/>
        <w:spacing w:before="280" w:after="120"/>
      </w:pPr>
      <w:bookmarkStart w:id="25" w:name="_Toc241071900"/>
      <w:r>
        <w:t>16.2 Exit criteria and PDD test matrix — results</w:t>
      </w:r>
      <w:bookmarkEnd w:id="25"/>
    </w:p>
    <w:p w14:paraId="1D454C8B" w14:textId="77777777" w:rsidR="00B260E9" w:rsidRDefault="005042F6">
      <w:pPr>
        <w:spacing w:after="160"/>
      </w:pPr>
      <w:r>
        <w:t>The table below is both the POC's original exit-criteria table (Section 7 of the companion POC document) and the PDD's own testing-strategy checklist (Section 12), evaluated together against the finished Java implementation. Every row was checked automatically — either by a Testcontainers integration test in CI or by the meterly-validation harness against a live Docker Compose deployment — not asserted by hand.</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800"/>
        <w:gridCol w:w="3800"/>
      </w:tblGrid>
      <w:tr w:rsidR="00B260E9" w14:paraId="268F4063" w14:textId="77777777">
        <w:tblPrEx>
          <w:tblCellMar>
            <w:top w:w="0" w:type="dxa"/>
            <w:bottom w:w="0" w:type="dxa"/>
          </w:tblCellMar>
        </w:tblPrEx>
        <w:trPr>
          <w:tblHeader/>
        </w:trPr>
        <w:tc>
          <w:tcPr>
            <w:tcW w:w="2800" w:type="dxa"/>
            <w:shd w:val="clear" w:color="auto" w:fill="1F3B57"/>
            <w:tcMar>
              <w:top w:w="80" w:type="dxa"/>
              <w:left w:w="120" w:type="dxa"/>
              <w:bottom w:w="80" w:type="dxa"/>
              <w:right w:w="120" w:type="dxa"/>
            </w:tcMar>
          </w:tcPr>
          <w:p w14:paraId="06962746" w14:textId="77777777" w:rsidR="00B260E9" w:rsidRDefault="005042F6">
            <w:r>
              <w:rPr>
                <w:b/>
                <w:bCs/>
                <w:color w:val="FFFFFF"/>
                <w:sz w:val="19"/>
                <w:szCs w:val="19"/>
              </w:rPr>
              <w:t>Check</w:t>
            </w:r>
          </w:p>
        </w:tc>
        <w:tc>
          <w:tcPr>
            <w:tcW w:w="3800" w:type="dxa"/>
            <w:shd w:val="clear" w:color="auto" w:fill="1F3B57"/>
            <w:tcMar>
              <w:top w:w="80" w:type="dxa"/>
              <w:left w:w="120" w:type="dxa"/>
              <w:bottom w:w="80" w:type="dxa"/>
              <w:right w:w="120" w:type="dxa"/>
            </w:tcMar>
          </w:tcPr>
          <w:p w14:paraId="496D5370" w14:textId="77777777" w:rsidR="00B260E9" w:rsidRDefault="005042F6">
            <w:r>
              <w:rPr>
                <w:b/>
                <w:bCs/>
                <w:color w:val="FFFFFF"/>
                <w:sz w:val="19"/>
                <w:szCs w:val="19"/>
              </w:rPr>
              <w:t>Pass criterion</w:t>
            </w:r>
          </w:p>
        </w:tc>
        <w:tc>
          <w:tcPr>
            <w:tcW w:w="3800" w:type="dxa"/>
            <w:shd w:val="clear" w:color="auto" w:fill="1F3B57"/>
            <w:tcMar>
              <w:top w:w="80" w:type="dxa"/>
              <w:left w:w="120" w:type="dxa"/>
              <w:bottom w:w="80" w:type="dxa"/>
              <w:right w:w="120" w:type="dxa"/>
            </w:tcMar>
          </w:tcPr>
          <w:p w14:paraId="0226D392" w14:textId="77777777" w:rsidR="00B260E9" w:rsidRDefault="005042F6">
            <w:r>
              <w:rPr>
                <w:b/>
                <w:bCs/>
                <w:color w:val="FFFFFF"/>
                <w:sz w:val="19"/>
                <w:szCs w:val="19"/>
              </w:rPr>
              <w:t>Result</w:t>
            </w:r>
          </w:p>
        </w:tc>
      </w:tr>
      <w:tr w:rsidR="00B260E9" w14:paraId="3BFDACE2" w14:textId="77777777">
        <w:tblPrEx>
          <w:tblCellMar>
            <w:top w:w="0" w:type="dxa"/>
            <w:bottom w:w="0" w:type="dxa"/>
          </w:tblCellMar>
        </w:tblPrEx>
        <w:tc>
          <w:tcPr>
            <w:tcW w:w="2800" w:type="dxa"/>
            <w:tcMar>
              <w:top w:w="80" w:type="dxa"/>
              <w:left w:w="120" w:type="dxa"/>
              <w:bottom w:w="80" w:type="dxa"/>
              <w:right w:w="120" w:type="dxa"/>
            </w:tcMar>
          </w:tcPr>
          <w:p w14:paraId="60A5E038" w14:textId="77777777" w:rsidR="00B260E9" w:rsidRDefault="005042F6">
            <w:r>
              <w:rPr>
                <w:sz w:val="19"/>
                <w:szCs w:val="19"/>
              </w:rPr>
              <w:t>Idempotent metering (POC §7)</w:t>
            </w:r>
          </w:p>
        </w:tc>
        <w:tc>
          <w:tcPr>
            <w:tcW w:w="3800" w:type="dxa"/>
            <w:tcMar>
              <w:top w:w="80" w:type="dxa"/>
              <w:left w:w="120" w:type="dxa"/>
              <w:bottom w:w="80" w:type="dxa"/>
              <w:right w:w="120" w:type="dxa"/>
            </w:tcMar>
          </w:tcPr>
          <w:p w14:paraId="5697B569" w14:textId="77777777" w:rsidR="00B260E9" w:rsidRDefault="005042F6">
            <w:r>
              <w:rPr>
                <w:sz w:val="19"/>
                <w:szCs w:val="19"/>
              </w:rPr>
              <w:t>1,000 unique-key/duplicate/Kafka-redelivered events → counted events = unique keys, exactly</w:t>
            </w:r>
          </w:p>
        </w:tc>
        <w:tc>
          <w:tcPr>
            <w:tcW w:w="3800" w:type="dxa"/>
            <w:tcMar>
              <w:top w:w="80" w:type="dxa"/>
              <w:left w:w="120" w:type="dxa"/>
              <w:bottom w:w="80" w:type="dxa"/>
              <w:right w:w="120" w:type="dxa"/>
            </w:tcMar>
          </w:tcPr>
          <w:p w14:paraId="15175AA8" w14:textId="77777777" w:rsidR="00B260E9" w:rsidRDefault="005042F6">
            <w:r>
              <w:rPr>
                <w:sz w:val="19"/>
                <w:szCs w:val="19"/>
              </w:rPr>
              <w:t>PASS — 950 unique + 50 duplicate retries + 50 Kafka redeliveries settled at exactly 950 ledger rows / 950 units</w:t>
            </w:r>
          </w:p>
        </w:tc>
      </w:tr>
      <w:tr w:rsidR="00B260E9" w14:paraId="7EB35AB7" w14:textId="77777777">
        <w:tblPrEx>
          <w:tblCellMar>
            <w:top w:w="0" w:type="dxa"/>
            <w:bottom w:w="0" w:type="dxa"/>
          </w:tblCellMar>
        </w:tblPrEx>
        <w:tc>
          <w:tcPr>
            <w:tcW w:w="2800" w:type="dxa"/>
            <w:tcMar>
              <w:top w:w="80" w:type="dxa"/>
              <w:left w:w="120" w:type="dxa"/>
              <w:bottom w:w="80" w:type="dxa"/>
              <w:right w:w="120" w:type="dxa"/>
            </w:tcMar>
          </w:tcPr>
          <w:p w14:paraId="0DDE2961" w14:textId="77777777" w:rsidR="00B260E9" w:rsidRDefault="005042F6">
            <w:r>
              <w:rPr>
                <w:sz w:val="19"/>
                <w:szCs w:val="19"/>
              </w:rPr>
              <w:t>RLS isolation (POC §7, PDD §12)</w:t>
            </w:r>
          </w:p>
        </w:tc>
        <w:tc>
          <w:tcPr>
            <w:tcW w:w="3800" w:type="dxa"/>
            <w:tcMar>
              <w:top w:w="80" w:type="dxa"/>
              <w:left w:w="120" w:type="dxa"/>
              <w:bottom w:w="80" w:type="dxa"/>
              <w:right w:w="120" w:type="dxa"/>
            </w:tcMar>
          </w:tcPr>
          <w:p w14:paraId="1EE62876" w14:textId="77777777" w:rsidR="00B260E9" w:rsidRDefault="005042F6">
            <w:r>
              <w:rPr>
                <w:sz w:val="19"/>
                <w:szCs w:val="19"/>
              </w:rPr>
              <w:t>Query without a tenant filter under another tenant's bound session returns zero rows, incl. pooled-connection reuse</w:t>
            </w:r>
          </w:p>
        </w:tc>
        <w:tc>
          <w:tcPr>
            <w:tcW w:w="3800" w:type="dxa"/>
            <w:tcMar>
              <w:top w:w="80" w:type="dxa"/>
              <w:left w:w="120" w:type="dxa"/>
              <w:bottom w:w="80" w:type="dxa"/>
              <w:right w:w="120" w:type="dxa"/>
            </w:tcMar>
          </w:tcPr>
          <w:p w14:paraId="7EAAEF82" w14:textId="77777777" w:rsidR="00B260E9" w:rsidRDefault="005042F6">
            <w:r>
              <w:rPr>
                <w:sz w:val="19"/>
                <w:szCs w:val="19"/>
              </w:rPr>
              <w:t>PASS — bound as Acme, an unfiltered query sees only Acme's rows (and only Globex's when bound as Globex); no tenant bound sees zero rows</w:t>
            </w:r>
          </w:p>
        </w:tc>
      </w:tr>
      <w:tr w:rsidR="00B260E9" w14:paraId="3AA24B1D" w14:textId="77777777">
        <w:tblPrEx>
          <w:tblCellMar>
            <w:top w:w="0" w:type="dxa"/>
            <w:bottom w:w="0" w:type="dxa"/>
          </w:tblCellMar>
        </w:tblPrEx>
        <w:tc>
          <w:tcPr>
            <w:tcW w:w="2800" w:type="dxa"/>
            <w:tcMar>
              <w:top w:w="80" w:type="dxa"/>
              <w:left w:w="120" w:type="dxa"/>
              <w:bottom w:w="80" w:type="dxa"/>
              <w:right w:w="120" w:type="dxa"/>
            </w:tcMar>
          </w:tcPr>
          <w:p w14:paraId="41AC0E80" w14:textId="77777777" w:rsidR="00B260E9" w:rsidRDefault="005042F6">
            <w:r>
              <w:rPr>
                <w:sz w:val="19"/>
                <w:szCs w:val="19"/>
              </w:rPr>
              <w:t>Live dashboard latency (POC §7)</w:t>
            </w:r>
          </w:p>
        </w:tc>
        <w:tc>
          <w:tcPr>
            <w:tcW w:w="3800" w:type="dxa"/>
            <w:tcMar>
              <w:top w:w="80" w:type="dxa"/>
              <w:left w:w="120" w:type="dxa"/>
              <w:bottom w:w="80" w:type="dxa"/>
              <w:right w:w="120" w:type="dxa"/>
            </w:tcMar>
          </w:tcPr>
          <w:p w14:paraId="00B50D42" w14:textId="77777777" w:rsidR="00B260E9" w:rsidRDefault="005042F6">
            <w:r>
              <w:rPr>
                <w:sz w:val="19"/>
                <w:szCs w:val="19"/>
              </w:rPr>
              <w:t>≥ 18 of 20 trials reflected within 2 s</w:t>
            </w:r>
          </w:p>
        </w:tc>
        <w:tc>
          <w:tcPr>
            <w:tcW w:w="3800" w:type="dxa"/>
            <w:tcMar>
              <w:top w:w="80" w:type="dxa"/>
              <w:left w:w="120" w:type="dxa"/>
              <w:bottom w:w="80" w:type="dxa"/>
              <w:right w:w="120" w:type="dxa"/>
            </w:tcMar>
          </w:tcPr>
          <w:p w14:paraId="3CCA5EC4" w14:textId="77777777" w:rsidR="00B260E9" w:rsidRDefault="005042F6">
            <w:r>
              <w:rPr>
                <w:sz w:val="19"/>
                <w:szCs w:val="19"/>
              </w:rPr>
              <w:t>PASS — 20/20 of the first 20 within 2 s; p50=0ms p95=0ms p99=4ms max=4ms over 55 trials</w:t>
            </w:r>
          </w:p>
        </w:tc>
      </w:tr>
      <w:tr w:rsidR="00B260E9" w14:paraId="577D7A8C" w14:textId="77777777">
        <w:tblPrEx>
          <w:tblCellMar>
            <w:top w:w="0" w:type="dxa"/>
            <w:bottom w:w="0" w:type="dxa"/>
          </w:tblCellMar>
        </w:tblPrEx>
        <w:tc>
          <w:tcPr>
            <w:tcW w:w="2800" w:type="dxa"/>
            <w:tcMar>
              <w:top w:w="80" w:type="dxa"/>
              <w:left w:w="120" w:type="dxa"/>
              <w:bottom w:w="80" w:type="dxa"/>
              <w:right w:w="120" w:type="dxa"/>
            </w:tcMar>
          </w:tcPr>
          <w:p w14:paraId="7F286887" w14:textId="77777777" w:rsidR="00B260E9" w:rsidRDefault="005042F6">
            <w:r>
              <w:rPr>
                <w:sz w:val="19"/>
                <w:szCs w:val="19"/>
              </w:rPr>
              <w:t>Correct tiered invoice (POC §7)</w:t>
            </w:r>
          </w:p>
        </w:tc>
        <w:tc>
          <w:tcPr>
            <w:tcW w:w="3800" w:type="dxa"/>
            <w:tcMar>
              <w:top w:w="80" w:type="dxa"/>
              <w:left w:w="120" w:type="dxa"/>
              <w:bottom w:w="80" w:type="dxa"/>
              <w:right w:w="120" w:type="dxa"/>
            </w:tcMar>
          </w:tcPr>
          <w:p w14:paraId="4C3F10CF" w14:textId="77777777" w:rsidR="00B260E9" w:rsidRDefault="005042F6">
            <w:r>
              <w:rPr>
                <w:sz w:val="19"/>
                <w:szCs w:val="19"/>
              </w:rPr>
              <w:t>Invoice total equals an independent hand calculation to the cent</w:t>
            </w:r>
          </w:p>
        </w:tc>
        <w:tc>
          <w:tcPr>
            <w:tcW w:w="3800" w:type="dxa"/>
            <w:tcMar>
              <w:top w:w="80" w:type="dxa"/>
              <w:left w:w="120" w:type="dxa"/>
              <w:bottom w:w="80" w:type="dxa"/>
              <w:right w:w="120" w:type="dxa"/>
            </w:tcMar>
          </w:tcPr>
          <w:p w14:paraId="2A74A227" w14:textId="77777777" w:rsidR="00B260E9" w:rsidRDefault="005042F6">
            <w:r>
              <w:rPr>
                <w:sz w:val="19"/>
                <w:szCs w:val="19"/>
              </w:rPr>
              <w:t>PASS — Acme 278.69, Globex 249.00, both matching an independent recomputation; a re-run returns the same invoice</w:t>
            </w:r>
          </w:p>
        </w:tc>
      </w:tr>
      <w:tr w:rsidR="00B260E9" w14:paraId="3A04655B" w14:textId="77777777">
        <w:tblPrEx>
          <w:tblCellMar>
            <w:top w:w="0" w:type="dxa"/>
            <w:bottom w:w="0" w:type="dxa"/>
          </w:tblCellMar>
        </w:tblPrEx>
        <w:tc>
          <w:tcPr>
            <w:tcW w:w="2800" w:type="dxa"/>
            <w:tcMar>
              <w:top w:w="80" w:type="dxa"/>
              <w:left w:w="120" w:type="dxa"/>
              <w:bottom w:w="80" w:type="dxa"/>
              <w:right w:w="120" w:type="dxa"/>
            </w:tcMar>
          </w:tcPr>
          <w:p w14:paraId="03D33889" w14:textId="77777777" w:rsidR="00B260E9" w:rsidRDefault="005042F6">
            <w:r>
              <w:rPr>
                <w:sz w:val="19"/>
                <w:szCs w:val="19"/>
              </w:rPr>
              <w:t>Billing idempotency (PDD §12)</w:t>
            </w:r>
          </w:p>
        </w:tc>
        <w:tc>
          <w:tcPr>
            <w:tcW w:w="3800" w:type="dxa"/>
            <w:tcMar>
              <w:top w:w="80" w:type="dxa"/>
              <w:left w:w="120" w:type="dxa"/>
              <w:bottom w:w="80" w:type="dxa"/>
              <w:right w:w="120" w:type="dxa"/>
            </w:tcMar>
          </w:tcPr>
          <w:p w14:paraId="592C93EB" w14:textId="77777777" w:rsidR="00B260E9" w:rsidRDefault="005042F6">
            <w:r>
              <w:rPr>
                <w:sz w:val="19"/>
                <w:szCs w:val="19"/>
              </w:rPr>
              <w:t>Re-running the billing job for an already-invoiced period creates no duplicate invoice</w:t>
            </w:r>
          </w:p>
        </w:tc>
        <w:tc>
          <w:tcPr>
            <w:tcW w:w="3800" w:type="dxa"/>
            <w:tcMar>
              <w:top w:w="80" w:type="dxa"/>
              <w:left w:w="120" w:type="dxa"/>
              <w:bottom w:w="80" w:type="dxa"/>
              <w:right w:w="120" w:type="dxa"/>
            </w:tcMar>
          </w:tcPr>
          <w:p w14:paraId="1E338866" w14:textId="77777777" w:rsidR="00B260E9" w:rsidRDefault="005042F6">
            <w:r>
              <w:rPr>
                <w:sz w:val="19"/>
                <w:szCs w:val="19"/>
              </w:rPr>
              <w:t>PASS — verified both by the harness's re-run check and by a dedicated concurrent-run integration test</w:t>
            </w:r>
          </w:p>
        </w:tc>
      </w:tr>
      <w:tr w:rsidR="00B260E9" w14:paraId="20465ACA" w14:textId="77777777">
        <w:tblPrEx>
          <w:tblCellMar>
            <w:top w:w="0" w:type="dxa"/>
            <w:bottom w:w="0" w:type="dxa"/>
          </w:tblCellMar>
        </w:tblPrEx>
        <w:tc>
          <w:tcPr>
            <w:tcW w:w="2800" w:type="dxa"/>
            <w:tcMar>
              <w:top w:w="80" w:type="dxa"/>
              <w:left w:w="120" w:type="dxa"/>
              <w:bottom w:w="80" w:type="dxa"/>
              <w:right w:w="120" w:type="dxa"/>
            </w:tcMar>
          </w:tcPr>
          <w:p w14:paraId="55B125A8" w14:textId="77777777" w:rsidR="00B260E9" w:rsidRDefault="005042F6">
            <w:r>
              <w:rPr>
                <w:sz w:val="19"/>
                <w:szCs w:val="19"/>
              </w:rPr>
              <w:t>Tier-boundary unit tests (PDD §12)</w:t>
            </w:r>
          </w:p>
        </w:tc>
        <w:tc>
          <w:tcPr>
            <w:tcW w:w="3800" w:type="dxa"/>
            <w:tcMar>
              <w:top w:w="80" w:type="dxa"/>
              <w:left w:w="120" w:type="dxa"/>
              <w:bottom w:w="80" w:type="dxa"/>
              <w:right w:w="120" w:type="dxa"/>
            </w:tcMar>
          </w:tcPr>
          <w:p w14:paraId="07FE7075" w14:textId="77777777" w:rsidR="00B260E9" w:rsidRDefault="005042F6">
            <w:r>
              <w:rPr>
                <w:sz w:val="19"/>
                <w:szCs w:val="19"/>
              </w:rPr>
              <w:t>At included units, spanning tiers, zero usage, HALF_EVEN cases match hand totals</w:t>
            </w:r>
          </w:p>
        </w:tc>
        <w:tc>
          <w:tcPr>
            <w:tcW w:w="3800" w:type="dxa"/>
            <w:tcMar>
              <w:top w:w="80" w:type="dxa"/>
              <w:left w:w="120" w:type="dxa"/>
              <w:bottom w:w="80" w:type="dxa"/>
              <w:right w:w="120" w:type="dxa"/>
            </w:tcMar>
          </w:tcPr>
          <w:p w14:paraId="472CE47D" w14:textId="77777777" w:rsidR="00B260E9" w:rsidRDefault="005042F6">
            <w:r>
              <w:rPr>
                <w:sz w:val="19"/>
                <w:szCs w:val="19"/>
              </w:rPr>
              <w:t>PASS — 19 PricingEngineTest cases incl. HALF_EVEN rounding table and a 10^12-unit exact case</w:t>
            </w:r>
          </w:p>
        </w:tc>
      </w:tr>
      <w:tr w:rsidR="00B260E9" w14:paraId="16E69DBC" w14:textId="77777777">
        <w:tblPrEx>
          <w:tblCellMar>
            <w:top w:w="0" w:type="dxa"/>
            <w:bottom w:w="0" w:type="dxa"/>
          </w:tblCellMar>
        </w:tblPrEx>
        <w:tc>
          <w:tcPr>
            <w:tcW w:w="2800" w:type="dxa"/>
            <w:tcMar>
              <w:top w:w="80" w:type="dxa"/>
              <w:left w:w="120" w:type="dxa"/>
              <w:bottom w:w="80" w:type="dxa"/>
              <w:right w:w="120" w:type="dxa"/>
            </w:tcMar>
          </w:tcPr>
          <w:p w14:paraId="4615C6E2" w14:textId="77777777" w:rsidR="00B260E9" w:rsidRDefault="005042F6">
            <w:r>
              <w:rPr>
                <w:sz w:val="19"/>
                <w:szCs w:val="19"/>
              </w:rPr>
              <w:t>Dashboard component test (PDD §12)</w:t>
            </w:r>
          </w:p>
        </w:tc>
        <w:tc>
          <w:tcPr>
            <w:tcW w:w="3800" w:type="dxa"/>
            <w:tcMar>
              <w:top w:w="80" w:type="dxa"/>
              <w:left w:w="120" w:type="dxa"/>
              <w:bottom w:w="80" w:type="dxa"/>
              <w:right w:w="120" w:type="dxa"/>
            </w:tcMar>
          </w:tcPr>
          <w:p w14:paraId="4C7B9B3A" w14:textId="77777777" w:rsidR="00B260E9" w:rsidRDefault="005042F6">
            <w:r>
              <w:rPr>
                <w:sz w:val="19"/>
                <w:szCs w:val="19"/>
              </w:rPr>
              <w:t>Chart updates correctly from a mocked STOMP payload</w:t>
            </w:r>
          </w:p>
        </w:tc>
        <w:tc>
          <w:tcPr>
            <w:tcW w:w="3800" w:type="dxa"/>
            <w:tcMar>
              <w:top w:w="80" w:type="dxa"/>
              <w:left w:w="120" w:type="dxa"/>
              <w:bottom w:w="80" w:type="dxa"/>
              <w:right w:w="120" w:type="dxa"/>
            </w:tcMar>
          </w:tcPr>
          <w:p w14:paraId="3CFED2B7" w14:textId="77777777" w:rsidR="00B260E9" w:rsidRDefault="005042F6">
            <w:r>
              <w:rPr>
                <w:sz w:val="19"/>
                <w:szCs w:val="19"/>
              </w:rPr>
              <w:t>PASS — Angular component test asserts both the counter card and the live chart bucket update from a mocked UsageUpdate stream, and ignores updates for a different period</w:t>
            </w:r>
          </w:p>
        </w:tc>
      </w:tr>
      <w:tr w:rsidR="00B260E9" w14:paraId="1C57B6C5" w14:textId="77777777">
        <w:tblPrEx>
          <w:tblCellMar>
            <w:top w:w="0" w:type="dxa"/>
            <w:bottom w:w="0" w:type="dxa"/>
          </w:tblCellMar>
        </w:tblPrEx>
        <w:tc>
          <w:tcPr>
            <w:tcW w:w="2800" w:type="dxa"/>
            <w:tcMar>
              <w:top w:w="80" w:type="dxa"/>
              <w:left w:w="120" w:type="dxa"/>
              <w:bottom w:w="80" w:type="dxa"/>
              <w:right w:w="120" w:type="dxa"/>
            </w:tcMar>
          </w:tcPr>
          <w:p w14:paraId="283DF450" w14:textId="77777777" w:rsidR="00B260E9" w:rsidRDefault="005042F6">
            <w:r>
              <w:rPr>
                <w:sz w:val="19"/>
                <w:szCs w:val="19"/>
              </w:rPr>
              <w:t>Per-tenant rate limiting (contract §9)</w:t>
            </w:r>
          </w:p>
        </w:tc>
        <w:tc>
          <w:tcPr>
            <w:tcW w:w="3800" w:type="dxa"/>
            <w:tcMar>
              <w:top w:w="80" w:type="dxa"/>
              <w:left w:w="120" w:type="dxa"/>
              <w:bottom w:w="80" w:type="dxa"/>
              <w:right w:w="120" w:type="dxa"/>
            </w:tcMar>
          </w:tcPr>
          <w:p w14:paraId="6BD271AF" w14:textId="77777777" w:rsidR="00B260E9" w:rsidRDefault="005042F6">
            <w:r>
              <w:rPr>
                <w:sz w:val="19"/>
                <w:szCs w:val="19"/>
              </w:rPr>
              <w:t>A burst beyond the bucket gets 429 + Retry-After for that tenant only; another tenant is unaffected; it recovers after waiting</w:t>
            </w:r>
          </w:p>
        </w:tc>
        <w:tc>
          <w:tcPr>
            <w:tcW w:w="3800" w:type="dxa"/>
            <w:tcMar>
              <w:top w:w="80" w:type="dxa"/>
              <w:left w:w="120" w:type="dxa"/>
              <w:bottom w:w="80" w:type="dxa"/>
              <w:right w:w="120" w:type="dxa"/>
            </w:tcMar>
          </w:tcPr>
          <w:p w14:paraId="03603180" w14:textId="77777777" w:rsidR="00B260E9" w:rsidRDefault="005042F6">
            <w:r>
              <w:rPr>
                <w:sz w:val="19"/>
                <w:szCs w:val="19"/>
              </w:rPr>
              <w:t>PASS — 2,550/4,500 accepted before 429s began; a second tenant succeeded throughout; the limited tenant recovered after waiting</w:t>
            </w:r>
          </w:p>
        </w:tc>
      </w:tr>
      <w:tr w:rsidR="00B260E9" w14:paraId="08EB1D0D" w14:textId="77777777">
        <w:tblPrEx>
          <w:tblCellMar>
            <w:top w:w="0" w:type="dxa"/>
            <w:bottom w:w="0" w:type="dxa"/>
          </w:tblCellMar>
        </w:tblPrEx>
        <w:tc>
          <w:tcPr>
            <w:tcW w:w="2800" w:type="dxa"/>
            <w:tcMar>
              <w:top w:w="80" w:type="dxa"/>
              <w:left w:w="120" w:type="dxa"/>
              <w:bottom w:w="80" w:type="dxa"/>
              <w:right w:w="120" w:type="dxa"/>
            </w:tcMar>
          </w:tcPr>
          <w:p w14:paraId="6C0B710A" w14:textId="77777777" w:rsidR="00B260E9" w:rsidRDefault="005042F6">
            <w:r>
              <w:rPr>
                <w:sz w:val="19"/>
                <w:szCs w:val="19"/>
              </w:rPr>
              <w:t>Three tenants under RLS (contract §9)</w:t>
            </w:r>
          </w:p>
        </w:tc>
        <w:tc>
          <w:tcPr>
            <w:tcW w:w="3800" w:type="dxa"/>
            <w:tcMar>
              <w:top w:w="80" w:type="dxa"/>
              <w:left w:w="120" w:type="dxa"/>
              <w:bottom w:w="80" w:type="dxa"/>
              <w:right w:w="120" w:type="dxa"/>
            </w:tcMar>
          </w:tcPr>
          <w:p w14:paraId="0DFC85CC" w14:textId="77777777" w:rsidR="00B260E9" w:rsidRDefault="005042F6">
            <w:r>
              <w:rPr>
                <w:sz w:val="19"/>
                <w:szCs w:val="19"/>
              </w:rPr>
              <w:t>Two seeded tenants plus one created live through the public signup endpoint, all isolated</w:t>
            </w:r>
          </w:p>
        </w:tc>
        <w:tc>
          <w:tcPr>
            <w:tcW w:w="3800" w:type="dxa"/>
            <w:tcMar>
              <w:top w:w="80" w:type="dxa"/>
              <w:left w:w="120" w:type="dxa"/>
              <w:bottom w:w="80" w:type="dxa"/>
              <w:right w:w="120" w:type="dxa"/>
            </w:tcMar>
          </w:tcPr>
          <w:p w14:paraId="2BA58BA6" w14:textId="77777777" w:rsidR="00B260E9" w:rsidRDefault="005042F6">
            <w:r>
              <w:rPr>
                <w:sz w:val="19"/>
                <w:szCs w:val="19"/>
              </w:rPr>
              <w:t>PASS — Acme, Globex and a tenant created via POST /v1/tenants during the run</w:t>
            </w:r>
          </w:p>
        </w:tc>
      </w:tr>
    </w:tbl>
    <w:p w14:paraId="3EC6229C" w14:textId="77777777" w:rsidR="00B260E9" w:rsidRDefault="00B260E9">
      <w:pPr>
        <w:spacing w:after="120"/>
      </w:pPr>
    </w:p>
    <w:p w14:paraId="522A9EED" w14:textId="77777777" w:rsidR="00B260E9" w:rsidRDefault="005042F6">
      <w:pPr>
        <w:pStyle w:val="Heading1"/>
        <w:spacing w:before="360" w:after="160"/>
      </w:pPr>
      <w:bookmarkStart w:id="26" w:name="_Toc241071901"/>
      <w:r>
        <w:t>17. Appendix</w:t>
      </w:r>
      <w:bookmarkEnd w:id="26"/>
    </w:p>
    <w:p w14:paraId="481FC549" w14:textId="77777777" w:rsidR="00B260E9" w:rsidRDefault="005042F6">
      <w:pPr>
        <w:pStyle w:val="Heading2"/>
        <w:spacing w:before="280" w:after="120"/>
      </w:pPr>
      <w:bookmarkStart w:id="27" w:name="_Toc241071902"/>
      <w:r>
        <w:t>17.1 Glossary</w:t>
      </w:r>
      <w:bookmarkEnd w:id="27"/>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00"/>
      </w:tblGrid>
      <w:tr w:rsidR="00B260E9" w14:paraId="0A0D32F1" w14:textId="77777777">
        <w:tblPrEx>
          <w:tblCellMar>
            <w:top w:w="0" w:type="dxa"/>
            <w:bottom w:w="0" w:type="dxa"/>
          </w:tblCellMar>
        </w:tblPrEx>
        <w:trPr>
          <w:tblHeader/>
        </w:trPr>
        <w:tc>
          <w:tcPr>
            <w:tcW w:w="3000" w:type="dxa"/>
            <w:shd w:val="clear" w:color="auto" w:fill="1F3B57"/>
            <w:tcMar>
              <w:top w:w="80" w:type="dxa"/>
              <w:left w:w="120" w:type="dxa"/>
              <w:bottom w:w="80" w:type="dxa"/>
              <w:right w:w="120" w:type="dxa"/>
            </w:tcMar>
          </w:tcPr>
          <w:p w14:paraId="05E05D89" w14:textId="77777777" w:rsidR="00B260E9" w:rsidRDefault="005042F6">
            <w:r>
              <w:rPr>
                <w:b/>
                <w:bCs/>
                <w:color w:val="FFFFFF"/>
                <w:sz w:val="19"/>
                <w:szCs w:val="19"/>
              </w:rPr>
              <w:t>Term</w:t>
            </w:r>
          </w:p>
        </w:tc>
        <w:tc>
          <w:tcPr>
            <w:tcW w:w="6600" w:type="dxa"/>
            <w:shd w:val="clear" w:color="auto" w:fill="1F3B57"/>
            <w:tcMar>
              <w:top w:w="80" w:type="dxa"/>
              <w:left w:w="120" w:type="dxa"/>
              <w:bottom w:w="80" w:type="dxa"/>
              <w:right w:w="120" w:type="dxa"/>
            </w:tcMar>
          </w:tcPr>
          <w:p w14:paraId="0B710659" w14:textId="77777777" w:rsidR="00B260E9" w:rsidRDefault="005042F6">
            <w:r>
              <w:rPr>
                <w:b/>
                <w:bCs/>
                <w:color w:val="FFFFFF"/>
                <w:sz w:val="19"/>
                <w:szCs w:val="19"/>
              </w:rPr>
              <w:t>Definition</w:t>
            </w:r>
          </w:p>
        </w:tc>
      </w:tr>
      <w:tr w:rsidR="00B260E9" w14:paraId="3945AD77" w14:textId="77777777">
        <w:tblPrEx>
          <w:tblCellMar>
            <w:top w:w="0" w:type="dxa"/>
            <w:bottom w:w="0" w:type="dxa"/>
          </w:tblCellMar>
        </w:tblPrEx>
        <w:tc>
          <w:tcPr>
            <w:tcW w:w="3000" w:type="dxa"/>
            <w:tcMar>
              <w:top w:w="80" w:type="dxa"/>
              <w:left w:w="120" w:type="dxa"/>
              <w:bottom w:w="80" w:type="dxa"/>
              <w:right w:w="120" w:type="dxa"/>
            </w:tcMar>
          </w:tcPr>
          <w:p w14:paraId="3767FA47" w14:textId="77777777" w:rsidR="00B260E9" w:rsidRDefault="005042F6">
            <w:r>
              <w:rPr>
                <w:sz w:val="19"/>
                <w:szCs w:val="19"/>
              </w:rPr>
              <w:t>Tenant</w:t>
            </w:r>
          </w:p>
        </w:tc>
        <w:tc>
          <w:tcPr>
            <w:tcW w:w="6600" w:type="dxa"/>
            <w:tcMar>
              <w:top w:w="80" w:type="dxa"/>
              <w:left w:w="120" w:type="dxa"/>
              <w:bottom w:w="80" w:type="dxa"/>
              <w:right w:w="120" w:type="dxa"/>
            </w:tcMar>
          </w:tcPr>
          <w:p w14:paraId="2AF94E82" w14:textId="77777777" w:rsidR="00B260E9" w:rsidRDefault="005042F6">
            <w:r>
              <w:rPr>
                <w:sz w:val="19"/>
                <w:szCs w:val="19"/>
              </w:rPr>
              <w:t>A customer organization using Meterly; the unit of data isolation.</w:t>
            </w:r>
          </w:p>
        </w:tc>
      </w:tr>
      <w:tr w:rsidR="00B260E9" w14:paraId="16BBE16C" w14:textId="77777777">
        <w:tblPrEx>
          <w:tblCellMar>
            <w:top w:w="0" w:type="dxa"/>
            <w:bottom w:w="0" w:type="dxa"/>
          </w:tblCellMar>
        </w:tblPrEx>
        <w:tc>
          <w:tcPr>
            <w:tcW w:w="3000" w:type="dxa"/>
            <w:tcMar>
              <w:top w:w="80" w:type="dxa"/>
              <w:left w:w="120" w:type="dxa"/>
              <w:bottom w:w="80" w:type="dxa"/>
              <w:right w:w="120" w:type="dxa"/>
            </w:tcMar>
          </w:tcPr>
          <w:p w14:paraId="411C78B6" w14:textId="77777777" w:rsidR="00B260E9" w:rsidRDefault="005042F6">
            <w:r>
              <w:rPr>
                <w:sz w:val="19"/>
                <w:szCs w:val="19"/>
              </w:rPr>
              <w:t>Idempotency key</w:t>
            </w:r>
          </w:p>
        </w:tc>
        <w:tc>
          <w:tcPr>
            <w:tcW w:w="6600" w:type="dxa"/>
            <w:tcMar>
              <w:top w:w="80" w:type="dxa"/>
              <w:left w:w="120" w:type="dxa"/>
              <w:bottom w:w="80" w:type="dxa"/>
              <w:right w:w="120" w:type="dxa"/>
            </w:tcMar>
          </w:tcPr>
          <w:p w14:paraId="7C4FA6B8" w14:textId="77777777" w:rsidR="00B260E9" w:rsidRDefault="005042F6">
            <w:r>
              <w:rPr>
                <w:sz w:val="19"/>
                <w:szCs w:val="19"/>
              </w:rPr>
              <w:t>A client-supplied unique token allowing safe rejection of duplicate submissions.</w:t>
            </w:r>
          </w:p>
        </w:tc>
      </w:tr>
      <w:tr w:rsidR="00B260E9" w14:paraId="2D0B91DA" w14:textId="77777777">
        <w:tblPrEx>
          <w:tblCellMar>
            <w:top w:w="0" w:type="dxa"/>
            <w:bottom w:w="0" w:type="dxa"/>
          </w:tblCellMar>
        </w:tblPrEx>
        <w:tc>
          <w:tcPr>
            <w:tcW w:w="3000" w:type="dxa"/>
            <w:tcMar>
              <w:top w:w="80" w:type="dxa"/>
              <w:left w:w="120" w:type="dxa"/>
              <w:bottom w:w="80" w:type="dxa"/>
              <w:right w:w="120" w:type="dxa"/>
            </w:tcMar>
          </w:tcPr>
          <w:p w14:paraId="40C3BA63" w14:textId="77777777" w:rsidR="00B260E9" w:rsidRDefault="005042F6">
            <w:r>
              <w:rPr>
                <w:sz w:val="19"/>
                <w:szCs w:val="19"/>
              </w:rPr>
              <w:t>Row-Level Security (RLS)</w:t>
            </w:r>
          </w:p>
        </w:tc>
        <w:tc>
          <w:tcPr>
            <w:tcW w:w="6600" w:type="dxa"/>
            <w:tcMar>
              <w:top w:w="80" w:type="dxa"/>
              <w:left w:w="120" w:type="dxa"/>
              <w:bottom w:w="80" w:type="dxa"/>
              <w:right w:w="120" w:type="dxa"/>
            </w:tcMar>
          </w:tcPr>
          <w:p w14:paraId="2FD22CC0" w14:textId="77777777" w:rsidR="00B260E9" w:rsidRDefault="005042F6">
            <w:r>
              <w:rPr>
                <w:sz w:val="19"/>
                <w:szCs w:val="19"/>
              </w:rPr>
              <w:t>PostgreSQL feature enforcing per-row access policies at the database layer.</w:t>
            </w:r>
          </w:p>
        </w:tc>
      </w:tr>
      <w:tr w:rsidR="00B260E9" w14:paraId="6DA98330" w14:textId="77777777">
        <w:tblPrEx>
          <w:tblCellMar>
            <w:top w:w="0" w:type="dxa"/>
            <w:bottom w:w="0" w:type="dxa"/>
          </w:tblCellMar>
        </w:tblPrEx>
        <w:tc>
          <w:tcPr>
            <w:tcW w:w="3000" w:type="dxa"/>
            <w:tcMar>
              <w:top w:w="80" w:type="dxa"/>
              <w:left w:w="120" w:type="dxa"/>
              <w:bottom w:w="80" w:type="dxa"/>
              <w:right w:w="120" w:type="dxa"/>
            </w:tcMar>
          </w:tcPr>
          <w:p w14:paraId="2FE71257" w14:textId="77777777" w:rsidR="00B260E9" w:rsidRDefault="005042F6">
            <w:r>
              <w:rPr>
                <w:sz w:val="19"/>
                <w:szCs w:val="19"/>
              </w:rPr>
              <w:t>Tiered pricing</w:t>
            </w:r>
          </w:p>
        </w:tc>
        <w:tc>
          <w:tcPr>
            <w:tcW w:w="6600" w:type="dxa"/>
            <w:tcMar>
              <w:top w:w="80" w:type="dxa"/>
              <w:left w:w="120" w:type="dxa"/>
              <w:bottom w:w="80" w:type="dxa"/>
              <w:right w:w="120" w:type="dxa"/>
            </w:tcMar>
          </w:tcPr>
          <w:p w14:paraId="4EB76BA5" w14:textId="77777777" w:rsidR="00B260E9" w:rsidRDefault="005042F6">
            <w:r>
              <w:rPr>
                <w:sz w:val="19"/>
                <w:szCs w:val="19"/>
              </w:rPr>
              <w:t>A billing model where different marginal unit prices apply above successive usage thresholds.</w:t>
            </w:r>
          </w:p>
        </w:tc>
      </w:tr>
      <w:tr w:rsidR="00B260E9" w14:paraId="294C35C9" w14:textId="77777777">
        <w:tblPrEx>
          <w:tblCellMar>
            <w:top w:w="0" w:type="dxa"/>
            <w:bottom w:w="0" w:type="dxa"/>
          </w:tblCellMar>
        </w:tblPrEx>
        <w:tc>
          <w:tcPr>
            <w:tcW w:w="3000" w:type="dxa"/>
            <w:tcMar>
              <w:top w:w="80" w:type="dxa"/>
              <w:left w:w="120" w:type="dxa"/>
              <w:bottom w:w="80" w:type="dxa"/>
              <w:right w:w="120" w:type="dxa"/>
            </w:tcMar>
          </w:tcPr>
          <w:p w14:paraId="1B1AB802" w14:textId="77777777" w:rsidR="00B260E9" w:rsidRDefault="005042F6">
            <w:r>
              <w:rPr>
                <w:sz w:val="19"/>
                <w:szCs w:val="19"/>
              </w:rPr>
              <w:t>Proration</w:t>
            </w:r>
          </w:p>
        </w:tc>
        <w:tc>
          <w:tcPr>
            <w:tcW w:w="6600" w:type="dxa"/>
            <w:tcMar>
              <w:top w:w="80" w:type="dxa"/>
              <w:left w:w="120" w:type="dxa"/>
              <w:bottom w:w="80" w:type="dxa"/>
              <w:right w:w="120" w:type="dxa"/>
            </w:tcMar>
          </w:tcPr>
          <w:p w14:paraId="6B11EA08" w14:textId="77777777" w:rsidR="00B260E9" w:rsidRDefault="005042F6">
            <w:r>
              <w:rPr>
                <w:sz w:val="19"/>
                <w:szCs w:val="19"/>
              </w:rPr>
              <w:t>Adjusting a charge for a partial billing period (out of scope for this project).</w:t>
            </w:r>
          </w:p>
        </w:tc>
      </w:tr>
      <w:tr w:rsidR="00B260E9" w14:paraId="61EAF71F" w14:textId="77777777">
        <w:tblPrEx>
          <w:tblCellMar>
            <w:top w:w="0" w:type="dxa"/>
            <w:bottom w:w="0" w:type="dxa"/>
          </w:tblCellMar>
        </w:tblPrEx>
        <w:tc>
          <w:tcPr>
            <w:tcW w:w="3000" w:type="dxa"/>
            <w:tcMar>
              <w:top w:w="80" w:type="dxa"/>
              <w:left w:w="120" w:type="dxa"/>
              <w:bottom w:w="80" w:type="dxa"/>
              <w:right w:w="120" w:type="dxa"/>
            </w:tcMar>
          </w:tcPr>
          <w:p w14:paraId="6BB823AD" w14:textId="77777777" w:rsidR="00B260E9" w:rsidRDefault="005042F6">
            <w:r>
              <w:rPr>
                <w:sz w:val="19"/>
                <w:szCs w:val="19"/>
              </w:rPr>
              <w:t>Source of truth</w:t>
            </w:r>
          </w:p>
        </w:tc>
        <w:tc>
          <w:tcPr>
            <w:tcW w:w="6600" w:type="dxa"/>
            <w:tcMar>
              <w:top w:w="80" w:type="dxa"/>
              <w:left w:w="120" w:type="dxa"/>
              <w:bottom w:w="80" w:type="dxa"/>
              <w:right w:w="120" w:type="dxa"/>
            </w:tcMar>
          </w:tcPr>
          <w:p w14:paraId="123DA4E1" w14:textId="77777777" w:rsidR="00B260E9" w:rsidRDefault="005042F6">
            <w:r>
              <w:rPr>
                <w:sz w:val="19"/>
                <w:szCs w:val="19"/>
              </w:rPr>
              <w:t>In this design, PostgreSQL for usage and billing data; Redis is a read-optimized cache only.</w:t>
            </w:r>
          </w:p>
        </w:tc>
      </w:tr>
    </w:tbl>
    <w:p w14:paraId="0E17409F" w14:textId="77777777" w:rsidR="00B260E9" w:rsidRDefault="005042F6">
      <w:pPr>
        <w:pStyle w:val="Heading2"/>
        <w:spacing w:before="280" w:after="120"/>
      </w:pPr>
      <w:bookmarkStart w:id="28" w:name="_Toc241071903"/>
      <w:r>
        <w:t>17.2 Revision history</w:t>
      </w:r>
      <w:bookmarkEnd w:id="28"/>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200"/>
        <w:gridCol w:w="6900"/>
      </w:tblGrid>
      <w:tr w:rsidR="00B260E9" w14:paraId="7A946506" w14:textId="77777777">
        <w:tblPrEx>
          <w:tblCellMar>
            <w:top w:w="0" w:type="dxa"/>
            <w:bottom w:w="0" w:type="dxa"/>
          </w:tblCellMar>
        </w:tblPrEx>
        <w:trPr>
          <w:tblHeader/>
        </w:trPr>
        <w:tc>
          <w:tcPr>
            <w:tcW w:w="1300" w:type="dxa"/>
            <w:shd w:val="clear" w:color="auto" w:fill="1F3B57"/>
            <w:tcMar>
              <w:top w:w="80" w:type="dxa"/>
              <w:left w:w="120" w:type="dxa"/>
              <w:bottom w:w="80" w:type="dxa"/>
              <w:right w:w="120" w:type="dxa"/>
            </w:tcMar>
          </w:tcPr>
          <w:p w14:paraId="2D16DDDE" w14:textId="77777777" w:rsidR="00B260E9" w:rsidRDefault="005042F6">
            <w:r>
              <w:rPr>
                <w:b/>
                <w:bCs/>
                <w:color w:val="FFFFFF"/>
                <w:sz w:val="19"/>
                <w:szCs w:val="19"/>
              </w:rPr>
              <w:t>Version</w:t>
            </w:r>
          </w:p>
        </w:tc>
        <w:tc>
          <w:tcPr>
            <w:tcW w:w="2200" w:type="dxa"/>
            <w:shd w:val="clear" w:color="auto" w:fill="1F3B57"/>
            <w:tcMar>
              <w:top w:w="80" w:type="dxa"/>
              <w:left w:w="120" w:type="dxa"/>
              <w:bottom w:w="80" w:type="dxa"/>
              <w:right w:w="120" w:type="dxa"/>
            </w:tcMar>
          </w:tcPr>
          <w:p w14:paraId="614A59C6" w14:textId="77777777" w:rsidR="00B260E9" w:rsidRDefault="005042F6">
            <w:r>
              <w:rPr>
                <w:b/>
                <w:bCs/>
                <w:color w:val="FFFFFF"/>
                <w:sz w:val="19"/>
                <w:szCs w:val="19"/>
              </w:rPr>
              <w:t>Date</w:t>
            </w:r>
          </w:p>
        </w:tc>
        <w:tc>
          <w:tcPr>
            <w:tcW w:w="6900" w:type="dxa"/>
            <w:shd w:val="clear" w:color="auto" w:fill="1F3B57"/>
            <w:tcMar>
              <w:top w:w="80" w:type="dxa"/>
              <w:left w:w="120" w:type="dxa"/>
              <w:bottom w:w="80" w:type="dxa"/>
              <w:right w:w="120" w:type="dxa"/>
            </w:tcMar>
          </w:tcPr>
          <w:p w14:paraId="7C62EFBF" w14:textId="77777777" w:rsidR="00B260E9" w:rsidRDefault="005042F6">
            <w:r>
              <w:rPr>
                <w:b/>
                <w:bCs/>
                <w:color w:val="FFFFFF"/>
                <w:sz w:val="19"/>
                <w:szCs w:val="19"/>
              </w:rPr>
              <w:t>Changes</w:t>
            </w:r>
          </w:p>
        </w:tc>
      </w:tr>
      <w:tr w:rsidR="00B260E9" w14:paraId="7927617B" w14:textId="77777777">
        <w:tblPrEx>
          <w:tblCellMar>
            <w:top w:w="0" w:type="dxa"/>
            <w:bottom w:w="0" w:type="dxa"/>
          </w:tblCellMar>
        </w:tblPrEx>
        <w:tc>
          <w:tcPr>
            <w:tcW w:w="1300" w:type="dxa"/>
            <w:tcMar>
              <w:top w:w="80" w:type="dxa"/>
              <w:left w:w="120" w:type="dxa"/>
              <w:bottom w:w="80" w:type="dxa"/>
              <w:right w:w="120" w:type="dxa"/>
            </w:tcMar>
          </w:tcPr>
          <w:p w14:paraId="29F49416" w14:textId="77777777" w:rsidR="00B260E9" w:rsidRDefault="005042F6">
            <w:r>
              <w:rPr>
                <w:sz w:val="19"/>
                <w:szCs w:val="19"/>
              </w:rPr>
              <w:t>1.0</w:t>
            </w:r>
          </w:p>
        </w:tc>
        <w:tc>
          <w:tcPr>
            <w:tcW w:w="2200" w:type="dxa"/>
            <w:tcMar>
              <w:top w:w="80" w:type="dxa"/>
              <w:left w:w="120" w:type="dxa"/>
              <w:bottom w:w="80" w:type="dxa"/>
              <w:right w:w="120" w:type="dxa"/>
            </w:tcMar>
          </w:tcPr>
          <w:p w14:paraId="26E1E20A" w14:textId="77777777" w:rsidR="00B260E9" w:rsidRDefault="005042F6">
            <w:r>
              <w:rPr>
                <w:sz w:val="19"/>
                <w:szCs w:val="19"/>
              </w:rPr>
              <w:t>July 2026</w:t>
            </w:r>
          </w:p>
        </w:tc>
        <w:tc>
          <w:tcPr>
            <w:tcW w:w="6900" w:type="dxa"/>
            <w:tcMar>
              <w:top w:w="80" w:type="dxa"/>
              <w:left w:w="120" w:type="dxa"/>
              <w:bottom w:w="80" w:type="dxa"/>
              <w:right w:w="120" w:type="dxa"/>
            </w:tcMar>
          </w:tcPr>
          <w:p w14:paraId="42A96F80" w14:textId="77777777" w:rsidR="00B260E9" w:rsidRDefault="005042F6">
            <w:r>
              <w:rPr>
                <w:sz w:val="19"/>
                <w:szCs w:val="19"/>
              </w:rPr>
              <w:t>Initial design.</w:t>
            </w:r>
          </w:p>
        </w:tc>
      </w:tr>
      <w:tr w:rsidR="00B260E9" w14:paraId="3D1DBDDB" w14:textId="77777777">
        <w:tblPrEx>
          <w:tblCellMar>
            <w:top w:w="0" w:type="dxa"/>
            <w:bottom w:w="0" w:type="dxa"/>
          </w:tblCellMar>
        </w:tblPrEx>
        <w:tc>
          <w:tcPr>
            <w:tcW w:w="1300" w:type="dxa"/>
            <w:tcMar>
              <w:top w:w="80" w:type="dxa"/>
              <w:left w:w="120" w:type="dxa"/>
              <w:bottom w:w="80" w:type="dxa"/>
              <w:right w:w="120" w:type="dxa"/>
            </w:tcMar>
          </w:tcPr>
          <w:p w14:paraId="76D39FAB" w14:textId="77777777" w:rsidR="00B260E9" w:rsidRDefault="005042F6">
            <w:r>
              <w:rPr>
                <w:sz w:val="19"/>
                <w:szCs w:val="19"/>
              </w:rPr>
              <w:t>1.1</w:t>
            </w:r>
          </w:p>
        </w:tc>
        <w:tc>
          <w:tcPr>
            <w:tcW w:w="2200" w:type="dxa"/>
            <w:tcMar>
              <w:top w:w="80" w:type="dxa"/>
              <w:left w:w="120" w:type="dxa"/>
              <w:bottom w:w="80" w:type="dxa"/>
              <w:right w:w="120" w:type="dxa"/>
            </w:tcMar>
          </w:tcPr>
          <w:p w14:paraId="2FA16A38" w14:textId="77777777" w:rsidR="00B260E9" w:rsidRDefault="005042F6">
            <w:r>
              <w:rPr>
                <w:sz w:val="19"/>
                <w:szCs w:val="19"/>
              </w:rPr>
              <w:t>September 2026</w:t>
            </w:r>
          </w:p>
        </w:tc>
        <w:tc>
          <w:tcPr>
            <w:tcW w:w="6900" w:type="dxa"/>
            <w:tcMar>
              <w:top w:w="80" w:type="dxa"/>
              <w:left w:w="120" w:type="dxa"/>
              <w:bottom w:w="80" w:type="dxa"/>
              <w:right w:w="120" w:type="dxa"/>
            </w:tcMar>
          </w:tcPr>
          <w:p w14:paraId="5E74AD00" w14:textId="77777777" w:rsidR="00B260E9" w:rsidRDefault="005042F6">
            <w:r>
              <w:rPr>
                <w:sz w:val="19"/>
                <w:szCs w:val="19"/>
              </w:rPr>
              <w:t>Aligned with the Java 21 / Spring Boot 3.5 implementation. Added Sections 15-16 (Java implementation design, codebase structure, implementation decisions, and exit-criteria results) and Section 17.2 (this table). Updated Sections 1-9 in place to describe the RLS binding mechanism, the idempotency and outbox designs, and the tiered-pricing semantics exactly as implemented, rather than only as originally specified.</w:t>
            </w:r>
          </w:p>
        </w:tc>
      </w:tr>
    </w:tbl>
    <w:p w14:paraId="390940C4" w14:textId="77777777" w:rsidR="00B260E9" w:rsidRDefault="00B260E9">
      <w:pPr>
        <w:spacing w:after="120"/>
      </w:pPr>
    </w:p>
    <w:sectPr w:rsidR="00B260E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A3BFA" w14:textId="77777777" w:rsidR="005042F6" w:rsidRDefault="005042F6">
      <w:r>
        <w:separator/>
      </w:r>
    </w:p>
  </w:endnote>
  <w:endnote w:type="continuationSeparator" w:id="0">
    <w:p w14:paraId="1F1FB09B" w14:textId="77777777" w:rsidR="005042F6" w:rsidRDefault="005042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46183" w14:textId="77777777" w:rsidR="00B260E9" w:rsidRDefault="005042F6">
    <w:pPr>
      <w:jc w:val="center"/>
    </w:pPr>
    <w:r>
      <w:rPr>
        <w:color w:val="888888"/>
        <w:sz w:val="16"/>
        <w:szCs w:val="16"/>
      </w:rPr>
      <w:fldChar w:fldCharType="begin"/>
    </w:r>
    <w:r>
      <w:rPr>
        <w:color w:val="888888"/>
        <w:sz w:val="16"/>
        <w:szCs w:val="16"/>
      </w:rPr>
      <w:instrText>PAGE</w:instrText>
    </w:r>
    <w:r>
      <w:rPr>
        <w:color w:val="888888"/>
        <w:sz w:val="16"/>
        <w:szCs w:val="16"/>
      </w:rPr>
      <w:fldChar w:fldCharType="separate"/>
    </w:r>
    <w:r w:rsidR="00D6220E">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2440A2" w14:textId="77777777" w:rsidR="005042F6" w:rsidRDefault="005042F6">
      <w:r>
        <w:separator/>
      </w:r>
    </w:p>
  </w:footnote>
  <w:footnote w:type="continuationSeparator" w:id="0">
    <w:p w14:paraId="59496679" w14:textId="77777777" w:rsidR="005042F6" w:rsidRDefault="005042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376FE" w14:textId="77777777" w:rsidR="00B260E9" w:rsidRDefault="005042F6">
    <w:pPr>
      <w:jc w:val="right"/>
    </w:pPr>
    <w:r>
      <w:rPr>
        <w:color w:val="888888"/>
        <w:sz w:val="16"/>
        <w:szCs w:val="16"/>
      </w:rPr>
      <w:t>Meterly — Project Design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9022C"/>
    <w:multiLevelType w:val="hybridMultilevel"/>
    <w:tmpl w:val="E3665734"/>
    <w:lvl w:ilvl="0" w:tplc="EFB47F9E">
      <w:start w:val="1"/>
      <w:numFmt w:val="bullet"/>
      <w:lvlText w:val="•"/>
      <w:lvlJc w:val="left"/>
      <w:pPr>
        <w:ind w:left="720" w:hanging="360"/>
      </w:pPr>
    </w:lvl>
    <w:lvl w:ilvl="1" w:tplc="2D7E9C94">
      <w:numFmt w:val="decimal"/>
      <w:lvlText w:val=""/>
      <w:lvlJc w:val="left"/>
    </w:lvl>
    <w:lvl w:ilvl="2" w:tplc="44943182">
      <w:numFmt w:val="decimal"/>
      <w:lvlText w:val=""/>
      <w:lvlJc w:val="left"/>
    </w:lvl>
    <w:lvl w:ilvl="3" w:tplc="CAB4E246">
      <w:numFmt w:val="decimal"/>
      <w:lvlText w:val=""/>
      <w:lvlJc w:val="left"/>
    </w:lvl>
    <w:lvl w:ilvl="4" w:tplc="3DF2E964">
      <w:numFmt w:val="decimal"/>
      <w:lvlText w:val=""/>
      <w:lvlJc w:val="left"/>
    </w:lvl>
    <w:lvl w:ilvl="5" w:tplc="45647340">
      <w:numFmt w:val="decimal"/>
      <w:lvlText w:val=""/>
      <w:lvlJc w:val="left"/>
    </w:lvl>
    <w:lvl w:ilvl="6" w:tplc="E3361316">
      <w:numFmt w:val="decimal"/>
      <w:lvlText w:val=""/>
      <w:lvlJc w:val="left"/>
    </w:lvl>
    <w:lvl w:ilvl="7" w:tplc="7E6EE54E">
      <w:numFmt w:val="decimal"/>
      <w:lvlText w:val=""/>
      <w:lvlJc w:val="left"/>
    </w:lvl>
    <w:lvl w:ilvl="8" w:tplc="9AC868EC">
      <w:numFmt w:val="decimal"/>
      <w:lvlText w:val=""/>
      <w:lvlJc w:val="left"/>
    </w:lvl>
  </w:abstractNum>
  <w:abstractNum w:abstractNumId="1" w15:restartNumberingAfterBreak="0">
    <w:nsid w:val="638B1E90"/>
    <w:multiLevelType w:val="hybridMultilevel"/>
    <w:tmpl w:val="F20E8D36"/>
    <w:lvl w:ilvl="0" w:tplc="E0DA8E76">
      <w:start w:val="1"/>
      <w:numFmt w:val="bullet"/>
      <w:lvlText w:val="●"/>
      <w:lvlJc w:val="left"/>
      <w:pPr>
        <w:ind w:left="720" w:hanging="360"/>
      </w:pPr>
    </w:lvl>
    <w:lvl w:ilvl="1" w:tplc="CCF80188">
      <w:start w:val="1"/>
      <w:numFmt w:val="bullet"/>
      <w:lvlText w:val="○"/>
      <w:lvlJc w:val="left"/>
      <w:pPr>
        <w:ind w:left="1440" w:hanging="360"/>
      </w:pPr>
    </w:lvl>
    <w:lvl w:ilvl="2" w:tplc="F99C5D2A">
      <w:start w:val="1"/>
      <w:numFmt w:val="bullet"/>
      <w:lvlText w:val="■"/>
      <w:lvlJc w:val="left"/>
      <w:pPr>
        <w:ind w:left="2160" w:hanging="360"/>
      </w:pPr>
    </w:lvl>
    <w:lvl w:ilvl="3" w:tplc="93C46C7C">
      <w:start w:val="1"/>
      <w:numFmt w:val="bullet"/>
      <w:lvlText w:val="●"/>
      <w:lvlJc w:val="left"/>
      <w:pPr>
        <w:ind w:left="2880" w:hanging="360"/>
      </w:pPr>
    </w:lvl>
    <w:lvl w:ilvl="4" w:tplc="719272EE">
      <w:start w:val="1"/>
      <w:numFmt w:val="bullet"/>
      <w:lvlText w:val="○"/>
      <w:lvlJc w:val="left"/>
      <w:pPr>
        <w:ind w:left="3600" w:hanging="360"/>
      </w:pPr>
    </w:lvl>
    <w:lvl w:ilvl="5" w:tplc="8A681EE4">
      <w:start w:val="1"/>
      <w:numFmt w:val="bullet"/>
      <w:lvlText w:val="■"/>
      <w:lvlJc w:val="left"/>
      <w:pPr>
        <w:ind w:left="4320" w:hanging="360"/>
      </w:pPr>
    </w:lvl>
    <w:lvl w:ilvl="6" w:tplc="8E049CCA">
      <w:start w:val="1"/>
      <w:numFmt w:val="bullet"/>
      <w:lvlText w:val="●"/>
      <w:lvlJc w:val="left"/>
      <w:pPr>
        <w:ind w:left="5040" w:hanging="360"/>
      </w:pPr>
    </w:lvl>
    <w:lvl w:ilvl="7" w:tplc="9D8A2A3E">
      <w:start w:val="1"/>
      <w:numFmt w:val="bullet"/>
      <w:lvlText w:val="●"/>
      <w:lvlJc w:val="left"/>
      <w:pPr>
        <w:ind w:left="5760" w:hanging="360"/>
      </w:pPr>
    </w:lvl>
    <w:lvl w:ilvl="8" w:tplc="E7126322">
      <w:start w:val="1"/>
      <w:numFmt w:val="bullet"/>
      <w:lvlText w:val="●"/>
      <w:lvlJc w:val="left"/>
      <w:pPr>
        <w:ind w:left="6480" w:hanging="360"/>
      </w:pPr>
    </w:lvl>
  </w:abstractNum>
  <w:num w:numId="1" w16cid:durableId="569656496">
    <w:abstractNumId w:val="1"/>
    <w:lvlOverride w:ilvl="0">
      <w:startOverride w:val="1"/>
    </w:lvlOverride>
  </w:num>
  <w:num w:numId="2" w16cid:durableId="15982928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0E9"/>
    <w:rsid w:val="005042F6"/>
    <w:rsid w:val="007F44A0"/>
    <w:rsid w:val="00B260E9"/>
    <w:rsid w:val="00D622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1A35C"/>
  <w15:docId w15:val="{FE33F218-3DF0-4F6C-955B-760A907B0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6220E"/>
    <w:pPr>
      <w:spacing w:after="100"/>
    </w:pPr>
  </w:style>
  <w:style w:type="paragraph" w:styleId="TOC2">
    <w:name w:val="toc 2"/>
    <w:basedOn w:val="Normal"/>
    <w:next w:val="Normal"/>
    <w:autoRedefine/>
    <w:uiPriority w:val="39"/>
    <w:unhideWhenUsed/>
    <w:rsid w:val="00D6220E"/>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4599</Words>
  <Characters>26217</Characters>
  <Application>Microsoft Office Word</Application>
  <DocSecurity>0</DocSecurity>
  <Lines>218</Lines>
  <Paragraphs>61</Paragraphs>
  <ScaleCrop>false</ScaleCrop>
  <Company/>
  <LinksUpToDate>false</LinksUpToDate>
  <CharactersWithSpaces>30755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Kumar, Arnav</cp:lastModifiedBy>
  <cp:revision>2</cp:revision>
  <dcterms:created xsi:type="dcterms:W3CDTF">2026-07-20T15:11:00Z</dcterms:created>
  <dcterms:modified xsi:type="dcterms:W3CDTF">2026-09-23T21:03:00Z</dcterms:modified>
</cp:coreProperties>
</file>