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703F" w14:textId="77777777" w:rsidR="007950D0" w:rsidRDefault="002A65AC">
      <w:pPr>
        <w:spacing w:after="120"/>
      </w:pPr>
      <w:r>
        <w:rPr>
          <w:b/>
          <w:bCs/>
          <w:color w:val="1F3B57"/>
          <w:sz w:val="64"/>
          <w:szCs w:val="64"/>
        </w:rPr>
        <w:t>Meterly</w:t>
      </w:r>
    </w:p>
    <w:p w14:paraId="1FCBE9CB" w14:textId="77777777" w:rsidR="007950D0" w:rsidRDefault="002A65AC">
      <w:pPr>
        <w:spacing w:after="60"/>
      </w:pPr>
      <w:r>
        <w:rPr>
          <w:color w:val="555555"/>
          <w:sz w:val="32"/>
          <w:szCs w:val="32"/>
        </w:rPr>
        <w:t>Multi-Tenant SaaS Billing &amp; Usage-Metering Platform</w:t>
      </w:r>
    </w:p>
    <w:p w14:paraId="6CD4E078" w14:textId="77777777" w:rsidR="007950D0" w:rsidRDefault="002A65AC">
      <w:pPr>
        <w:spacing w:after="400"/>
      </w:pPr>
      <w:r>
        <w:rPr>
          <w:b/>
          <w:bCs/>
          <w:sz w:val="28"/>
          <w:szCs w:val="28"/>
        </w:rPr>
        <w:t>Proof of Concept (POC)</w:t>
      </w:r>
    </w:p>
    <w:p w14:paraId="3DB43FA0" w14:textId="77777777" w:rsidR="007950D0" w:rsidRDefault="002A65AC">
      <w:pPr>
        <w:spacing w:after="60"/>
      </w:pPr>
      <w:r>
        <w:rPr>
          <w:sz w:val="22"/>
          <w:szCs w:val="22"/>
        </w:rPr>
        <w:t>Author: Arnav Kumar</w:t>
      </w:r>
    </w:p>
    <w:p w14:paraId="46F9A37C" w14:textId="77777777" w:rsidR="007950D0" w:rsidRDefault="002A65AC">
      <w:pPr>
        <w:spacing w:after="60"/>
      </w:pPr>
      <w:r>
        <w:rPr>
          <w:sz w:val="22"/>
          <w:szCs w:val="22"/>
        </w:rPr>
        <w:t>Version 1.1 — September 2026</w:t>
      </w:r>
    </w:p>
    <w:p w14:paraId="72019506" w14:textId="77777777" w:rsidR="007950D0" w:rsidRDefault="002A65AC">
      <w:r>
        <w:rPr>
          <w:i/>
          <w:iCs/>
          <w:color w:val="777777"/>
          <w:sz w:val="22"/>
          <w:szCs w:val="22"/>
        </w:rPr>
        <w:t>Status: Master reference document — updated throughout the project lifecycle</w:t>
      </w:r>
    </w:p>
    <w:p w14:paraId="41BF043C" w14:textId="77777777" w:rsidR="007950D0" w:rsidRDefault="002A65AC">
      <w:r>
        <w:br w:type="page"/>
      </w:r>
    </w:p>
    <w:p w14:paraId="581251C7" w14:textId="77777777" w:rsidR="007950D0" w:rsidRDefault="002A65AC">
      <w:pPr>
        <w:spacing w:after="200"/>
      </w:pPr>
      <w:r>
        <w:rPr>
          <w:b/>
          <w:bCs/>
          <w:sz w:val="28"/>
          <w:szCs w:val="28"/>
        </w:rPr>
        <w:t>Table of Contents</w:t>
      </w:r>
    </w:p>
    <w:sdt>
      <w:sdtPr>
        <w:alias w:val="Table of Contents"/>
        <w:id w:val="1140612596"/>
      </w:sdtPr>
      <w:sdtEndPr/>
      <w:sdtContent>
        <w:p w14:paraId="62F7894D" w14:textId="3173893D" w:rsidR="00D65F69" w:rsidRDefault="002A65A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071877" w:history="1">
            <w:r w:rsidR="00D65F69" w:rsidRPr="00E9217B">
              <w:rPr>
                <w:rStyle w:val="Hyperlink"/>
                <w:noProof/>
              </w:rPr>
              <w:t>1. Overview</w:t>
            </w:r>
            <w:r w:rsidR="00D65F69">
              <w:rPr>
                <w:noProof/>
              </w:rPr>
              <w:tab/>
            </w:r>
            <w:r w:rsidR="00D65F69">
              <w:rPr>
                <w:noProof/>
              </w:rPr>
              <w:fldChar w:fldCharType="begin"/>
            </w:r>
            <w:r w:rsidR="00D65F69">
              <w:rPr>
                <w:noProof/>
              </w:rPr>
              <w:instrText xml:space="preserve"> PAGEREF _Toc241071877 \h </w:instrText>
            </w:r>
            <w:r w:rsidR="00D65F69">
              <w:rPr>
                <w:noProof/>
              </w:rPr>
            </w:r>
            <w:r w:rsidR="00D65F69">
              <w:rPr>
                <w:noProof/>
              </w:rPr>
              <w:fldChar w:fldCharType="separate"/>
            </w:r>
            <w:r w:rsidR="00D65F69">
              <w:rPr>
                <w:noProof/>
              </w:rPr>
              <w:t>3</w:t>
            </w:r>
            <w:r w:rsidR="00D65F69">
              <w:rPr>
                <w:noProof/>
              </w:rPr>
              <w:fldChar w:fldCharType="end"/>
            </w:r>
          </w:hyperlink>
        </w:p>
        <w:p w14:paraId="4D5B44D6" w14:textId="0A88D779"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78" w:history="1">
            <w:r w:rsidRPr="00E9217B">
              <w:rPr>
                <w:rStyle w:val="Hyperlink"/>
                <w:noProof/>
              </w:rPr>
              <w:t>2. Objective / Hypotheses to Validate</w:t>
            </w:r>
            <w:r>
              <w:rPr>
                <w:noProof/>
              </w:rPr>
              <w:tab/>
            </w:r>
            <w:r>
              <w:rPr>
                <w:noProof/>
              </w:rPr>
              <w:fldChar w:fldCharType="begin"/>
            </w:r>
            <w:r>
              <w:rPr>
                <w:noProof/>
              </w:rPr>
              <w:instrText xml:space="preserve"> PAGEREF _Toc241071878 \h </w:instrText>
            </w:r>
            <w:r>
              <w:rPr>
                <w:noProof/>
              </w:rPr>
            </w:r>
            <w:r>
              <w:rPr>
                <w:noProof/>
              </w:rPr>
              <w:fldChar w:fldCharType="separate"/>
            </w:r>
            <w:r>
              <w:rPr>
                <w:noProof/>
              </w:rPr>
              <w:t>3</w:t>
            </w:r>
            <w:r>
              <w:rPr>
                <w:noProof/>
              </w:rPr>
              <w:fldChar w:fldCharType="end"/>
            </w:r>
          </w:hyperlink>
        </w:p>
        <w:p w14:paraId="416C94DE" w14:textId="411461BA"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79" w:history="1">
            <w:r w:rsidRPr="00E9217B">
              <w:rPr>
                <w:rStyle w:val="Hyperlink"/>
                <w:noProof/>
              </w:rPr>
              <w:t>3. Scope</w:t>
            </w:r>
            <w:r>
              <w:rPr>
                <w:noProof/>
              </w:rPr>
              <w:tab/>
            </w:r>
            <w:r>
              <w:rPr>
                <w:noProof/>
              </w:rPr>
              <w:fldChar w:fldCharType="begin"/>
            </w:r>
            <w:r>
              <w:rPr>
                <w:noProof/>
              </w:rPr>
              <w:instrText xml:space="preserve"> PAGEREF _Toc241071879 \h </w:instrText>
            </w:r>
            <w:r>
              <w:rPr>
                <w:noProof/>
              </w:rPr>
            </w:r>
            <w:r>
              <w:rPr>
                <w:noProof/>
              </w:rPr>
              <w:fldChar w:fldCharType="separate"/>
            </w:r>
            <w:r>
              <w:rPr>
                <w:noProof/>
              </w:rPr>
              <w:t>3</w:t>
            </w:r>
            <w:r>
              <w:rPr>
                <w:noProof/>
              </w:rPr>
              <w:fldChar w:fldCharType="end"/>
            </w:r>
          </w:hyperlink>
        </w:p>
        <w:p w14:paraId="7D97DB4A" w14:textId="053AAB81" w:rsidR="00D65F69" w:rsidRDefault="00D65F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80" w:history="1">
            <w:r w:rsidRPr="00E9217B">
              <w:rPr>
                <w:rStyle w:val="Hyperlink"/>
                <w:noProof/>
              </w:rPr>
              <w:t>In scope for the POC</w:t>
            </w:r>
            <w:r>
              <w:rPr>
                <w:noProof/>
              </w:rPr>
              <w:tab/>
            </w:r>
            <w:r>
              <w:rPr>
                <w:noProof/>
              </w:rPr>
              <w:fldChar w:fldCharType="begin"/>
            </w:r>
            <w:r>
              <w:rPr>
                <w:noProof/>
              </w:rPr>
              <w:instrText xml:space="preserve"> PAGEREF _Toc241071880 \h </w:instrText>
            </w:r>
            <w:r>
              <w:rPr>
                <w:noProof/>
              </w:rPr>
            </w:r>
            <w:r>
              <w:rPr>
                <w:noProof/>
              </w:rPr>
              <w:fldChar w:fldCharType="separate"/>
            </w:r>
            <w:r>
              <w:rPr>
                <w:noProof/>
              </w:rPr>
              <w:t>3</w:t>
            </w:r>
            <w:r>
              <w:rPr>
                <w:noProof/>
              </w:rPr>
              <w:fldChar w:fldCharType="end"/>
            </w:r>
          </w:hyperlink>
        </w:p>
        <w:p w14:paraId="45C4B37F" w14:textId="38FF51F9" w:rsidR="00D65F69" w:rsidRDefault="00D65F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81" w:history="1">
            <w:r w:rsidRPr="00E9217B">
              <w:rPr>
                <w:rStyle w:val="Hyperlink"/>
                <w:noProof/>
              </w:rPr>
              <w:t>Explicitly out of scope for the POC</w:t>
            </w:r>
            <w:r>
              <w:rPr>
                <w:noProof/>
              </w:rPr>
              <w:tab/>
            </w:r>
            <w:r>
              <w:rPr>
                <w:noProof/>
              </w:rPr>
              <w:fldChar w:fldCharType="begin"/>
            </w:r>
            <w:r>
              <w:rPr>
                <w:noProof/>
              </w:rPr>
              <w:instrText xml:space="preserve"> PAGEREF _Toc241071881 \h </w:instrText>
            </w:r>
            <w:r>
              <w:rPr>
                <w:noProof/>
              </w:rPr>
            </w:r>
            <w:r>
              <w:rPr>
                <w:noProof/>
              </w:rPr>
              <w:fldChar w:fldCharType="separate"/>
            </w:r>
            <w:r>
              <w:rPr>
                <w:noProof/>
              </w:rPr>
              <w:t>3</w:t>
            </w:r>
            <w:r>
              <w:rPr>
                <w:noProof/>
              </w:rPr>
              <w:fldChar w:fldCharType="end"/>
            </w:r>
          </w:hyperlink>
        </w:p>
        <w:p w14:paraId="2626F4AB" w14:textId="1D862823"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2" w:history="1">
            <w:r w:rsidRPr="00E9217B">
              <w:rPr>
                <w:rStyle w:val="Hyperlink"/>
                <w:noProof/>
              </w:rPr>
              <w:t>4. Core Feature Set</w:t>
            </w:r>
            <w:r>
              <w:rPr>
                <w:noProof/>
              </w:rPr>
              <w:tab/>
            </w:r>
            <w:r>
              <w:rPr>
                <w:noProof/>
              </w:rPr>
              <w:fldChar w:fldCharType="begin"/>
            </w:r>
            <w:r>
              <w:rPr>
                <w:noProof/>
              </w:rPr>
              <w:instrText xml:space="preserve"> PAGEREF _Toc241071882 \h </w:instrText>
            </w:r>
            <w:r>
              <w:rPr>
                <w:noProof/>
              </w:rPr>
            </w:r>
            <w:r>
              <w:rPr>
                <w:noProof/>
              </w:rPr>
              <w:fldChar w:fldCharType="separate"/>
            </w:r>
            <w:r>
              <w:rPr>
                <w:noProof/>
              </w:rPr>
              <w:t>4</w:t>
            </w:r>
            <w:r>
              <w:rPr>
                <w:noProof/>
              </w:rPr>
              <w:fldChar w:fldCharType="end"/>
            </w:r>
          </w:hyperlink>
        </w:p>
        <w:p w14:paraId="3F84FC51" w14:textId="2DA74CDC"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3" w:history="1">
            <w:r w:rsidRPr="00E9217B">
              <w:rPr>
                <w:rStyle w:val="Hyperlink"/>
                <w:noProof/>
              </w:rPr>
              <w:t>5. Technology Stack</w:t>
            </w:r>
            <w:r>
              <w:rPr>
                <w:noProof/>
              </w:rPr>
              <w:tab/>
            </w:r>
            <w:r>
              <w:rPr>
                <w:noProof/>
              </w:rPr>
              <w:fldChar w:fldCharType="begin"/>
            </w:r>
            <w:r>
              <w:rPr>
                <w:noProof/>
              </w:rPr>
              <w:instrText xml:space="preserve"> PAGEREF _Toc241071883 \h </w:instrText>
            </w:r>
            <w:r>
              <w:rPr>
                <w:noProof/>
              </w:rPr>
            </w:r>
            <w:r>
              <w:rPr>
                <w:noProof/>
              </w:rPr>
              <w:fldChar w:fldCharType="separate"/>
            </w:r>
            <w:r>
              <w:rPr>
                <w:noProof/>
              </w:rPr>
              <w:t>4</w:t>
            </w:r>
            <w:r>
              <w:rPr>
                <w:noProof/>
              </w:rPr>
              <w:fldChar w:fldCharType="end"/>
            </w:r>
          </w:hyperlink>
        </w:p>
        <w:p w14:paraId="6BD0921B" w14:textId="566E4D78"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4" w:history="1">
            <w:r w:rsidRPr="00E9217B">
              <w:rPr>
                <w:rStyle w:val="Hyperlink"/>
                <w:noProof/>
              </w:rPr>
              <w:t>6. Architecture Sketch</w:t>
            </w:r>
            <w:r>
              <w:rPr>
                <w:noProof/>
              </w:rPr>
              <w:tab/>
            </w:r>
            <w:r>
              <w:rPr>
                <w:noProof/>
              </w:rPr>
              <w:fldChar w:fldCharType="begin"/>
            </w:r>
            <w:r>
              <w:rPr>
                <w:noProof/>
              </w:rPr>
              <w:instrText xml:space="preserve"> PAGEREF _Toc241071884 \h </w:instrText>
            </w:r>
            <w:r>
              <w:rPr>
                <w:noProof/>
              </w:rPr>
            </w:r>
            <w:r>
              <w:rPr>
                <w:noProof/>
              </w:rPr>
              <w:fldChar w:fldCharType="separate"/>
            </w:r>
            <w:r>
              <w:rPr>
                <w:noProof/>
              </w:rPr>
              <w:t>5</w:t>
            </w:r>
            <w:r>
              <w:rPr>
                <w:noProof/>
              </w:rPr>
              <w:fldChar w:fldCharType="end"/>
            </w:r>
          </w:hyperlink>
        </w:p>
        <w:p w14:paraId="3B81F81D" w14:textId="48E098CC"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5" w:history="1">
            <w:r w:rsidRPr="00E9217B">
              <w:rPr>
                <w:rStyle w:val="Hyperlink"/>
                <w:noProof/>
              </w:rPr>
              <w:t>7. Success / Exit Criteria</w:t>
            </w:r>
            <w:r>
              <w:rPr>
                <w:noProof/>
              </w:rPr>
              <w:tab/>
            </w:r>
            <w:r>
              <w:rPr>
                <w:noProof/>
              </w:rPr>
              <w:fldChar w:fldCharType="begin"/>
            </w:r>
            <w:r>
              <w:rPr>
                <w:noProof/>
              </w:rPr>
              <w:instrText xml:space="preserve"> PAGEREF _Toc241071885 \h </w:instrText>
            </w:r>
            <w:r>
              <w:rPr>
                <w:noProof/>
              </w:rPr>
            </w:r>
            <w:r>
              <w:rPr>
                <w:noProof/>
              </w:rPr>
              <w:fldChar w:fldCharType="separate"/>
            </w:r>
            <w:r>
              <w:rPr>
                <w:noProof/>
              </w:rPr>
              <w:t>5</w:t>
            </w:r>
            <w:r>
              <w:rPr>
                <w:noProof/>
              </w:rPr>
              <w:fldChar w:fldCharType="end"/>
            </w:r>
          </w:hyperlink>
        </w:p>
        <w:p w14:paraId="0418565E" w14:textId="5AB0A6BC"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6" w:history="1">
            <w:r w:rsidRPr="00E9217B">
              <w:rPr>
                <w:rStyle w:val="Hyperlink"/>
                <w:noProof/>
              </w:rPr>
              <w:t>8. Key Risks &amp; Mitigations</w:t>
            </w:r>
            <w:r>
              <w:rPr>
                <w:noProof/>
              </w:rPr>
              <w:tab/>
            </w:r>
            <w:r>
              <w:rPr>
                <w:noProof/>
              </w:rPr>
              <w:fldChar w:fldCharType="begin"/>
            </w:r>
            <w:r>
              <w:rPr>
                <w:noProof/>
              </w:rPr>
              <w:instrText xml:space="preserve"> PAGEREF _Toc241071886 \h </w:instrText>
            </w:r>
            <w:r>
              <w:rPr>
                <w:noProof/>
              </w:rPr>
            </w:r>
            <w:r>
              <w:rPr>
                <w:noProof/>
              </w:rPr>
              <w:fldChar w:fldCharType="separate"/>
            </w:r>
            <w:r>
              <w:rPr>
                <w:noProof/>
              </w:rPr>
              <w:t>6</w:t>
            </w:r>
            <w:r>
              <w:rPr>
                <w:noProof/>
              </w:rPr>
              <w:fldChar w:fldCharType="end"/>
            </w:r>
          </w:hyperlink>
        </w:p>
        <w:p w14:paraId="34B601DB" w14:textId="0B903832"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7" w:history="1">
            <w:r w:rsidRPr="00E9217B">
              <w:rPr>
                <w:rStyle w:val="Hyperlink"/>
                <w:noProof/>
              </w:rPr>
              <w:t>9. Timeline</w:t>
            </w:r>
            <w:r>
              <w:rPr>
                <w:noProof/>
              </w:rPr>
              <w:tab/>
            </w:r>
            <w:r>
              <w:rPr>
                <w:noProof/>
              </w:rPr>
              <w:fldChar w:fldCharType="begin"/>
            </w:r>
            <w:r>
              <w:rPr>
                <w:noProof/>
              </w:rPr>
              <w:instrText xml:space="preserve"> PAGEREF _Toc241071887 \h </w:instrText>
            </w:r>
            <w:r>
              <w:rPr>
                <w:noProof/>
              </w:rPr>
            </w:r>
            <w:r>
              <w:rPr>
                <w:noProof/>
              </w:rPr>
              <w:fldChar w:fldCharType="separate"/>
            </w:r>
            <w:r>
              <w:rPr>
                <w:noProof/>
              </w:rPr>
              <w:t>6</w:t>
            </w:r>
            <w:r>
              <w:rPr>
                <w:noProof/>
              </w:rPr>
              <w:fldChar w:fldCharType="end"/>
            </w:r>
          </w:hyperlink>
        </w:p>
        <w:p w14:paraId="457200C1" w14:textId="499C847D"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8" w:history="1">
            <w:r w:rsidRPr="00E9217B">
              <w:rPr>
                <w:rStyle w:val="Hyperlink"/>
                <w:noProof/>
              </w:rPr>
              <w:t>10. Java Implementation Notes</w:t>
            </w:r>
            <w:r>
              <w:rPr>
                <w:noProof/>
              </w:rPr>
              <w:tab/>
            </w:r>
            <w:r>
              <w:rPr>
                <w:noProof/>
              </w:rPr>
              <w:fldChar w:fldCharType="begin"/>
            </w:r>
            <w:r>
              <w:rPr>
                <w:noProof/>
              </w:rPr>
              <w:instrText xml:space="preserve"> PAGEREF _Toc241071888 \h </w:instrText>
            </w:r>
            <w:r>
              <w:rPr>
                <w:noProof/>
              </w:rPr>
            </w:r>
            <w:r>
              <w:rPr>
                <w:noProof/>
              </w:rPr>
              <w:fldChar w:fldCharType="separate"/>
            </w:r>
            <w:r>
              <w:rPr>
                <w:noProof/>
              </w:rPr>
              <w:t>6</w:t>
            </w:r>
            <w:r>
              <w:rPr>
                <w:noProof/>
              </w:rPr>
              <w:fldChar w:fldCharType="end"/>
            </w:r>
          </w:hyperlink>
        </w:p>
        <w:p w14:paraId="4193CFEB" w14:textId="78D78702"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9" w:history="1">
            <w:r w:rsidRPr="00E9217B">
              <w:rPr>
                <w:rStyle w:val="Hyperlink"/>
                <w:noProof/>
              </w:rPr>
              <w:t>11. Exit-Criteria Results</w:t>
            </w:r>
            <w:r>
              <w:rPr>
                <w:noProof/>
              </w:rPr>
              <w:tab/>
            </w:r>
            <w:r>
              <w:rPr>
                <w:noProof/>
              </w:rPr>
              <w:fldChar w:fldCharType="begin"/>
            </w:r>
            <w:r>
              <w:rPr>
                <w:noProof/>
              </w:rPr>
              <w:instrText xml:space="preserve"> PAGEREF _Toc241071889 \h </w:instrText>
            </w:r>
            <w:r>
              <w:rPr>
                <w:noProof/>
              </w:rPr>
            </w:r>
            <w:r>
              <w:rPr>
                <w:noProof/>
              </w:rPr>
              <w:fldChar w:fldCharType="separate"/>
            </w:r>
            <w:r>
              <w:rPr>
                <w:noProof/>
              </w:rPr>
              <w:t>7</w:t>
            </w:r>
            <w:r>
              <w:rPr>
                <w:noProof/>
              </w:rPr>
              <w:fldChar w:fldCharType="end"/>
            </w:r>
          </w:hyperlink>
        </w:p>
        <w:p w14:paraId="5E9C421C" w14:textId="20342297"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90" w:history="1">
            <w:r w:rsidRPr="00E9217B">
              <w:rPr>
                <w:rStyle w:val="Hyperlink"/>
                <w:noProof/>
              </w:rPr>
              <w:t>12. Appendix: Glossary</w:t>
            </w:r>
            <w:r>
              <w:rPr>
                <w:noProof/>
              </w:rPr>
              <w:tab/>
            </w:r>
            <w:r>
              <w:rPr>
                <w:noProof/>
              </w:rPr>
              <w:fldChar w:fldCharType="begin"/>
            </w:r>
            <w:r>
              <w:rPr>
                <w:noProof/>
              </w:rPr>
              <w:instrText xml:space="preserve"> PAGEREF _Toc241071890 \h </w:instrText>
            </w:r>
            <w:r>
              <w:rPr>
                <w:noProof/>
              </w:rPr>
            </w:r>
            <w:r>
              <w:rPr>
                <w:noProof/>
              </w:rPr>
              <w:fldChar w:fldCharType="separate"/>
            </w:r>
            <w:r>
              <w:rPr>
                <w:noProof/>
              </w:rPr>
              <w:t>7</w:t>
            </w:r>
            <w:r>
              <w:rPr>
                <w:noProof/>
              </w:rPr>
              <w:fldChar w:fldCharType="end"/>
            </w:r>
          </w:hyperlink>
        </w:p>
        <w:p w14:paraId="2BA120E9" w14:textId="5D079B2A" w:rsidR="00D65F69" w:rsidRDefault="00D65F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91" w:history="1">
            <w:r w:rsidRPr="00E9217B">
              <w:rPr>
                <w:rStyle w:val="Hyperlink"/>
                <w:noProof/>
              </w:rPr>
              <w:t>13. Revision History</w:t>
            </w:r>
            <w:r>
              <w:rPr>
                <w:noProof/>
              </w:rPr>
              <w:tab/>
            </w:r>
            <w:r>
              <w:rPr>
                <w:noProof/>
              </w:rPr>
              <w:fldChar w:fldCharType="begin"/>
            </w:r>
            <w:r>
              <w:rPr>
                <w:noProof/>
              </w:rPr>
              <w:instrText xml:space="preserve"> PAGEREF _Toc241071891 \h </w:instrText>
            </w:r>
            <w:r>
              <w:rPr>
                <w:noProof/>
              </w:rPr>
            </w:r>
            <w:r>
              <w:rPr>
                <w:noProof/>
              </w:rPr>
              <w:fldChar w:fldCharType="separate"/>
            </w:r>
            <w:r>
              <w:rPr>
                <w:noProof/>
              </w:rPr>
              <w:t>8</w:t>
            </w:r>
            <w:r>
              <w:rPr>
                <w:noProof/>
              </w:rPr>
              <w:fldChar w:fldCharType="end"/>
            </w:r>
          </w:hyperlink>
        </w:p>
        <w:p w14:paraId="711BB910" w14:textId="5F786455" w:rsidR="007950D0" w:rsidRDefault="002A65AC">
          <w:r>
            <w:fldChar w:fldCharType="end"/>
          </w:r>
        </w:p>
      </w:sdtContent>
    </w:sdt>
    <w:p w14:paraId="4F97A069" w14:textId="77777777" w:rsidR="007950D0" w:rsidRDefault="002A65AC">
      <w:r>
        <w:br w:type="page"/>
      </w:r>
    </w:p>
    <w:p w14:paraId="06F1B0E4" w14:textId="77777777" w:rsidR="007950D0" w:rsidRDefault="002A65AC">
      <w:pPr>
        <w:pStyle w:val="Heading1"/>
        <w:spacing w:before="360" w:after="160"/>
      </w:pPr>
      <w:bookmarkStart w:id="0" w:name="_Toc241071877"/>
      <w:r>
        <w:t>1. Overview</w:t>
      </w:r>
      <w:bookmarkEnd w:id="0"/>
    </w:p>
    <w:p w14:paraId="011BDF04" w14:textId="77777777" w:rsidR="007950D0" w:rsidRDefault="002A65AC">
      <w:pPr>
        <w:spacing w:after="160"/>
      </w:pPr>
      <w:r>
        <w:t>Meterly is a multi-tenant SaaS billing and usage-metering platform. It exists to demonstrate, end-to-end, the categories of problems that real developer-tools and infrastructure companies solve internally: metered API consumption, tiered and usage-based billing, strict tenant data isolation, and real-time usage visibility for customers.</w:t>
      </w:r>
    </w:p>
    <w:p w14:paraId="25475B2C" w14:textId="77777777" w:rsidR="007950D0" w:rsidRDefault="002A65AC">
      <w:pPr>
        <w:spacing w:after="160"/>
      </w:pPr>
      <w:r>
        <w:t>The goal is not to reproduce Stripe. It is to build a smaller system that still forces correct solutions to the hard parts — accurate metering under concurrent and retried writes, tenant isolation enforced below the application layer, and invoice math that is provably correct — with a working Angular front end and Spring Boot back end.</w:t>
      </w:r>
    </w:p>
    <w:p w14:paraId="3D815BBC" w14:textId="77777777" w:rsidR="007950D0" w:rsidRDefault="002A65AC">
      <w:pPr>
        <w:spacing w:after="160"/>
      </w:pPr>
      <w:r>
        <w:t>This POC exists to de-risk the architecture in the accompanying Project Design Document (PDD) before the full build begins. It answers one question: can the core hard problems actually be solved with the chosen stack, at small scale, before time is invested in the full feature set?</w:t>
      </w:r>
    </w:p>
    <w:p w14:paraId="26A91BD8" w14:textId="77777777" w:rsidR="007950D0" w:rsidRDefault="002A65AC">
      <w:pPr>
        <w:pStyle w:val="Heading1"/>
        <w:spacing w:before="360" w:after="160"/>
      </w:pPr>
      <w:bookmarkStart w:id="1" w:name="_Toc241071878"/>
      <w:r>
        <w:t>2. Objective / Hypotheses to Validate</w:t>
      </w:r>
      <w:bookmarkEnd w:id="1"/>
    </w:p>
    <w:p w14:paraId="409DF5DA" w14:textId="77777777" w:rsidR="007950D0" w:rsidRDefault="002A65AC">
      <w:pPr>
        <w:spacing w:after="160"/>
      </w:pPr>
      <w:r>
        <w:t>The POC must demonstrate the following, each of which is a genuine risk in the PDD's design:</w:t>
      </w:r>
    </w:p>
    <w:p w14:paraId="06ED7182" w14:textId="77777777" w:rsidR="007950D0" w:rsidRDefault="002A65AC">
      <w:pPr>
        <w:pStyle w:val="ListParagraph"/>
        <w:numPr>
          <w:ilvl w:val="0"/>
          <w:numId w:val="2"/>
        </w:numPr>
        <w:spacing w:after="80"/>
      </w:pPr>
      <w:r>
        <w:t>A Spring Boot service can ingest usage events and count them per tenant, per billing period, without double-counting — even when a client retries the same request (idempotency keys) or Kafka redelivers a message (consumer-side idempotent upsert).</w:t>
      </w:r>
    </w:p>
    <w:p w14:paraId="5E283C60" w14:textId="77777777" w:rsidR="007950D0" w:rsidRDefault="002A65AC">
      <w:pPr>
        <w:pStyle w:val="ListParagraph"/>
        <w:numPr>
          <w:ilvl w:val="0"/>
          <w:numId w:val="2"/>
        </w:numPr>
        <w:spacing w:after="80"/>
      </w:pPr>
      <w:r>
        <w:t>PostgreSQL Row-Level Security (RLS) enforces tenant isolation at the database layer, so a bug in an application-layer WHERE clause cannot leak another tenant's rows.</w:t>
      </w:r>
    </w:p>
    <w:p w14:paraId="48A118E6" w14:textId="77777777" w:rsidR="007950D0" w:rsidRDefault="002A65AC">
      <w:pPr>
        <w:pStyle w:val="ListParagraph"/>
        <w:numPr>
          <w:ilvl w:val="0"/>
          <w:numId w:val="2"/>
        </w:numPr>
        <w:spacing w:after="80"/>
      </w:pPr>
      <w:r>
        <w:t>An Angular dashboard can reflect a usage event in the UI within roughly two seconds of that event being published, using a WebSocket/STOMP channel rather than polling.</w:t>
      </w:r>
    </w:p>
    <w:p w14:paraId="67450A37" w14:textId="77777777" w:rsidR="007950D0" w:rsidRDefault="002A65AC">
      <w:pPr>
        <w:pStyle w:val="ListParagraph"/>
        <w:numPr>
          <w:ilvl w:val="0"/>
          <w:numId w:val="2"/>
        </w:numPr>
        <w:spacing w:after="80"/>
      </w:pPr>
      <w:r>
        <w:t>A billing job can compute a correct tiered, usage-based invoice for a sample tenant, verified against an independent hand calculation to the cent.</w:t>
      </w:r>
    </w:p>
    <w:p w14:paraId="5EA5D7F0" w14:textId="77777777" w:rsidR="007950D0" w:rsidRDefault="002A65AC">
      <w:pPr>
        <w:spacing w:after="160"/>
      </w:pPr>
      <w:r>
        <w:t>If any hypothesis fails, the relevant section of the PDD is revisited before the full build proceeds — this document and the PDD are treated as living, and the PDD is the one that gets corrected.</w:t>
      </w:r>
    </w:p>
    <w:p w14:paraId="1B5A0AF9" w14:textId="77777777" w:rsidR="007950D0" w:rsidRDefault="002A65AC">
      <w:pPr>
        <w:spacing w:after="160"/>
      </w:pPr>
      <w:r>
        <w:rPr>
          <w:b/>
          <w:bCs/>
        </w:rPr>
        <w:t xml:space="preserve">v1.1: </w:t>
      </w:r>
      <w:r>
        <w:t>all four hypotheses have been tested against the Java implementation. The automated results are in Section 11, and the PDD corrections made along the way are listed in PDD Section 17.2.</w:t>
      </w:r>
    </w:p>
    <w:p w14:paraId="6863C4CD" w14:textId="77777777" w:rsidR="007950D0" w:rsidRDefault="002A65AC">
      <w:pPr>
        <w:pStyle w:val="Heading1"/>
        <w:spacing w:before="360" w:after="160"/>
      </w:pPr>
      <w:bookmarkStart w:id="2" w:name="_Toc241071879"/>
      <w:r>
        <w:t>3. Scope</w:t>
      </w:r>
      <w:bookmarkEnd w:id="2"/>
    </w:p>
    <w:p w14:paraId="5681DE36" w14:textId="77777777" w:rsidR="007950D0" w:rsidRDefault="002A65AC">
      <w:pPr>
        <w:pStyle w:val="Heading2"/>
        <w:spacing w:before="280" w:after="120"/>
      </w:pPr>
      <w:bookmarkStart w:id="3" w:name="_Toc241071880"/>
      <w:r>
        <w:t>In scope for the POC</w:t>
      </w:r>
      <w:bookmarkEnd w:id="3"/>
    </w:p>
    <w:p w14:paraId="4F36B37B" w14:textId="77777777" w:rsidR="007950D0" w:rsidRDefault="002A65AC">
      <w:pPr>
        <w:pStyle w:val="ListParagraph"/>
        <w:numPr>
          <w:ilvl w:val="0"/>
          <w:numId w:val="2"/>
        </w:numPr>
        <w:spacing w:after="80"/>
      </w:pPr>
      <w:r>
        <w:t>Single tenant, single metered resource (“API calls”)</w:t>
      </w:r>
    </w:p>
    <w:p w14:paraId="009044D0" w14:textId="77777777" w:rsidR="007950D0" w:rsidRDefault="002A65AC">
      <w:pPr>
        <w:pStyle w:val="ListParagraph"/>
        <w:numPr>
          <w:ilvl w:val="0"/>
          <w:numId w:val="2"/>
        </w:numPr>
        <w:spacing w:after="80"/>
      </w:pPr>
      <w:r>
        <w:t>One pricing plan with two tiers (included units + one marginal-price tier above that)</w:t>
      </w:r>
    </w:p>
    <w:p w14:paraId="39AC8BD9" w14:textId="77777777" w:rsidR="007950D0" w:rsidRDefault="002A65AC">
      <w:pPr>
        <w:pStyle w:val="ListParagraph"/>
        <w:numPr>
          <w:ilvl w:val="0"/>
          <w:numId w:val="2"/>
        </w:numPr>
        <w:spacing w:after="80"/>
      </w:pPr>
      <w:r>
        <w:t>Usage ingestion endpoint accepting an idempotency key</w:t>
      </w:r>
    </w:p>
    <w:p w14:paraId="2B7DC4B9" w14:textId="77777777" w:rsidR="007950D0" w:rsidRDefault="002A65AC">
      <w:pPr>
        <w:pStyle w:val="ListParagraph"/>
        <w:numPr>
          <w:ilvl w:val="0"/>
          <w:numId w:val="2"/>
        </w:numPr>
        <w:spacing w:after="80"/>
      </w:pPr>
      <w:r>
        <w:t>Kafka (Redpanda locally) topic carrying usage events, consumed by a metering service</w:t>
      </w:r>
    </w:p>
    <w:p w14:paraId="12F0B7B0" w14:textId="77777777" w:rsidR="007950D0" w:rsidRDefault="002A65AC">
      <w:pPr>
        <w:pStyle w:val="ListParagraph"/>
        <w:numPr>
          <w:ilvl w:val="0"/>
          <w:numId w:val="2"/>
        </w:numPr>
        <w:spacing w:after="80"/>
      </w:pPr>
      <w:r>
        <w:t>Redis-backed per-tenant, per-period usage counters for fast reads</w:t>
      </w:r>
    </w:p>
    <w:p w14:paraId="37C3A38B" w14:textId="77777777" w:rsidR="007950D0" w:rsidRDefault="002A65AC">
      <w:pPr>
        <w:pStyle w:val="ListParagraph"/>
        <w:numPr>
          <w:ilvl w:val="0"/>
          <w:numId w:val="2"/>
        </w:numPr>
        <w:spacing w:after="80"/>
      </w:pPr>
      <w:r>
        <w:t>Angular dashboard showing a live usage count updating over WebSocket</w:t>
      </w:r>
    </w:p>
    <w:p w14:paraId="6765E5B5" w14:textId="77777777" w:rsidR="007950D0" w:rsidRDefault="002A65AC">
      <w:pPr>
        <w:pStyle w:val="ListParagraph"/>
        <w:numPr>
          <w:ilvl w:val="0"/>
          <w:numId w:val="2"/>
        </w:numPr>
        <w:spacing w:after="80"/>
      </w:pPr>
      <w:r>
        <w:t>One billing run producing one invoice with correct tiered pricing</w:t>
      </w:r>
    </w:p>
    <w:p w14:paraId="4B2A4544" w14:textId="77777777" w:rsidR="007950D0" w:rsidRDefault="002A65AC">
      <w:pPr>
        <w:pStyle w:val="ListParagraph"/>
        <w:numPr>
          <w:ilvl w:val="0"/>
          <w:numId w:val="2"/>
        </w:numPr>
        <w:spacing w:after="80"/>
      </w:pPr>
      <w:r>
        <w:t>Angular invoice view rendering the generated invoice</w:t>
      </w:r>
    </w:p>
    <w:p w14:paraId="2FB02CDA" w14:textId="77777777" w:rsidR="007950D0" w:rsidRDefault="002A65AC">
      <w:pPr>
        <w:pStyle w:val="Heading2"/>
        <w:spacing w:before="280" w:after="120"/>
      </w:pPr>
      <w:bookmarkStart w:id="4" w:name="_Toc241071881"/>
      <w:r>
        <w:t>Explicitly out of scope for the POC</w:t>
      </w:r>
      <w:bookmarkEnd w:id="4"/>
    </w:p>
    <w:p w14:paraId="14B5774C" w14:textId="77777777" w:rsidR="007950D0" w:rsidRDefault="002A65AC">
      <w:pPr>
        <w:pStyle w:val="ListParagraph"/>
        <w:numPr>
          <w:ilvl w:val="0"/>
          <w:numId w:val="2"/>
        </w:numPr>
        <w:spacing w:after="80"/>
      </w:pPr>
      <w:r>
        <w:t>Multi-tenant onboarding flows, multi-currency, tax computation</w:t>
      </w:r>
    </w:p>
    <w:p w14:paraId="10AE58C2" w14:textId="77777777" w:rsidR="007950D0" w:rsidRDefault="002A65AC">
      <w:pPr>
        <w:pStyle w:val="ListParagraph"/>
        <w:numPr>
          <w:ilvl w:val="0"/>
          <w:numId w:val="2"/>
        </w:numPr>
        <w:spacing w:after="80"/>
      </w:pPr>
      <w:r>
        <w:t>Payment collection, dunning, or failed-payment retries</w:t>
      </w:r>
    </w:p>
    <w:p w14:paraId="0B8FBC28" w14:textId="77777777" w:rsidR="007950D0" w:rsidRDefault="002A65AC">
      <w:pPr>
        <w:pStyle w:val="ListParagraph"/>
        <w:numPr>
          <w:ilvl w:val="0"/>
          <w:numId w:val="2"/>
        </w:numPr>
        <w:spacing w:after="80"/>
      </w:pPr>
      <w:r>
        <w:t>Plan upgrade/downgrade mid-period proration</w:t>
      </w:r>
    </w:p>
    <w:p w14:paraId="24320E6B" w14:textId="77777777" w:rsidR="007950D0" w:rsidRDefault="002A65AC">
      <w:pPr>
        <w:pStyle w:val="ListParagraph"/>
        <w:numPr>
          <w:ilvl w:val="0"/>
          <w:numId w:val="2"/>
        </w:numPr>
        <w:spacing w:after="80"/>
      </w:pPr>
      <w:r>
        <w:t>Admin analytics, notification emails, audit logging UI</w:t>
      </w:r>
    </w:p>
    <w:p w14:paraId="2F5FE814" w14:textId="77777777" w:rsidR="007950D0" w:rsidRDefault="002A65AC">
      <w:pPr>
        <w:pStyle w:val="ListParagraph"/>
        <w:numPr>
          <w:ilvl w:val="0"/>
          <w:numId w:val="2"/>
        </w:numPr>
        <w:spacing w:after="80"/>
      </w:pPr>
      <w:r>
        <w:t>Kubernetes deployment, Keycloak, and full observability stack (deferred to later phases — see PDD Section 13)</w:t>
      </w:r>
    </w:p>
    <w:p w14:paraId="0D570C81" w14:textId="77777777" w:rsidR="007950D0" w:rsidRDefault="002A65AC">
      <w:pPr>
        <w:pStyle w:val="Heading1"/>
        <w:spacing w:before="360" w:after="160"/>
      </w:pPr>
      <w:bookmarkStart w:id="5" w:name="_Toc241071882"/>
      <w:r>
        <w:t>4. Core Feature Set</w:t>
      </w:r>
      <w:bookmarkEnd w:id="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0"/>
      </w:tblGrid>
      <w:tr w:rsidR="007950D0" w14:paraId="2D04D15E" w14:textId="77777777">
        <w:tblPrEx>
          <w:tblCellMar>
            <w:top w:w="0" w:type="dxa"/>
            <w:bottom w:w="0" w:type="dxa"/>
          </w:tblCellMar>
        </w:tblPrEx>
        <w:trPr>
          <w:tblHeader/>
        </w:trPr>
        <w:tc>
          <w:tcPr>
            <w:tcW w:w="3600" w:type="dxa"/>
            <w:shd w:val="clear" w:color="auto" w:fill="1F3B57"/>
            <w:tcMar>
              <w:top w:w="80" w:type="dxa"/>
              <w:left w:w="120" w:type="dxa"/>
              <w:bottom w:w="80" w:type="dxa"/>
              <w:right w:w="120" w:type="dxa"/>
            </w:tcMar>
          </w:tcPr>
          <w:p w14:paraId="5F875E0B" w14:textId="77777777" w:rsidR="007950D0" w:rsidRDefault="002A65AC">
            <w:r>
              <w:rPr>
                <w:b/>
                <w:bCs/>
                <w:color w:val="FFFFFF"/>
              </w:rPr>
              <w:t>Feature</w:t>
            </w:r>
          </w:p>
        </w:tc>
        <w:tc>
          <w:tcPr>
            <w:tcW w:w="6000" w:type="dxa"/>
            <w:shd w:val="clear" w:color="auto" w:fill="1F3B57"/>
            <w:tcMar>
              <w:top w:w="80" w:type="dxa"/>
              <w:left w:w="120" w:type="dxa"/>
              <w:bottom w:w="80" w:type="dxa"/>
              <w:right w:w="120" w:type="dxa"/>
            </w:tcMar>
          </w:tcPr>
          <w:p w14:paraId="672FBA23" w14:textId="77777777" w:rsidR="007950D0" w:rsidRDefault="002A65AC">
            <w:r>
              <w:rPr>
                <w:b/>
                <w:bCs/>
                <w:color w:val="FFFFFF"/>
              </w:rPr>
              <w:t>Purpose</w:t>
            </w:r>
          </w:p>
        </w:tc>
      </w:tr>
      <w:tr w:rsidR="007950D0" w14:paraId="43F7C968" w14:textId="77777777">
        <w:tblPrEx>
          <w:tblCellMar>
            <w:top w:w="0" w:type="dxa"/>
            <w:bottom w:w="0" w:type="dxa"/>
          </w:tblCellMar>
        </w:tblPrEx>
        <w:tc>
          <w:tcPr>
            <w:tcW w:w="3600" w:type="dxa"/>
            <w:tcMar>
              <w:top w:w="80" w:type="dxa"/>
              <w:left w:w="120" w:type="dxa"/>
              <w:bottom w:w="80" w:type="dxa"/>
              <w:right w:w="120" w:type="dxa"/>
            </w:tcMar>
          </w:tcPr>
          <w:p w14:paraId="2CE0D845" w14:textId="77777777" w:rsidR="007950D0" w:rsidRDefault="002A65AC">
            <w:r>
              <w:t>Tenant + user bootstrap</w:t>
            </w:r>
          </w:p>
        </w:tc>
        <w:tc>
          <w:tcPr>
            <w:tcW w:w="6000" w:type="dxa"/>
            <w:tcMar>
              <w:top w:w="80" w:type="dxa"/>
              <w:left w:w="120" w:type="dxa"/>
              <w:bottom w:w="80" w:type="dxa"/>
              <w:right w:w="120" w:type="dxa"/>
            </w:tcMar>
          </w:tcPr>
          <w:p w14:paraId="48D58FBB" w14:textId="77777777" w:rsidR="007950D0" w:rsidRDefault="002A65AC">
            <w:r>
              <w:t>Seed one tenant and one admin user directly (no onboarding UI needed for POC)</w:t>
            </w:r>
          </w:p>
        </w:tc>
      </w:tr>
      <w:tr w:rsidR="007950D0" w14:paraId="2B9DE020" w14:textId="77777777">
        <w:tblPrEx>
          <w:tblCellMar>
            <w:top w:w="0" w:type="dxa"/>
            <w:bottom w:w="0" w:type="dxa"/>
          </w:tblCellMar>
        </w:tblPrEx>
        <w:tc>
          <w:tcPr>
            <w:tcW w:w="3600" w:type="dxa"/>
            <w:tcMar>
              <w:top w:w="80" w:type="dxa"/>
              <w:left w:w="120" w:type="dxa"/>
              <w:bottom w:w="80" w:type="dxa"/>
              <w:right w:w="120" w:type="dxa"/>
            </w:tcMar>
          </w:tcPr>
          <w:p w14:paraId="13F677C5" w14:textId="77777777" w:rsidR="007950D0" w:rsidRDefault="002A65AC">
            <w:r>
              <w:t>API key issuance</w:t>
            </w:r>
          </w:p>
        </w:tc>
        <w:tc>
          <w:tcPr>
            <w:tcW w:w="6000" w:type="dxa"/>
            <w:tcMar>
              <w:top w:w="80" w:type="dxa"/>
              <w:left w:w="120" w:type="dxa"/>
              <w:bottom w:w="80" w:type="dxa"/>
              <w:right w:w="120" w:type="dxa"/>
            </w:tcMar>
          </w:tcPr>
          <w:p w14:paraId="715D8400" w14:textId="77777777" w:rsidR="007950D0" w:rsidRDefault="002A65AC">
            <w:r>
              <w:t>Represents the credential a tenant's client would use to call a metered API</w:t>
            </w:r>
          </w:p>
        </w:tc>
      </w:tr>
      <w:tr w:rsidR="007950D0" w14:paraId="484A142A" w14:textId="77777777">
        <w:tblPrEx>
          <w:tblCellMar>
            <w:top w:w="0" w:type="dxa"/>
            <w:bottom w:w="0" w:type="dxa"/>
          </w:tblCellMar>
        </w:tblPrEx>
        <w:tc>
          <w:tcPr>
            <w:tcW w:w="3600" w:type="dxa"/>
            <w:tcMar>
              <w:top w:w="80" w:type="dxa"/>
              <w:left w:w="120" w:type="dxa"/>
              <w:bottom w:w="80" w:type="dxa"/>
              <w:right w:w="120" w:type="dxa"/>
            </w:tcMar>
          </w:tcPr>
          <w:p w14:paraId="62ABE34C" w14:textId="77777777" w:rsidR="007950D0" w:rsidRDefault="002A65AC">
            <w:r>
              <w:t>Usage ingestion endpoint</w:t>
            </w:r>
          </w:p>
        </w:tc>
        <w:tc>
          <w:tcPr>
            <w:tcW w:w="6000" w:type="dxa"/>
            <w:tcMar>
              <w:top w:w="80" w:type="dxa"/>
              <w:left w:w="120" w:type="dxa"/>
              <w:bottom w:w="80" w:type="dxa"/>
              <w:right w:w="120" w:type="dxa"/>
            </w:tcMar>
          </w:tcPr>
          <w:p w14:paraId="773BB2DF" w14:textId="77777777" w:rsidR="007950D0" w:rsidRDefault="002A65AC">
            <w:r>
              <w:t>POST /v1/usage-events, accepts idempotency_key + quantity</w:t>
            </w:r>
          </w:p>
        </w:tc>
      </w:tr>
      <w:tr w:rsidR="007950D0" w14:paraId="70A1A4B9" w14:textId="77777777">
        <w:tblPrEx>
          <w:tblCellMar>
            <w:top w:w="0" w:type="dxa"/>
            <w:bottom w:w="0" w:type="dxa"/>
          </w:tblCellMar>
        </w:tblPrEx>
        <w:tc>
          <w:tcPr>
            <w:tcW w:w="3600" w:type="dxa"/>
            <w:tcMar>
              <w:top w:w="80" w:type="dxa"/>
              <w:left w:w="120" w:type="dxa"/>
              <w:bottom w:w="80" w:type="dxa"/>
              <w:right w:w="120" w:type="dxa"/>
            </w:tcMar>
          </w:tcPr>
          <w:p w14:paraId="5CF47289" w14:textId="77777777" w:rsidR="007950D0" w:rsidRDefault="002A65AC">
            <w:r>
              <w:t>Kafka/Redpanda topic</w:t>
            </w:r>
          </w:p>
        </w:tc>
        <w:tc>
          <w:tcPr>
            <w:tcW w:w="6000" w:type="dxa"/>
            <w:tcMar>
              <w:top w:w="80" w:type="dxa"/>
              <w:left w:w="120" w:type="dxa"/>
              <w:bottom w:w="80" w:type="dxa"/>
              <w:right w:w="120" w:type="dxa"/>
            </w:tcMar>
          </w:tcPr>
          <w:p w14:paraId="28DAE576" w14:textId="77777777" w:rsidR="007950D0" w:rsidRDefault="002A65AC">
            <w:r>
              <w:t>usage-events, partitioned by tenant_id</w:t>
            </w:r>
          </w:p>
        </w:tc>
      </w:tr>
      <w:tr w:rsidR="007950D0" w14:paraId="53284B1A" w14:textId="77777777">
        <w:tblPrEx>
          <w:tblCellMar>
            <w:top w:w="0" w:type="dxa"/>
            <w:bottom w:w="0" w:type="dxa"/>
          </w:tblCellMar>
        </w:tblPrEx>
        <w:tc>
          <w:tcPr>
            <w:tcW w:w="3600" w:type="dxa"/>
            <w:tcMar>
              <w:top w:w="80" w:type="dxa"/>
              <w:left w:w="120" w:type="dxa"/>
              <w:bottom w:w="80" w:type="dxa"/>
              <w:right w:w="120" w:type="dxa"/>
            </w:tcMar>
          </w:tcPr>
          <w:p w14:paraId="04394AA4" w14:textId="77777777" w:rsidR="007950D0" w:rsidRDefault="002A65AC">
            <w:r>
              <w:t>Metering consumer</w:t>
            </w:r>
          </w:p>
        </w:tc>
        <w:tc>
          <w:tcPr>
            <w:tcW w:w="6000" w:type="dxa"/>
            <w:tcMar>
              <w:top w:w="80" w:type="dxa"/>
              <w:left w:w="120" w:type="dxa"/>
              <w:bottom w:w="80" w:type="dxa"/>
              <w:right w:w="120" w:type="dxa"/>
            </w:tcMar>
          </w:tcPr>
          <w:p w14:paraId="24F12BC1" w14:textId="77777777" w:rsidR="007950D0" w:rsidRDefault="002A65AC">
            <w:r>
              <w:t>Idempotent upsert into Postgres + Redis counter increment</w:t>
            </w:r>
          </w:p>
        </w:tc>
      </w:tr>
      <w:tr w:rsidR="007950D0" w14:paraId="3819BE6A" w14:textId="77777777">
        <w:tblPrEx>
          <w:tblCellMar>
            <w:top w:w="0" w:type="dxa"/>
            <w:bottom w:w="0" w:type="dxa"/>
          </w:tblCellMar>
        </w:tblPrEx>
        <w:tc>
          <w:tcPr>
            <w:tcW w:w="3600" w:type="dxa"/>
            <w:tcMar>
              <w:top w:w="80" w:type="dxa"/>
              <w:left w:w="120" w:type="dxa"/>
              <w:bottom w:w="80" w:type="dxa"/>
              <w:right w:w="120" w:type="dxa"/>
            </w:tcMar>
          </w:tcPr>
          <w:p w14:paraId="4BD602EE" w14:textId="77777777" w:rsidR="007950D0" w:rsidRDefault="002A65AC">
            <w:r>
              <w:t>Live dashboard</w:t>
            </w:r>
          </w:p>
        </w:tc>
        <w:tc>
          <w:tcPr>
            <w:tcW w:w="6000" w:type="dxa"/>
            <w:tcMar>
              <w:top w:w="80" w:type="dxa"/>
              <w:left w:w="120" w:type="dxa"/>
              <w:bottom w:w="80" w:type="dxa"/>
              <w:right w:w="120" w:type="dxa"/>
            </w:tcMar>
          </w:tcPr>
          <w:p w14:paraId="6C3B402C" w14:textId="77777777" w:rsidR="007950D0" w:rsidRDefault="002A65AC">
            <w:r>
              <w:t>Angular view subscribed over STOMP to per-tenant usage updates</w:t>
            </w:r>
          </w:p>
        </w:tc>
      </w:tr>
      <w:tr w:rsidR="007950D0" w14:paraId="0EDE98AE" w14:textId="77777777">
        <w:tblPrEx>
          <w:tblCellMar>
            <w:top w:w="0" w:type="dxa"/>
            <w:bottom w:w="0" w:type="dxa"/>
          </w:tblCellMar>
        </w:tblPrEx>
        <w:tc>
          <w:tcPr>
            <w:tcW w:w="3600" w:type="dxa"/>
            <w:tcMar>
              <w:top w:w="80" w:type="dxa"/>
              <w:left w:w="120" w:type="dxa"/>
              <w:bottom w:w="80" w:type="dxa"/>
              <w:right w:w="120" w:type="dxa"/>
            </w:tcMar>
          </w:tcPr>
          <w:p w14:paraId="4EAAA7AC" w14:textId="77777777" w:rsidR="007950D0" w:rsidRDefault="002A65AC">
            <w:r>
              <w:t>Billing job</w:t>
            </w:r>
          </w:p>
        </w:tc>
        <w:tc>
          <w:tcPr>
            <w:tcW w:w="6000" w:type="dxa"/>
            <w:tcMar>
              <w:top w:w="80" w:type="dxa"/>
              <w:left w:w="120" w:type="dxa"/>
              <w:bottom w:w="80" w:type="dxa"/>
              <w:right w:w="120" w:type="dxa"/>
            </w:tcMar>
          </w:tcPr>
          <w:p w14:paraId="03EF500C" w14:textId="77777777" w:rsidR="007950D0" w:rsidRDefault="002A65AC">
            <w:r>
              <w:t>Reads the closed period's aggregate, applies tiered pricing, writes an Invoice</w:t>
            </w:r>
          </w:p>
        </w:tc>
      </w:tr>
      <w:tr w:rsidR="007950D0" w14:paraId="1B7432B5" w14:textId="77777777">
        <w:tblPrEx>
          <w:tblCellMar>
            <w:top w:w="0" w:type="dxa"/>
            <w:bottom w:w="0" w:type="dxa"/>
          </w:tblCellMar>
        </w:tblPrEx>
        <w:tc>
          <w:tcPr>
            <w:tcW w:w="3600" w:type="dxa"/>
            <w:tcMar>
              <w:top w:w="80" w:type="dxa"/>
              <w:left w:w="120" w:type="dxa"/>
              <w:bottom w:w="80" w:type="dxa"/>
              <w:right w:w="120" w:type="dxa"/>
            </w:tcMar>
          </w:tcPr>
          <w:p w14:paraId="0C940728" w14:textId="77777777" w:rsidR="007950D0" w:rsidRDefault="002A65AC">
            <w:r>
              <w:t>Invoice view</w:t>
            </w:r>
          </w:p>
        </w:tc>
        <w:tc>
          <w:tcPr>
            <w:tcW w:w="6000" w:type="dxa"/>
            <w:tcMar>
              <w:top w:w="80" w:type="dxa"/>
              <w:left w:w="120" w:type="dxa"/>
              <w:bottom w:w="80" w:type="dxa"/>
              <w:right w:w="120" w:type="dxa"/>
            </w:tcMar>
          </w:tcPr>
          <w:p w14:paraId="25E348FF" w14:textId="77777777" w:rsidR="007950D0" w:rsidRDefault="002A65AC">
            <w:r>
              <w:t>Angular view rendering line items and total for the generated invoice</w:t>
            </w:r>
          </w:p>
        </w:tc>
      </w:tr>
    </w:tbl>
    <w:p w14:paraId="53CA1BF3" w14:textId="77777777" w:rsidR="007950D0" w:rsidRDefault="002A65AC">
      <w:pPr>
        <w:pStyle w:val="Heading1"/>
        <w:spacing w:before="360" w:after="160"/>
      </w:pPr>
      <w:bookmarkStart w:id="6" w:name="_Toc241071883"/>
      <w:r>
        <w:t>5. Technology Stack</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400"/>
      </w:tblGrid>
      <w:tr w:rsidR="007950D0" w14:paraId="3797B64E" w14:textId="77777777">
        <w:tblPrEx>
          <w:tblCellMar>
            <w:top w:w="0" w:type="dxa"/>
            <w:bottom w:w="0" w:type="dxa"/>
          </w:tblCellMar>
        </w:tblPrEx>
        <w:trPr>
          <w:tblHeader/>
        </w:trPr>
        <w:tc>
          <w:tcPr>
            <w:tcW w:w="1800" w:type="dxa"/>
            <w:shd w:val="clear" w:color="auto" w:fill="1F3B57"/>
            <w:tcMar>
              <w:top w:w="80" w:type="dxa"/>
              <w:left w:w="120" w:type="dxa"/>
              <w:bottom w:w="80" w:type="dxa"/>
              <w:right w:w="120" w:type="dxa"/>
            </w:tcMar>
          </w:tcPr>
          <w:p w14:paraId="0B9F1D16" w14:textId="77777777" w:rsidR="007950D0" w:rsidRDefault="002A65AC">
            <w:r>
              <w:rPr>
                <w:b/>
                <w:bCs/>
                <w:color w:val="FFFFFF"/>
              </w:rPr>
              <w:t>Layer</w:t>
            </w:r>
          </w:p>
        </w:tc>
        <w:tc>
          <w:tcPr>
            <w:tcW w:w="3400" w:type="dxa"/>
            <w:shd w:val="clear" w:color="auto" w:fill="1F3B57"/>
            <w:tcMar>
              <w:top w:w="80" w:type="dxa"/>
              <w:left w:w="120" w:type="dxa"/>
              <w:bottom w:w="80" w:type="dxa"/>
              <w:right w:w="120" w:type="dxa"/>
            </w:tcMar>
          </w:tcPr>
          <w:p w14:paraId="722B865E" w14:textId="77777777" w:rsidR="007950D0" w:rsidRDefault="002A65AC">
            <w:r>
              <w:rPr>
                <w:b/>
                <w:bCs/>
                <w:color w:val="FFFFFF"/>
              </w:rPr>
              <w:t>Technology</w:t>
            </w:r>
          </w:p>
        </w:tc>
        <w:tc>
          <w:tcPr>
            <w:tcW w:w="4400" w:type="dxa"/>
            <w:shd w:val="clear" w:color="auto" w:fill="1F3B57"/>
            <w:tcMar>
              <w:top w:w="80" w:type="dxa"/>
              <w:left w:w="120" w:type="dxa"/>
              <w:bottom w:w="80" w:type="dxa"/>
              <w:right w:w="120" w:type="dxa"/>
            </w:tcMar>
          </w:tcPr>
          <w:p w14:paraId="0ACEB8E4" w14:textId="77777777" w:rsidR="007950D0" w:rsidRDefault="002A65AC">
            <w:r>
              <w:rPr>
                <w:b/>
                <w:bCs/>
                <w:color w:val="FFFFFF"/>
              </w:rPr>
              <w:t>Why this choice</w:t>
            </w:r>
          </w:p>
        </w:tc>
      </w:tr>
      <w:tr w:rsidR="007950D0" w14:paraId="4E498661" w14:textId="77777777">
        <w:tblPrEx>
          <w:tblCellMar>
            <w:top w:w="0" w:type="dxa"/>
            <w:bottom w:w="0" w:type="dxa"/>
          </w:tblCellMar>
        </w:tblPrEx>
        <w:tc>
          <w:tcPr>
            <w:tcW w:w="1800" w:type="dxa"/>
            <w:tcMar>
              <w:top w:w="80" w:type="dxa"/>
              <w:left w:w="120" w:type="dxa"/>
              <w:bottom w:w="80" w:type="dxa"/>
              <w:right w:w="120" w:type="dxa"/>
            </w:tcMar>
          </w:tcPr>
          <w:p w14:paraId="5239A002" w14:textId="77777777" w:rsidR="007950D0" w:rsidRDefault="002A65AC">
            <w:r>
              <w:t>Frontend</w:t>
            </w:r>
          </w:p>
        </w:tc>
        <w:tc>
          <w:tcPr>
            <w:tcW w:w="3400" w:type="dxa"/>
            <w:tcMar>
              <w:top w:w="80" w:type="dxa"/>
              <w:left w:w="120" w:type="dxa"/>
              <w:bottom w:w="80" w:type="dxa"/>
              <w:right w:w="120" w:type="dxa"/>
            </w:tcMar>
          </w:tcPr>
          <w:p w14:paraId="07BC461F" w14:textId="77777777" w:rsidR="007950D0" w:rsidRDefault="002A65AC">
            <w:r>
              <w:t>Angular 18, RxJS, Angular Material</w:t>
            </w:r>
          </w:p>
        </w:tc>
        <w:tc>
          <w:tcPr>
            <w:tcW w:w="4400" w:type="dxa"/>
            <w:tcMar>
              <w:top w:w="80" w:type="dxa"/>
              <w:left w:w="120" w:type="dxa"/>
              <w:bottom w:w="80" w:type="dxa"/>
              <w:right w:w="120" w:type="dxa"/>
            </w:tcMar>
          </w:tcPr>
          <w:p w14:paraId="5CDABB1F" w14:textId="77777777" w:rsidR="007950D0" w:rsidRDefault="002A65AC">
            <w:r>
              <w:t>Modern Angular signals + RxJS for real-time state; Material for fast, consistent UI without hand-rolled CSS</w:t>
            </w:r>
          </w:p>
        </w:tc>
      </w:tr>
      <w:tr w:rsidR="007950D0" w14:paraId="39671B5A" w14:textId="77777777">
        <w:tblPrEx>
          <w:tblCellMar>
            <w:top w:w="0" w:type="dxa"/>
            <w:bottom w:w="0" w:type="dxa"/>
          </w:tblCellMar>
        </w:tblPrEx>
        <w:tc>
          <w:tcPr>
            <w:tcW w:w="1800" w:type="dxa"/>
            <w:tcMar>
              <w:top w:w="80" w:type="dxa"/>
              <w:left w:w="120" w:type="dxa"/>
              <w:bottom w:w="80" w:type="dxa"/>
              <w:right w:w="120" w:type="dxa"/>
            </w:tcMar>
          </w:tcPr>
          <w:p w14:paraId="75B50336" w14:textId="77777777" w:rsidR="007950D0" w:rsidRDefault="002A65AC">
            <w:r>
              <w:t>Backend</w:t>
            </w:r>
          </w:p>
        </w:tc>
        <w:tc>
          <w:tcPr>
            <w:tcW w:w="3400" w:type="dxa"/>
            <w:tcMar>
              <w:top w:w="80" w:type="dxa"/>
              <w:left w:w="120" w:type="dxa"/>
              <w:bottom w:w="80" w:type="dxa"/>
              <w:right w:w="120" w:type="dxa"/>
            </w:tcMar>
          </w:tcPr>
          <w:p w14:paraId="3C4935DD" w14:textId="77777777" w:rsidR="007950D0" w:rsidRDefault="002A65AC">
            <w:r>
              <w:t>Java 21 (LTS), Spring Boot 3.5</w:t>
            </w:r>
          </w:p>
        </w:tc>
        <w:tc>
          <w:tcPr>
            <w:tcW w:w="4400" w:type="dxa"/>
            <w:tcMar>
              <w:top w:w="80" w:type="dxa"/>
              <w:left w:w="120" w:type="dxa"/>
              <w:bottom w:w="80" w:type="dxa"/>
              <w:right w:w="120" w:type="dxa"/>
            </w:tcMar>
          </w:tcPr>
          <w:p w14:paraId="5FA433E1" w14:textId="77777777" w:rsidR="007950D0" w:rsidRDefault="002A65AC">
            <w:r>
              <w:t>Exact BigDecimal money math; records and sealed types for immutable, exhaustively-handled messages; virtual threads enabled in every service for I/O-bound request handling; and the ecosystem the design needs — Kafka client, Spring Security JWT, Testcontainers (Section 10)</w:t>
            </w:r>
          </w:p>
        </w:tc>
      </w:tr>
      <w:tr w:rsidR="007950D0" w14:paraId="2A220C2E" w14:textId="77777777">
        <w:tblPrEx>
          <w:tblCellMar>
            <w:top w:w="0" w:type="dxa"/>
            <w:bottom w:w="0" w:type="dxa"/>
          </w:tblCellMar>
        </w:tblPrEx>
        <w:tc>
          <w:tcPr>
            <w:tcW w:w="1800" w:type="dxa"/>
            <w:tcMar>
              <w:top w:w="80" w:type="dxa"/>
              <w:left w:w="120" w:type="dxa"/>
              <w:bottom w:w="80" w:type="dxa"/>
              <w:right w:w="120" w:type="dxa"/>
            </w:tcMar>
          </w:tcPr>
          <w:p w14:paraId="439112A7" w14:textId="77777777" w:rsidR="007950D0" w:rsidRDefault="002A65AC">
            <w:r>
              <w:t>Messaging</w:t>
            </w:r>
          </w:p>
        </w:tc>
        <w:tc>
          <w:tcPr>
            <w:tcW w:w="3400" w:type="dxa"/>
            <w:tcMar>
              <w:top w:w="80" w:type="dxa"/>
              <w:left w:w="120" w:type="dxa"/>
              <w:bottom w:w="80" w:type="dxa"/>
              <w:right w:w="120" w:type="dxa"/>
            </w:tcMar>
          </w:tcPr>
          <w:p w14:paraId="2F856B08" w14:textId="77777777" w:rsidR="007950D0" w:rsidRDefault="002A65AC">
            <w:r>
              <w:t>Kafka-API (Redpanda locally)</w:t>
            </w:r>
          </w:p>
        </w:tc>
        <w:tc>
          <w:tcPr>
            <w:tcW w:w="4400" w:type="dxa"/>
            <w:tcMar>
              <w:top w:w="80" w:type="dxa"/>
              <w:left w:w="120" w:type="dxa"/>
              <w:bottom w:w="80" w:type="dxa"/>
              <w:right w:w="120" w:type="dxa"/>
            </w:tcMar>
          </w:tcPr>
          <w:p w14:paraId="2C67EDFF" w14:textId="77777777" w:rsidR="007950D0" w:rsidRDefault="002A65AC">
            <w:r>
              <w:t>Kafka semantics and partitioning without the operational overhead of a full Kafka/ZooKeeper cluster on a laptop</w:t>
            </w:r>
          </w:p>
        </w:tc>
      </w:tr>
      <w:tr w:rsidR="007950D0" w14:paraId="01850FC4" w14:textId="77777777">
        <w:tblPrEx>
          <w:tblCellMar>
            <w:top w:w="0" w:type="dxa"/>
            <w:bottom w:w="0" w:type="dxa"/>
          </w:tblCellMar>
        </w:tblPrEx>
        <w:tc>
          <w:tcPr>
            <w:tcW w:w="1800" w:type="dxa"/>
            <w:tcMar>
              <w:top w:w="80" w:type="dxa"/>
              <w:left w:w="120" w:type="dxa"/>
              <w:bottom w:w="80" w:type="dxa"/>
              <w:right w:w="120" w:type="dxa"/>
            </w:tcMar>
          </w:tcPr>
          <w:p w14:paraId="773A118E" w14:textId="77777777" w:rsidR="007950D0" w:rsidRDefault="002A65AC">
            <w:r>
              <w:t>Cache / counters</w:t>
            </w:r>
          </w:p>
        </w:tc>
        <w:tc>
          <w:tcPr>
            <w:tcW w:w="3400" w:type="dxa"/>
            <w:tcMar>
              <w:top w:w="80" w:type="dxa"/>
              <w:left w:w="120" w:type="dxa"/>
              <w:bottom w:w="80" w:type="dxa"/>
              <w:right w:w="120" w:type="dxa"/>
            </w:tcMar>
          </w:tcPr>
          <w:p w14:paraId="09C0746B" w14:textId="77777777" w:rsidR="007950D0" w:rsidRDefault="002A65AC">
            <w:r>
              <w:t>Redis</w:t>
            </w:r>
          </w:p>
        </w:tc>
        <w:tc>
          <w:tcPr>
            <w:tcW w:w="4400" w:type="dxa"/>
            <w:tcMar>
              <w:top w:w="80" w:type="dxa"/>
              <w:left w:w="120" w:type="dxa"/>
              <w:bottom w:w="80" w:type="dxa"/>
              <w:right w:w="120" w:type="dxa"/>
            </w:tcMar>
          </w:tcPr>
          <w:p w14:paraId="373EDBDA" w14:textId="77777777" w:rsidR="007950D0" w:rsidRDefault="002A65AC">
            <w:r>
              <w:t>Sub-millisecond counter increments for the live dashboard; explicitly not the system of record</w:t>
            </w:r>
          </w:p>
        </w:tc>
      </w:tr>
      <w:tr w:rsidR="007950D0" w14:paraId="4E91213A" w14:textId="77777777">
        <w:tblPrEx>
          <w:tblCellMar>
            <w:top w:w="0" w:type="dxa"/>
            <w:bottom w:w="0" w:type="dxa"/>
          </w:tblCellMar>
        </w:tblPrEx>
        <w:tc>
          <w:tcPr>
            <w:tcW w:w="1800" w:type="dxa"/>
            <w:tcMar>
              <w:top w:w="80" w:type="dxa"/>
              <w:left w:w="120" w:type="dxa"/>
              <w:bottom w:w="80" w:type="dxa"/>
              <w:right w:w="120" w:type="dxa"/>
            </w:tcMar>
          </w:tcPr>
          <w:p w14:paraId="68BA9650" w14:textId="77777777" w:rsidR="007950D0" w:rsidRDefault="002A65AC">
            <w:r>
              <w:t>Database</w:t>
            </w:r>
          </w:p>
        </w:tc>
        <w:tc>
          <w:tcPr>
            <w:tcW w:w="3400" w:type="dxa"/>
            <w:tcMar>
              <w:top w:w="80" w:type="dxa"/>
              <w:left w:w="120" w:type="dxa"/>
              <w:bottom w:w="80" w:type="dxa"/>
              <w:right w:w="120" w:type="dxa"/>
            </w:tcMar>
          </w:tcPr>
          <w:p w14:paraId="5925592C" w14:textId="77777777" w:rsidR="007950D0" w:rsidRDefault="002A65AC">
            <w:r>
              <w:t>PostgreSQL 16 (Row-Level Security)</w:t>
            </w:r>
          </w:p>
        </w:tc>
        <w:tc>
          <w:tcPr>
            <w:tcW w:w="4400" w:type="dxa"/>
            <w:tcMar>
              <w:top w:w="80" w:type="dxa"/>
              <w:left w:w="120" w:type="dxa"/>
              <w:bottom w:w="80" w:type="dxa"/>
              <w:right w:w="120" w:type="dxa"/>
            </w:tcMar>
          </w:tcPr>
          <w:p w14:paraId="08DAD7B0" w14:textId="77777777" w:rsidR="007950D0" w:rsidRDefault="002A65AC">
            <w:r>
              <w:t>RLS gives tenant isolation enforced by the database itself, not just application code</w:t>
            </w:r>
          </w:p>
        </w:tc>
      </w:tr>
      <w:tr w:rsidR="007950D0" w14:paraId="1233C84C" w14:textId="77777777">
        <w:tblPrEx>
          <w:tblCellMar>
            <w:top w:w="0" w:type="dxa"/>
            <w:bottom w:w="0" w:type="dxa"/>
          </w:tblCellMar>
        </w:tblPrEx>
        <w:tc>
          <w:tcPr>
            <w:tcW w:w="1800" w:type="dxa"/>
            <w:tcMar>
              <w:top w:w="80" w:type="dxa"/>
              <w:left w:w="120" w:type="dxa"/>
              <w:bottom w:w="80" w:type="dxa"/>
              <w:right w:w="120" w:type="dxa"/>
            </w:tcMar>
          </w:tcPr>
          <w:p w14:paraId="30B480F1" w14:textId="77777777" w:rsidR="007950D0" w:rsidRDefault="002A65AC">
            <w:r>
              <w:t>Auth</w:t>
            </w:r>
          </w:p>
        </w:tc>
        <w:tc>
          <w:tcPr>
            <w:tcW w:w="3400" w:type="dxa"/>
            <w:tcMar>
              <w:top w:w="80" w:type="dxa"/>
              <w:left w:w="120" w:type="dxa"/>
              <w:bottom w:w="80" w:type="dxa"/>
              <w:right w:w="120" w:type="dxa"/>
            </w:tcMar>
          </w:tcPr>
          <w:p w14:paraId="17C37359" w14:textId="77777777" w:rsidR="007950D0" w:rsidRDefault="002A65AC">
            <w:r>
              <w:t>Spring Security + JWT</w:t>
            </w:r>
          </w:p>
        </w:tc>
        <w:tc>
          <w:tcPr>
            <w:tcW w:w="4400" w:type="dxa"/>
            <w:tcMar>
              <w:top w:w="80" w:type="dxa"/>
              <w:left w:w="120" w:type="dxa"/>
              <w:bottom w:w="80" w:type="dxa"/>
              <w:right w:w="120" w:type="dxa"/>
            </w:tcMar>
          </w:tcPr>
          <w:p w14:paraId="402CCFFC" w14:textId="77777777" w:rsidR="007950D0" w:rsidRDefault="002A65AC">
            <w:r>
              <w:t>Self-issued JWTs are sufficient to prove the tenant-context propagation pattern; Keycloak is a stretch goal, not a POC blocker</w:t>
            </w:r>
          </w:p>
        </w:tc>
      </w:tr>
      <w:tr w:rsidR="007950D0" w14:paraId="0F7E68AC" w14:textId="77777777">
        <w:tblPrEx>
          <w:tblCellMar>
            <w:top w:w="0" w:type="dxa"/>
            <w:bottom w:w="0" w:type="dxa"/>
          </w:tblCellMar>
        </w:tblPrEx>
        <w:tc>
          <w:tcPr>
            <w:tcW w:w="1800" w:type="dxa"/>
            <w:tcMar>
              <w:top w:w="80" w:type="dxa"/>
              <w:left w:w="120" w:type="dxa"/>
              <w:bottom w:w="80" w:type="dxa"/>
              <w:right w:w="120" w:type="dxa"/>
            </w:tcMar>
          </w:tcPr>
          <w:p w14:paraId="6797C59A" w14:textId="77777777" w:rsidR="007950D0" w:rsidRDefault="002A65AC">
            <w:r>
              <w:t>Local infra</w:t>
            </w:r>
          </w:p>
        </w:tc>
        <w:tc>
          <w:tcPr>
            <w:tcW w:w="3400" w:type="dxa"/>
            <w:tcMar>
              <w:top w:w="80" w:type="dxa"/>
              <w:left w:w="120" w:type="dxa"/>
              <w:bottom w:w="80" w:type="dxa"/>
              <w:right w:w="120" w:type="dxa"/>
            </w:tcMar>
          </w:tcPr>
          <w:p w14:paraId="4484956A" w14:textId="77777777" w:rsidR="007950D0" w:rsidRDefault="002A65AC">
            <w:r>
              <w:t>Docker Compose</w:t>
            </w:r>
          </w:p>
        </w:tc>
        <w:tc>
          <w:tcPr>
            <w:tcW w:w="4400" w:type="dxa"/>
            <w:tcMar>
              <w:top w:w="80" w:type="dxa"/>
              <w:left w:w="120" w:type="dxa"/>
              <w:bottom w:w="80" w:type="dxa"/>
              <w:right w:w="120" w:type="dxa"/>
            </w:tcMar>
          </w:tcPr>
          <w:p w14:paraId="2D64CFA3" w14:textId="77777777" w:rsidR="007950D0" w:rsidRDefault="002A65AC">
            <w:r>
              <w:t>One command (docker compose up) spins up Postgres, Redis, Redpanda, the schema migrator, all services and the SPA</w:t>
            </w:r>
          </w:p>
        </w:tc>
      </w:tr>
      <w:tr w:rsidR="007950D0" w14:paraId="40B14864" w14:textId="77777777">
        <w:tblPrEx>
          <w:tblCellMar>
            <w:top w:w="0" w:type="dxa"/>
            <w:bottom w:w="0" w:type="dxa"/>
          </w:tblCellMar>
        </w:tblPrEx>
        <w:tc>
          <w:tcPr>
            <w:tcW w:w="1800" w:type="dxa"/>
            <w:tcMar>
              <w:top w:w="80" w:type="dxa"/>
              <w:left w:w="120" w:type="dxa"/>
              <w:bottom w:w="80" w:type="dxa"/>
              <w:right w:w="120" w:type="dxa"/>
            </w:tcMar>
          </w:tcPr>
          <w:p w14:paraId="7F825AC2" w14:textId="77777777" w:rsidR="007950D0" w:rsidRDefault="002A65AC">
            <w:r>
              <w:t>CI</w:t>
            </w:r>
          </w:p>
        </w:tc>
        <w:tc>
          <w:tcPr>
            <w:tcW w:w="3400" w:type="dxa"/>
            <w:tcMar>
              <w:top w:w="80" w:type="dxa"/>
              <w:left w:w="120" w:type="dxa"/>
              <w:bottom w:w="80" w:type="dxa"/>
              <w:right w:w="120" w:type="dxa"/>
            </w:tcMar>
          </w:tcPr>
          <w:p w14:paraId="46E0C13B" w14:textId="77777777" w:rsidR="007950D0" w:rsidRDefault="002A65AC">
            <w:r>
              <w:t>GitHub Actions</w:t>
            </w:r>
          </w:p>
        </w:tc>
        <w:tc>
          <w:tcPr>
            <w:tcW w:w="4400" w:type="dxa"/>
            <w:tcMar>
              <w:top w:w="80" w:type="dxa"/>
              <w:left w:w="120" w:type="dxa"/>
              <w:bottom w:w="80" w:type="dxa"/>
              <w:right w:w="120" w:type="dxa"/>
            </w:tcMar>
          </w:tcPr>
          <w:p w14:paraId="3761DEE8" w14:textId="77777777" w:rsidR="007950D0" w:rsidRDefault="002A65AC">
            <w:r>
              <w:t>Build + unit test on every push</w:t>
            </w:r>
          </w:p>
        </w:tc>
      </w:tr>
      <w:tr w:rsidR="007950D0" w14:paraId="38AB18DB" w14:textId="77777777">
        <w:tblPrEx>
          <w:tblCellMar>
            <w:top w:w="0" w:type="dxa"/>
            <w:bottom w:w="0" w:type="dxa"/>
          </w:tblCellMar>
        </w:tblPrEx>
        <w:tc>
          <w:tcPr>
            <w:tcW w:w="1800" w:type="dxa"/>
            <w:tcMar>
              <w:top w:w="80" w:type="dxa"/>
              <w:left w:w="120" w:type="dxa"/>
              <w:bottom w:w="80" w:type="dxa"/>
              <w:right w:w="120" w:type="dxa"/>
            </w:tcMar>
          </w:tcPr>
          <w:p w14:paraId="6C33038F" w14:textId="77777777" w:rsidR="007950D0" w:rsidRDefault="002A65AC">
            <w:r>
              <w:rPr>
                <w:sz w:val="19"/>
                <w:szCs w:val="19"/>
              </w:rPr>
              <w:t>Validation</w:t>
            </w:r>
          </w:p>
        </w:tc>
        <w:tc>
          <w:tcPr>
            <w:tcW w:w="3400" w:type="dxa"/>
            <w:tcMar>
              <w:top w:w="80" w:type="dxa"/>
              <w:left w:w="120" w:type="dxa"/>
              <w:bottom w:w="80" w:type="dxa"/>
              <w:right w:w="120" w:type="dxa"/>
            </w:tcMar>
          </w:tcPr>
          <w:p w14:paraId="7C1C7FFA" w14:textId="77777777" w:rsidR="007950D0" w:rsidRDefault="002A65AC">
            <w:r>
              <w:rPr>
                <w:sz w:val="19"/>
                <w:szCs w:val="19"/>
              </w:rPr>
              <w:t>Java 21 harness (JDK HttpClient + WebSocket, JDBC, Kafka client)</w:t>
            </w:r>
          </w:p>
        </w:tc>
        <w:tc>
          <w:tcPr>
            <w:tcW w:w="4400" w:type="dxa"/>
            <w:tcMar>
              <w:top w:w="80" w:type="dxa"/>
              <w:left w:w="120" w:type="dxa"/>
              <w:bottom w:w="80" w:type="dxa"/>
              <w:right w:w="120" w:type="dxa"/>
            </w:tcMar>
          </w:tcPr>
          <w:p w14:paraId="6C66A3E9" w14:textId="77777777" w:rsidR="007950D0" w:rsidRDefault="002A65AC">
            <w:r>
              <w:rPr>
                <w:sz w:val="19"/>
                <w:szCs w:val="19"/>
              </w:rPr>
              <w:t>Automates every exit criterion in Section 7 against the running stack. No Python or shell scripting</w:t>
            </w:r>
          </w:p>
        </w:tc>
      </w:tr>
      <w:tr w:rsidR="007950D0" w14:paraId="26309BDC" w14:textId="77777777">
        <w:tblPrEx>
          <w:tblCellMar>
            <w:top w:w="0" w:type="dxa"/>
            <w:bottom w:w="0" w:type="dxa"/>
          </w:tblCellMar>
        </w:tblPrEx>
        <w:tc>
          <w:tcPr>
            <w:tcW w:w="1800" w:type="dxa"/>
            <w:tcMar>
              <w:top w:w="80" w:type="dxa"/>
              <w:left w:w="120" w:type="dxa"/>
              <w:bottom w:w="80" w:type="dxa"/>
              <w:right w:w="120" w:type="dxa"/>
            </w:tcMar>
          </w:tcPr>
          <w:p w14:paraId="16E5631A" w14:textId="77777777" w:rsidR="007950D0" w:rsidRDefault="002A65AC">
            <w:r>
              <w:rPr>
                <w:sz w:val="19"/>
                <w:szCs w:val="19"/>
              </w:rPr>
              <w:t>Testing</w:t>
            </w:r>
          </w:p>
        </w:tc>
        <w:tc>
          <w:tcPr>
            <w:tcW w:w="3400" w:type="dxa"/>
            <w:tcMar>
              <w:top w:w="80" w:type="dxa"/>
              <w:left w:w="120" w:type="dxa"/>
              <w:bottom w:w="80" w:type="dxa"/>
              <w:right w:w="120" w:type="dxa"/>
            </w:tcMar>
          </w:tcPr>
          <w:p w14:paraId="7917923E" w14:textId="77777777" w:rsidR="007950D0" w:rsidRDefault="002A65AC">
            <w:r>
              <w:rPr>
                <w:sz w:val="19"/>
                <w:szCs w:val="19"/>
              </w:rPr>
              <w:t>JUnit 5, Testcontainers, ArchUnit</w:t>
            </w:r>
          </w:p>
        </w:tc>
        <w:tc>
          <w:tcPr>
            <w:tcW w:w="4400" w:type="dxa"/>
            <w:tcMar>
              <w:top w:w="80" w:type="dxa"/>
              <w:left w:w="120" w:type="dxa"/>
              <w:bottom w:w="80" w:type="dxa"/>
              <w:right w:w="120" w:type="dxa"/>
            </w:tcMar>
          </w:tcPr>
          <w:p w14:paraId="18523E66" w14:textId="77777777" w:rsidR="007950D0" w:rsidRDefault="002A65AC">
            <w:r>
              <w:rPr>
                <w:sz w:val="19"/>
                <w:szCs w:val="19"/>
              </w:rPr>
              <w:t>Real PostgreSQL, Redpanda and Redis in integration tests. ArchUnit fails the build on any float/double in the billing domain</w:t>
            </w:r>
          </w:p>
        </w:tc>
      </w:tr>
    </w:tbl>
    <w:p w14:paraId="31D8015E" w14:textId="77777777" w:rsidR="007950D0" w:rsidRDefault="002A65AC">
      <w:pPr>
        <w:pStyle w:val="Heading1"/>
        <w:spacing w:before="360" w:after="160"/>
      </w:pPr>
      <w:bookmarkStart w:id="7" w:name="_Toc241071884"/>
      <w:r>
        <w:t>6. Architecture Sketch</w:t>
      </w:r>
      <w:bookmarkEnd w:id="7"/>
    </w:p>
    <w:p w14:paraId="46B940B3" w14:textId="77777777" w:rsidR="007950D0" w:rsidRDefault="002A65AC">
      <w:pPr>
        <w:spacing w:after="160"/>
      </w:pPr>
      <w:r>
        <w:t>At POC scope there are two Spring Boot services plus the Angular SPA:</w:t>
      </w:r>
    </w:p>
    <w:p w14:paraId="4BF3ECCB" w14:textId="77777777" w:rsidR="007950D0" w:rsidRDefault="002A65AC">
      <w:pPr>
        <w:pStyle w:val="ListParagraph"/>
        <w:numPr>
          <w:ilvl w:val="0"/>
          <w:numId w:val="2"/>
        </w:numPr>
        <w:spacing w:after="80"/>
      </w:pPr>
      <w:r>
        <w:t>ingestion-service — exposes the usage-events endpoint, validates the idempotency key, publishes to Kafka.</w:t>
      </w:r>
    </w:p>
    <w:p w14:paraId="67CFF273" w14:textId="77777777" w:rsidR="007950D0" w:rsidRDefault="002A65AC">
      <w:pPr>
        <w:pStyle w:val="ListParagraph"/>
        <w:numPr>
          <w:ilvl w:val="0"/>
          <w:numId w:val="2"/>
        </w:numPr>
        <w:spacing w:after="80"/>
      </w:pPr>
      <w:r>
        <w:t>metering-billing-service — consumes usage-events, performs idempotent upsert + Redis increment, exposes the WebSocket topic for live counts, and runs the billing job that produces invoices.</w:t>
      </w:r>
    </w:p>
    <w:p w14:paraId="2F95034A" w14:textId="77777777" w:rsidR="007950D0" w:rsidRDefault="002A65AC">
      <w:pPr>
        <w:pStyle w:val="ListParagraph"/>
        <w:numPr>
          <w:ilvl w:val="0"/>
          <w:numId w:val="2"/>
        </w:numPr>
        <w:spacing w:after="80"/>
      </w:pPr>
      <w:r>
        <w:t>meterly-web — the Angular SPA (login, dashboard, invoice view).</w:t>
      </w:r>
    </w:p>
    <w:p w14:paraId="02ABFBBD" w14:textId="77777777" w:rsidR="007950D0" w:rsidRDefault="002A65AC">
      <w:pPr>
        <w:spacing w:after="160"/>
      </w:pPr>
      <w:r>
        <w:t>Data flow: a simulated client calls the ingestion endpoint → event is published to the usage-events Kafka topic, partitioned by tenant_id to preserve per-tenant ordering → the metering consumer upserts the event into Postgres (idempotency_key has a unique constraint, so redelivery is a no-op) and increments the Redis counter for the current period → the counter increment is pushed to subscribed dashboard clients over STOMP → at period close, the billing job reads the Postgres aggregate (the source of truth,</w:t>
      </w:r>
      <w:r>
        <w:t xml:space="preserve"> not Redis) and writes an Invoice with its line items → the Angular invoice view fetches and renders it over REST.</w:t>
      </w:r>
    </w:p>
    <w:p w14:paraId="1AE52A93" w14:textId="77777777" w:rsidR="007950D0" w:rsidRDefault="002A65AC">
      <w:pPr>
        <w:spacing w:after="160"/>
      </w:pPr>
      <w:r>
        <w:t>The two-service split (rather than one monolith) exists specifically to prove that ingestion and metering/billing can scale and fail independently — the PDD's full design splits these further into tenant-service, metering-service, and billing-service (Section 2 of the PDD).</w:t>
      </w:r>
    </w:p>
    <w:p w14:paraId="649F039F" w14:textId="77777777" w:rsidR="007950D0" w:rsidRDefault="002A65AC">
      <w:pPr>
        <w:spacing w:after="160"/>
      </w:pPr>
      <w:r>
        <w:rPr>
          <w:b/>
          <w:bCs/>
        </w:rPr>
        <w:t xml:space="preserve">v1.1: </w:t>
      </w:r>
      <w:r>
        <w:t>the full build now implements the PDD split — tenant-service, ingestion-service, metering-service, billing-service and notification-service — sharing a common library (</w:t>
      </w:r>
      <w:r>
        <w:rPr>
          <w:rFonts w:ascii="Consolas" w:hAnsi="Consolas" w:cs="Consolas"/>
          <w:sz w:val="19"/>
          <w:szCs w:val="19"/>
        </w:rPr>
        <w:t>meterly-common</w:t>
      </w:r>
      <w:r>
        <w:t>) and one migrations module (</w:t>
      </w:r>
      <w:r>
        <w:rPr>
          <w:rFonts w:ascii="Consolas" w:hAnsi="Consolas" w:cs="Consolas"/>
          <w:sz w:val="19"/>
          <w:szCs w:val="19"/>
        </w:rPr>
        <w:t>meterly-db</w:t>
      </w:r>
      <w:r>
        <w:t>).</w:t>
      </w:r>
    </w:p>
    <w:p w14:paraId="435AE0C6" w14:textId="77777777" w:rsidR="007950D0" w:rsidRDefault="002A65AC">
      <w:pPr>
        <w:pStyle w:val="Heading1"/>
        <w:spacing w:before="360" w:after="160"/>
      </w:pPr>
      <w:bookmarkStart w:id="8" w:name="_Toc241071885"/>
      <w:r>
        <w:t>7. Success / Exit Criteria</w:t>
      </w:r>
      <w:bookmarkEnd w:id="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00"/>
      </w:tblGrid>
      <w:tr w:rsidR="007950D0" w14:paraId="2B8F2EDA" w14:textId="77777777">
        <w:tblPrEx>
          <w:tblCellMar>
            <w:top w:w="0" w:type="dxa"/>
            <w:bottom w:w="0" w:type="dxa"/>
          </w:tblCellMar>
        </w:tblPrEx>
        <w:trPr>
          <w:tblHeader/>
        </w:trPr>
        <w:tc>
          <w:tcPr>
            <w:tcW w:w="3400" w:type="dxa"/>
            <w:shd w:val="clear" w:color="auto" w:fill="1F3B57"/>
            <w:tcMar>
              <w:top w:w="80" w:type="dxa"/>
              <w:left w:w="120" w:type="dxa"/>
              <w:bottom w:w="80" w:type="dxa"/>
              <w:right w:w="120" w:type="dxa"/>
            </w:tcMar>
          </w:tcPr>
          <w:p w14:paraId="106DE8FE" w14:textId="77777777" w:rsidR="007950D0" w:rsidRDefault="002A65AC">
            <w:r>
              <w:rPr>
                <w:b/>
                <w:bCs/>
                <w:color w:val="FFFFFF"/>
              </w:rPr>
              <w:t>Hypothesis</w:t>
            </w:r>
          </w:p>
        </w:tc>
        <w:tc>
          <w:tcPr>
            <w:tcW w:w="6200" w:type="dxa"/>
            <w:shd w:val="clear" w:color="auto" w:fill="1F3B57"/>
            <w:tcMar>
              <w:top w:w="80" w:type="dxa"/>
              <w:left w:w="120" w:type="dxa"/>
              <w:bottom w:w="80" w:type="dxa"/>
              <w:right w:w="120" w:type="dxa"/>
            </w:tcMar>
          </w:tcPr>
          <w:p w14:paraId="639022AD" w14:textId="77777777" w:rsidR="007950D0" w:rsidRDefault="002A65AC">
            <w:r>
              <w:rPr>
                <w:b/>
                <w:bCs/>
                <w:color w:val="FFFFFF"/>
              </w:rPr>
              <w:t>Pass criteria</w:t>
            </w:r>
          </w:p>
        </w:tc>
      </w:tr>
      <w:tr w:rsidR="007950D0" w14:paraId="21E9955D" w14:textId="77777777">
        <w:tblPrEx>
          <w:tblCellMar>
            <w:top w:w="0" w:type="dxa"/>
            <w:bottom w:w="0" w:type="dxa"/>
          </w:tblCellMar>
        </w:tblPrEx>
        <w:tc>
          <w:tcPr>
            <w:tcW w:w="3400" w:type="dxa"/>
            <w:tcMar>
              <w:top w:w="80" w:type="dxa"/>
              <w:left w:w="120" w:type="dxa"/>
              <w:bottom w:w="80" w:type="dxa"/>
              <w:right w:w="120" w:type="dxa"/>
            </w:tcMar>
          </w:tcPr>
          <w:p w14:paraId="2F05192B" w14:textId="77777777" w:rsidR="007950D0" w:rsidRDefault="002A65AC">
            <w:r>
              <w:t>Idempotent metering</w:t>
            </w:r>
          </w:p>
        </w:tc>
        <w:tc>
          <w:tcPr>
            <w:tcW w:w="6200" w:type="dxa"/>
            <w:tcMar>
              <w:top w:w="80" w:type="dxa"/>
              <w:left w:w="120" w:type="dxa"/>
              <w:bottom w:w="80" w:type="dxa"/>
              <w:right w:w="120" w:type="dxa"/>
            </w:tcMar>
          </w:tcPr>
          <w:p w14:paraId="71A35465" w14:textId="77777777" w:rsidR="007950D0" w:rsidRDefault="002A65AC">
            <w:r>
              <w:t>1,000 simulated events with 5% intentional duplicate idempotency keys and 5% intentional Kafka redelivery result in an aggregate count matching the number of unique keys, exactly.</w:t>
            </w:r>
          </w:p>
        </w:tc>
      </w:tr>
      <w:tr w:rsidR="007950D0" w14:paraId="3F648084" w14:textId="77777777">
        <w:tblPrEx>
          <w:tblCellMar>
            <w:top w:w="0" w:type="dxa"/>
            <w:bottom w:w="0" w:type="dxa"/>
          </w:tblCellMar>
        </w:tblPrEx>
        <w:tc>
          <w:tcPr>
            <w:tcW w:w="3400" w:type="dxa"/>
            <w:tcMar>
              <w:top w:w="80" w:type="dxa"/>
              <w:left w:w="120" w:type="dxa"/>
              <w:bottom w:w="80" w:type="dxa"/>
              <w:right w:w="120" w:type="dxa"/>
            </w:tcMar>
          </w:tcPr>
          <w:p w14:paraId="1913CF34" w14:textId="77777777" w:rsidR="007950D0" w:rsidRDefault="002A65AC">
            <w:r>
              <w:t>RLS isolation</w:t>
            </w:r>
          </w:p>
        </w:tc>
        <w:tc>
          <w:tcPr>
            <w:tcW w:w="6200" w:type="dxa"/>
            <w:tcMar>
              <w:top w:w="80" w:type="dxa"/>
              <w:left w:w="120" w:type="dxa"/>
              <w:bottom w:w="80" w:type="dxa"/>
              <w:right w:w="120" w:type="dxa"/>
            </w:tcMar>
          </w:tcPr>
          <w:p w14:paraId="2800BD22" w14:textId="77777777" w:rsidR="007950D0" w:rsidRDefault="002A65AC">
            <w:r>
              <w:t>A query executed with a different tenant's session variable set returns zero rows for the seeded tenant's data, even when the WHERE clause is deliberately omitted from the test query.</w:t>
            </w:r>
          </w:p>
        </w:tc>
      </w:tr>
      <w:tr w:rsidR="007950D0" w14:paraId="4BA6035F" w14:textId="77777777">
        <w:tblPrEx>
          <w:tblCellMar>
            <w:top w:w="0" w:type="dxa"/>
            <w:bottom w:w="0" w:type="dxa"/>
          </w:tblCellMar>
        </w:tblPrEx>
        <w:tc>
          <w:tcPr>
            <w:tcW w:w="3400" w:type="dxa"/>
            <w:tcMar>
              <w:top w:w="80" w:type="dxa"/>
              <w:left w:w="120" w:type="dxa"/>
              <w:bottom w:w="80" w:type="dxa"/>
              <w:right w:w="120" w:type="dxa"/>
            </w:tcMar>
          </w:tcPr>
          <w:p w14:paraId="0DA32684" w14:textId="77777777" w:rsidR="007950D0" w:rsidRDefault="002A65AC">
            <w:r>
              <w:t>Live dashboard latency</w:t>
            </w:r>
          </w:p>
        </w:tc>
        <w:tc>
          <w:tcPr>
            <w:tcW w:w="6200" w:type="dxa"/>
            <w:tcMar>
              <w:top w:w="80" w:type="dxa"/>
              <w:left w:w="120" w:type="dxa"/>
              <w:bottom w:w="80" w:type="dxa"/>
              <w:right w:w="120" w:type="dxa"/>
            </w:tcMar>
          </w:tcPr>
          <w:p w14:paraId="47095245" w14:textId="77777777" w:rsidR="007950D0" w:rsidRDefault="002A65AC">
            <w:r>
              <w:t>In 20 manual trials, the dashboard counter reflects a published event within 2 seconds at least 18 times.</w:t>
            </w:r>
          </w:p>
        </w:tc>
      </w:tr>
      <w:tr w:rsidR="007950D0" w14:paraId="1E57C90C" w14:textId="77777777">
        <w:tblPrEx>
          <w:tblCellMar>
            <w:top w:w="0" w:type="dxa"/>
            <w:bottom w:w="0" w:type="dxa"/>
          </w:tblCellMar>
        </w:tblPrEx>
        <w:tc>
          <w:tcPr>
            <w:tcW w:w="3400" w:type="dxa"/>
            <w:tcMar>
              <w:top w:w="80" w:type="dxa"/>
              <w:left w:w="120" w:type="dxa"/>
              <w:bottom w:w="80" w:type="dxa"/>
              <w:right w:w="120" w:type="dxa"/>
            </w:tcMar>
          </w:tcPr>
          <w:p w14:paraId="3ADC3957" w14:textId="77777777" w:rsidR="007950D0" w:rsidRDefault="002A65AC">
            <w:r>
              <w:t>Correct tiered invoice</w:t>
            </w:r>
          </w:p>
        </w:tc>
        <w:tc>
          <w:tcPr>
            <w:tcW w:w="6200" w:type="dxa"/>
            <w:tcMar>
              <w:top w:w="80" w:type="dxa"/>
              <w:left w:w="120" w:type="dxa"/>
              <w:bottom w:w="80" w:type="dxa"/>
              <w:right w:w="120" w:type="dxa"/>
            </w:tcMar>
          </w:tcPr>
          <w:p w14:paraId="2D9092AD" w14:textId="77777777" w:rsidR="007950D0" w:rsidRDefault="002A65AC">
            <w:r>
              <w:t>The generated invoice total matches an independently hand-calculated total for the same usage figures, to the cent.</w:t>
            </w:r>
          </w:p>
        </w:tc>
      </w:tr>
    </w:tbl>
    <w:p w14:paraId="28C88ECD" w14:textId="77777777" w:rsidR="007950D0" w:rsidRDefault="002A65AC">
      <w:pPr>
        <w:spacing w:after="160"/>
      </w:pPr>
      <w:r>
        <w:rPr>
          <w:b/>
          <w:bCs/>
        </w:rPr>
        <w:t xml:space="preserve">v1.1: </w:t>
      </w:r>
      <w:r>
        <w:t xml:space="preserve">each criterion is now checked automatically in Java rather than by hand — by the </w:t>
      </w:r>
      <w:r>
        <w:rPr>
          <w:rFonts w:ascii="Consolas" w:hAnsi="Consolas" w:cs="Consolas"/>
          <w:sz w:val="19"/>
          <w:szCs w:val="19"/>
        </w:rPr>
        <w:t>meterly-validation</w:t>
      </w:r>
      <w:r>
        <w:t xml:space="preserve"> harness against the Docker Compose stack, and by Testcontainers integration tests in CI. The live-latency criterion keeps its 20-trial, 18-within-2-seconds bar but is measured programmatically: from the ingestion response to the STOMP message arriving over a real WebSocket.</w:t>
      </w:r>
    </w:p>
    <w:p w14:paraId="311B2637" w14:textId="77777777" w:rsidR="007950D0" w:rsidRDefault="002A65AC">
      <w:pPr>
        <w:pStyle w:val="Heading1"/>
        <w:spacing w:before="360" w:after="160"/>
      </w:pPr>
      <w:bookmarkStart w:id="9" w:name="_Toc241071886"/>
      <w:r>
        <w:t>8. Key Risks &amp; Mitigations</w:t>
      </w:r>
      <w:bookmarkEnd w:id="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00"/>
      </w:tblGrid>
      <w:tr w:rsidR="007950D0" w14:paraId="20CABF90" w14:textId="77777777">
        <w:tblPrEx>
          <w:tblCellMar>
            <w:top w:w="0" w:type="dxa"/>
            <w:bottom w:w="0" w:type="dxa"/>
          </w:tblCellMar>
        </w:tblPrEx>
        <w:trPr>
          <w:tblHeader/>
        </w:trPr>
        <w:tc>
          <w:tcPr>
            <w:tcW w:w="4600" w:type="dxa"/>
            <w:shd w:val="clear" w:color="auto" w:fill="1F3B57"/>
            <w:tcMar>
              <w:top w:w="80" w:type="dxa"/>
              <w:left w:w="120" w:type="dxa"/>
              <w:bottom w:w="80" w:type="dxa"/>
              <w:right w:w="120" w:type="dxa"/>
            </w:tcMar>
          </w:tcPr>
          <w:p w14:paraId="7995DA5A" w14:textId="77777777" w:rsidR="007950D0" w:rsidRDefault="002A65AC">
            <w:r>
              <w:rPr>
                <w:b/>
                <w:bCs/>
                <w:color w:val="FFFFFF"/>
              </w:rPr>
              <w:t>Risk</w:t>
            </w:r>
          </w:p>
        </w:tc>
        <w:tc>
          <w:tcPr>
            <w:tcW w:w="5000" w:type="dxa"/>
            <w:shd w:val="clear" w:color="auto" w:fill="1F3B57"/>
            <w:tcMar>
              <w:top w:w="80" w:type="dxa"/>
              <w:left w:w="120" w:type="dxa"/>
              <w:bottom w:w="80" w:type="dxa"/>
              <w:right w:w="120" w:type="dxa"/>
            </w:tcMar>
          </w:tcPr>
          <w:p w14:paraId="04E6AEC0" w14:textId="77777777" w:rsidR="007950D0" w:rsidRDefault="002A65AC">
            <w:r>
              <w:rPr>
                <w:b/>
                <w:bCs/>
                <w:color w:val="FFFFFF"/>
              </w:rPr>
              <w:t>Mitigation</w:t>
            </w:r>
          </w:p>
        </w:tc>
      </w:tr>
      <w:tr w:rsidR="007950D0" w14:paraId="46D243F0" w14:textId="77777777">
        <w:tblPrEx>
          <w:tblCellMar>
            <w:top w:w="0" w:type="dxa"/>
            <w:bottom w:w="0" w:type="dxa"/>
          </w:tblCellMar>
        </w:tblPrEx>
        <w:tc>
          <w:tcPr>
            <w:tcW w:w="4600" w:type="dxa"/>
            <w:tcMar>
              <w:top w:w="80" w:type="dxa"/>
              <w:left w:w="120" w:type="dxa"/>
              <w:bottom w:w="80" w:type="dxa"/>
              <w:right w:w="120" w:type="dxa"/>
            </w:tcMar>
          </w:tcPr>
          <w:p w14:paraId="1D23B98D" w14:textId="77777777" w:rsidR="007950D0" w:rsidRDefault="002A65AC">
            <w:r>
              <w:t>RLS + connection-pooled session variables interacting badly (session vars can leak across pooled connections)</w:t>
            </w:r>
          </w:p>
        </w:tc>
        <w:tc>
          <w:tcPr>
            <w:tcW w:w="5000" w:type="dxa"/>
            <w:tcMar>
              <w:top w:w="80" w:type="dxa"/>
              <w:left w:w="120" w:type="dxa"/>
              <w:bottom w:w="80" w:type="dxa"/>
              <w:right w:w="120" w:type="dxa"/>
            </w:tcMar>
          </w:tcPr>
          <w:p w14:paraId="7E921F93" w14:textId="77777777" w:rsidR="007950D0" w:rsidRDefault="002A65AC">
            <w:r>
              <w:t>Set the tenant session variable per-transaction via a Spring @Around aspect at the start of every request, and add a test that asserts it is reset/reassigned even under pool reuse.</w:t>
            </w:r>
          </w:p>
        </w:tc>
      </w:tr>
      <w:tr w:rsidR="007950D0" w14:paraId="7B57BA5C" w14:textId="77777777">
        <w:tblPrEx>
          <w:tblCellMar>
            <w:top w:w="0" w:type="dxa"/>
            <w:bottom w:w="0" w:type="dxa"/>
          </w:tblCellMar>
        </w:tblPrEx>
        <w:tc>
          <w:tcPr>
            <w:tcW w:w="4600" w:type="dxa"/>
            <w:tcMar>
              <w:top w:w="80" w:type="dxa"/>
              <w:left w:w="120" w:type="dxa"/>
              <w:bottom w:w="80" w:type="dxa"/>
              <w:right w:w="120" w:type="dxa"/>
            </w:tcMar>
          </w:tcPr>
          <w:p w14:paraId="0B8519A5" w14:textId="77777777" w:rsidR="007950D0" w:rsidRDefault="002A65AC">
            <w:r>
              <w:t>Kafka/Redpanda operational overhead derails POC timeline</w:t>
            </w:r>
          </w:p>
        </w:tc>
        <w:tc>
          <w:tcPr>
            <w:tcW w:w="5000" w:type="dxa"/>
            <w:tcMar>
              <w:top w:w="80" w:type="dxa"/>
              <w:left w:w="120" w:type="dxa"/>
              <w:bottom w:w="80" w:type="dxa"/>
              <w:right w:w="120" w:type="dxa"/>
            </w:tcMar>
          </w:tcPr>
          <w:p w14:paraId="0C357F0D" w14:textId="77777777" w:rsidR="007950D0" w:rsidRDefault="002A65AC">
            <w:r>
              <w:t>Use Redpanda's single-binary local mode; document it as Kafka-API compatible rather than standing up a full Kafka cluster.</w:t>
            </w:r>
          </w:p>
        </w:tc>
      </w:tr>
      <w:tr w:rsidR="007950D0" w14:paraId="0016F987" w14:textId="77777777">
        <w:tblPrEx>
          <w:tblCellMar>
            <w:top w:w="0" w:type="dxa"/>
            <w:bottom w:w="0" w:type="dxa"/>
          </w:tblCellMar>
        </w:tblPrEx>
        <w:tc>
          <w:tcPr>
            <w:tcW w:w="4600" w:type="dxa"/>
            <w:tcMar>
              <w:top w:w="80" w:type="dxa"/>
              <w:left w:w="120" w:type="dxa"/>
              <w:bottom w:w="80" w:type="dxa"/>
              <w:right w:w="120" w:type="dxa"/>
            </w:tcMar>
          </w:tcPr>
          <w:p w14:paraId="6F9554CE" w14:textId="77777777" w:rsidR="007950D0" w:rsidRDefault="002A65AC">
            <w:r>
              <w:t>Redis counter and Postgres ledger drifting apart</w:t>
            </w:r>
          </w:p>
        </w:tc>
        <w:tc>
          <w:tcPr>
            <w:tcW w:w="5000" w:type="dxa"/>
            <w:tcMar>
              <w:top w:w="80" w:type="dxa"/>
              <w:left w:w="120" w:type="dxa"/>
              <w:bottom w:w="80" w:type="dxa"/>
              <w:right w:w="120" w:type="dxa"/>
            </w:tcMar>
          </w:tcPr>
          <w:p w14:paraId="4EE34691" w14:textId="77777777" w:rsidR="007950D0" w:rsidRDefault="002A65AC">
            <w:r>
              <w:t>Postgres is authoritative by design; Redis is explicitly a read cache. The POC includes one reconciliation check comparing the two after the test run.</w:t>
            </w:r>
          </w:p>
        </w:tc>
      </w:tr>
      <w:tr w:rsidR="007950D0" w14:paraId="079DDD81" w14:textId="77777777">
        <w:tblPrEx>
          <w:tblCellMar>
            <w:top w:w="0" w:type="dxa"/>
            <w:bottom w:w="0" w:type="dxa"/>
          </w:tblCellMar>
        </w:tblPrEx>
        <w:tc>
          <w:tcPr>
            <w:tcW w:w="4600" w:type="dxa"/>
            <w:tcMar>
              <w:top w:w="80" w:type="dxa"/>
              <w:left w:w="120" w:type="dxa"/>
              <w:bottom w:w="80" w:type="dxa"/>
              <w:right w:w="120" w:type="dxa"/>
            </w:tcMar>
          </w:tcPr>
          <w:p w14:paraId="0C6F6326" w14:textId="77777777" w:rsidR="007950D0" w:rsidRDefault="002A65AC">
            <w:r>
              <w:t>Floating-point rounding errors in invoice math</w:t>
            </w:r>
          </w:p>
        </w:tc>
        <w:tc>
          <w:tcPr>
            <w:tcW w:w="5000" w:type="dxa"/>
            <w:tcMar>
              <w:top w:w="80" w:type="dxa"/>
              <w:left w:w="120" w:type="dxa"/>
              <w:bottom w:w="80" w:type="dxa"/>
              <w:right w:w="120" w:type="dxa"/>
            </w:tcMar>
          </w:tcPr>
          <w:p w14:paraId="283B57A3" w14:textId="77777777" w:rsidR="007950D0" w:rsidRDefault="002A65AC">
            <w:r>
              <w:t>All monetary values use BigDecimal end-to-end, with a documented HALF_EVEN rounding rule at the cent, never double/float.</w:t>
            </w:r>
          </w:p>
        </w:tc>
      </w:tr>
    </w:tbl>
    <w:p w14:paraId="4E476498" w14:textId="77777777" w:rsidR="007950D0" w:rsidRDefault="002A65AC">
      <w:pPr>
        <w:pStyle w:val="Heading1"/>
        <w:spacing w:before="360" w:after="160"/>
      </w:pPr>
      <w:bookmarkStart w:id="10" w:name="_Toc241071887"/>
      <w:r>
        <w:t>9. Timeline</w:t>
      </w:r>
      <w:bookmarkEnd w:id="1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gridCol w:w="1800"/>
      </w:tblGrid>
      <w:tr w:rsidR="007950D0" w14:paraId="601FED8E"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tcPr>
          <w:p w14:paraId="23EB070B" w14:textId="77777777" w:rsidR="007950D0" w:rsidRDefault="002A65AC">
            <w:r>
              <w:rPr>
                <w:b/>
                <w:bCs/>
                <w:color w:val="FFFFFF"/>
              </w:rPr>
              <w:t>Phase</w:t>
            </w:r>
          </w:p>
        </w:tc>
        <w:tc>
          <w:tcPr>
            <w:tcW w:w="5200" w:type="dxa"/>
            <w:shd w:val="clear" w:color="auto" w:fill="1F3B57"/>
            <w:tcMar>
              <w:top w:w="80" w:type="dxa"/>
              <w:left w:w="120" w:type="dxa"/>
              <w:bottom w:w="80" w:type="dxa"/>
              <w:right w:w="120" w:type="dxa"/>
            </w:tcMar>
          </w:tcPr>
          <w:p w14:paraId="0A79F316" w14:textId="77777777" w:rsidR="007950D0" w:rsidRDefault="002A65AC">
            <w:r>
              <w:rPr>
                <w:b/>
                <w:bCs/>
                <w:color w:val="FFFFFF"/>
              </w:rPr>
              <w:t>Focus</w:t>
            </w:r>
          </w:p>
        </w:tc>
        <w:tc>
          <w:tcPr>
            <w:tcW w:w="1800" w:type="dxa"/>
            <w:shd w:val="clear" w:color="auto" w:fill="1F3B57"/>
            <w:tcMar>
              <w:top w:w="80" w:type="dxa"/>
              <w:left w:w="120" w:type="dxa"/>
              <w:bottom w:w="80" w:type="dxa"/>
              <w:right w:w="120" w:type="dxa"/>
            </w:tcMar>
          </w:tcPr>
          <w:p w14:paraId="036F4E6A" w14:textId="77777777" w:rsidR="007950D0" w:rsidRDefault="002A65AC">
            <w:r>
              <w:rPr>
                <w:b/>
                <w:bCs/>
                <w:color w:val="FFFFFF"/>
              </w:rPr>
              <w:t>Target duration</w:t>
            </w:r>
          </w:p>
        </w:tc>
      </w:tr>
      <w:tr w:rsidR="007950D0" w14:paraId="1B08062F" w14:textId="77777777">
        <w:tblPrEx>
          <w:tblCellMar>
            <w:top w:w="0" w:type="dxa"/>
            <w:bottom w:w="0" w:type="dxa"/>
          </w:tblCellMar>
        </w:tblPrEx>
        <w:tc>
          <w:tcPr>
            <w:tcW w:w="2600" w:type="dxa"/>
            <w:tcMar>
              <w:top w:w="80" w:type="dxa"/>
              <w:left w:w="120" w:type="dxa"/>
              <w:bottom w:w="80" w:type="dxa"/>
              <w:right w:w="120" w:type="dxa"/>
            </w:tcMar>
          </w:tcPr>
          <w:p w14:paraId="43E95181" w14:textId="77777777" w:rsidR="007950D0" w:rsidRDefault="002A65AC">
            <w:r>
              <w:t>POC – Week 1</w:t>
            </w:r>
          </w:p>
        </w:tc>
        <w:tc>
          <w:tcPr>
            <w:tcW w:w="5200" w:type="dxa"/>
            <w:tcMar>
              <w:top w:w="80" w:type="dxa"/>
              <w:left w:w="120" w:type="dxa"/>
              <w:bottom w:w="80" w:type="dxa"/>
              <w:right w:w="120" w:type="dxa"/>
            </w:tcMar>
          </w:tcPr>
          <w:p w14:paraId="68E8916F" w14:textId="77777777" w:rsidR="007950D0" w:rsidRDefault="002A65AC">
            <w:r>
              <w:t>Docker Compose stack, tenant/user seed, ingestion endpoint, Kafka publish</w:t>
            </w:r>
          </w:p>
        </w:tc>
        <w:tc>
          <w:tcPr>
            <w:tcW w:w="1800" w:type="dxa"/>
            <w:tcMar>
              <w:top w:w="80" w:type="dxa"/>
              <w:left w:w="120" w:type="dxa"/>
              <w:bottom w:w="80" w:type="dxa"/>
              <w:right w:w="120" w:type="dxa"/>
            </w:tcMar>
          </w:tcPr>
          <w:p w14:paraId="3D204BC8" w14:textId="77777777" w:rsidR="007950D0" w:rsidRDefault="002A65AC">
            <w:r>
              <w:t>1 week</w:t>
            </w:r>
          </w:p>
        </w:tc>
      </w:tr>
      <w:tr w:rsidR="007950D0" w14:paraId="5F75A7AA" w14:textId="77777777">
        <w:tblPrEx>
          <w:tblCellMar>
            <w:top w:w="0" w:type="dxa"/>
            <w:bottom w:w="0" w:type="dxa"/>
          </w:tblCellMar>
        </w:tblPrEx>
        <w:tc>
          <w:tcPr>
            <w:tcW w:w="2600" w:type="dxa"/>
            <w:tcMar>
              <w:top w:w="80" w:type="dxa"/>
              <w:left w:w="120" w:type="dxa"/>
              <w:bottom w:w="80" w:type="dxa"/>
              <w:right w:w="120" w:type="dxa"/>
            </w:tcMar>
          </w:tcPr>
          <w:p w14:paraId="1DE1FA57" w14:textId="77777777" w:rsidR="007950D0" w:rsidRDefault="002A65AC">
            <w:r>
              <w:t>POC – Week 2</w:t>
            </w:r>
          </w:p>
        </w:tc>
        <w:tc>
          <w:tcPr>
            <w:tcW w:w="5200" w:type="dxa"/>
            <w:tcMar>
              <w:top w:w="80" w:type="dxa"/>
              <w:left w:w="120" w:type="dxa"/>
              <w:bottom w:w="80" w:type="dxa"/>
              <w:right w:w="120" w:type="dxa"/>
            </w:tcMar>
          </w:tcPr>
          <w:p w14:paraId="014D971A" w14:textId="77777777" w:rsidR="007950D0" w:rsidRDefault="002A65AC">
            <w:r>
              <w:t>Metering consumer with idempotent upsert, Redis counters, RLS policies</w:t>
            </w:r>
          </w:p>
        </w:tc>
        <w:tc>
          <w:tcPr>
            <w:tcW w:w="1800" w:type="dxa"/>
            <w:tcMar>
              <w:top w:w="80" w:type="dxa"/>
              <w:left w:w="120" w:type="dxa"/>
              <w:bottom w:w="80" w:type="dxa"/>
              <w:right w:w="120" w:type="dxa"/>
            </w:tcMar>
          </w:tcPr>
          <w:p w14:paraId="18AA7C77" w14:textId="77777777" w:rsidR="007950D0" w:rsidRDefault="002A65AC">
            <w:r>
              <w:t>1 week</w:t>
            </w:r>
          </w:p>
        </w:tc>
      </w:tr>
      <w:tr w:rsidR="007950D0" w14:paraId="45A1ADE5" w14:textId="77777777">
        <w:tblPrEx>
          <w:tblCellMar>
            <w:top w:w="0" w:type="dxa"/>
            <w:bottom w:w="0" w:type="dxa"/>
          </w:tblCellMar>
        </w:tblPrEx>
        <w:tc>
          <w:tcPr>
            <w:tcW w:w="2600" w:type="dxa"/>
            <w:tcMar>
              <w:top w:w="80" w:type="dxa"/>
              <w:left w:w="120" w:type="dxa"/>
              <w:bottom w:w="80" w:type="dxa"/>
              <w:right w:w="120" w:type="dxa"/>
            </w:tcMar>
          </w:tcPr>
          <w:p w14:paraId="3FAE0035" w14:textId="77777777" w:rsidR="007950D0" w:rsidRDefault="002A65AC">
            <w:r>
              <w:t>POC – Week 3</w:t>
            </w:r>
          </w:p>
        </w:tc>
        <w:tc>
          <w:tcPr>
            <w:tcW w:w="5200" w:type="dxa"/>
            <w:tcMar>
              <w:top w:w="80" w:type="dxa"/>
              <w:left w:w="120" w:type="dxa"/>
              <w:bottom w:w="80" w:type="dxa"/>
              <w:right w:w="120" w:type="dxa"/>
            </w:tcMar>
          </w:tcPr>
          <w:p w14:paraId="114AD284" w14:textId="77777777" w:rsidR="007950D0" w:rsidRDefault="002A65AC">
            <w:r>
              <w:t>Angular dashboard with live WebSocket updates</w:t>
            </w:r>
          </w:p>
        </w:tc>
        <w:tc>
          <w:tcPr>
            <w:tcW w:w="1800" w:type="dxa"/>
            <w:tcMar>
              <w:top w:w="80" w:type="dxa"/>
              <w:left w:w="120" w:type="dxa"/>
              <w:bottom w:w="80" w:type="dxa"/>
              <w:right w:w="120" w:type="dxa"/>
            </w:tcMar>
          </w:tcPr>
          <w:p w14:paraId="7E7ABC95" w14:textId="77777777" w:rsidR="007950D0" w:rsidRDefault="002A65AC">
            <w:r>
              <w:t>1 week</w:t>
            </w:r>
          </w:p>
        </w:tc>
      </w:tr>
      <w:tr w:rsidR="007950D0" w14:paraId="5DA2ACE1" w14:textId="77777777">
        <w:tblPrEx>
          <w:tblCellMar>
            <w:top w:w="0" w:type="dxa"/>
            <w:bottom w:w="0" w:type="dxa"/>
          </w:tblCellMar>
        </w:tblPrEx>
        <w:tc>
          <w:tcPr>
            <w:tcW w:w="2600" w:type="dxa"/>
            <w:tcMar>
              <w:top w:w="80" w:type="dxa"/>
              <w:left w:w="120" w:type="dxa"/>
              <w:bottom w:w="80" w:type="dxa"/>
              <w:right w:w="120" w:type="dxa"/>
            </w:tcMar>
          </w:tcPr>
          <w:p w14:paraId="6698F724" w14:textId="77777777" w:rsidR="007950D0" w:rsidRDefault="002A65AC">
            <w:r>
              <w:t>POC – Week 4</w:t>
            </w:r>
          </w:p>
        </w:tc>
        <w:tc>
          <w:tcPr>
            <w:tcW w:w="5200" w:type="dxa"/>
            <w:tcMar>
              <w:top w:w="80" w:type="dxa"/>
              <w:left w:w="120" w:type="dxa"/>
              <w:bottom w:w="80" w:type="dxa"/>
              <w:right w:w="120" w:type="dxa"/>
            </w:tcMar>
          </w:tcPr>
          <w:p w14:paraId="154E0ED3" w14:textId="77777777" w:rsidR="007950D0" w:rsidRDefault="002A65AC">
            <w:r>
              <w:t>Billing job, invoice generation, Angular invoice view, exit-criteria validation</w:t>
            </w:r>
          </w:p>
        </w:tc>
        <w:tc>
          <w:tcPr>
            <w:tcW w:w="1800" w:type="dxa"/>
            <w:tcMar>
              <w:top w:w="80" w:type="dxa"/>
              <w:left w:w="120" w:type="dxa"/>
              <w:bottom w:w="80" w:type="dxa"/>
              <w:right w:w="120" w:type="dxa"/>
            </w:tcMar>
          </w:tcPr>
          <w:p w14:paraId="6E9B79F5" w14:textId="77777777" w:rsidR="007950D0" w:rsidRDefault="002A65AC">
            <w:r>
              <w:t>1 week</w:t>
            </w:r>
          </w:p>
        </w:tc>
      </w:tr>
    </w:tbl>
    <w:p w14:paraId="44CF1DC3" w14:textId="77777777" w:rsidR="007950D0" w:rsidRDefault="002A65AC">
      <w:pPr>
        <w:pStyle w:val="Heading1"/>
        <w:spacing w:before="360" w:after="160"/>
      </w:pPr>
      <w:bookmarkStart w:id="11" w:name="_Toc241071888"/>
      <w:r>
        <w:t>10. Java Implementation Notes</w:t>
      </w:r>
      <w:bookmarkEnd w:id="11"/>
    </w:p>
    <w:p w14:paraId="58B59C80" w14:textId="77777777" w:rsidR="007950D0" w:rsidRDefault="002A65AC">
      <w:pPr>
        <w:spacing w:after="160"/>
      </w:pPr>
      <w:r>
        <w:t>The POC hypotheses were chosen because they are the hard parts of the design. Each one maps to a Java 21 capability that makes the solution simpler or verifiably correct: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7950D0" w14:paraId="100AA83B"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tcPr>
          <w:p w14:paraId="4A41D276" w14:textId="77777777" w:rsidR="007950D0" w:rsidRDefault="002A65AC">
            <w:r>
              <w:rPr>
                <w:b/>
                <w:bCs/>
                <w:color w:val="FFFFFF"/>
                <w:sz w:val="19"/>
                <w:szCs w:val="19"/>
              </w:rPr>
              <w:t>Hypothesis</w:t>
            </w:r>
          </w:p>
        </w:tc>
        <w:tc>
          <w:tcPr>
            <w:tcW w:w="7000" w:type="dxa"/>
            <w:shd w:val="clear" w:color="auto" w:fill="1F3B57"/>
            <w:tcMar>
              <w:top w:w="80" w:type="dxa"/>
              <w:left w:w="120" w:type="dxa"/>
              <w:bottom w:w="80" w:type="dxa"/>
              <w:right w:w="120" w:type="dxa"/>
            </w:tcMar>
          </w:tcPr>
          <w:p w14:paraId="5A33CB49" w14:textId="77777777" w:rsidR="007950D0" w:rsidRDefault="002A65AC">
            <w:r>
              <w:rPr>
                <w:b/>
                <w:bCs/>
                <w:color w:val="FFFFFF"/>
                <w:sz w:val="19"/>
                <w:szCs w:val="19"/>
              </w:rPr>
              <w:t>How Java addresses it</w:t>
            </w:r>
          </w:p>
        </w:tc>
      </w:tr>
      <w:tr w:rsidR="007950D0" w14:paraId="3756DDF0" w14:textId="77777777">
        <w:tblPrEx>
          <w:tblCellMar>
            <w:top w:w="0" w:type="dxa"/>
            <w:bottom w:w="0" w:type="dxa"/>
          </w:tblCellMar>
        </w:tblPrEx>
        <w:tc>
          <w:tcPr>
            <w:tcW w:w="2600" w:type="dxa"/>
            <w:tcMar>
              <w:top w:w="80" w:type="dxa"/>
              <w:left w:w="120" w:type="dxa"/>
              <w:bottom w:w="80" w:type="dxa"/>
              <w:right w:w="120" w:type="dxa"/>
            </w:tcMar>
          </w:tcPr>
          <w:p w14:paraId="03E4AAD1" w14:textId="77777777" w:rsidR="007950D0" w:rsidRDefault="002A65AC">
            <w:r>
              <w:rPr>
                <w:sz w:val="19"/>
                <w:szCs w:val="19"/>
              </w:rPr>
              <w:t>Idempotent metering</w:t>
            </w:r>
          </w:p>
        </w:tc>
        <w:tc>
          <w:tcPr>
            <w:tcW w:w="7000" w:type="dxa"/>
            <w:tcMar>
              <w:top w:w="80" w:type="dxa"/>
              <w:left w:w="120" w:type="dxa"/>
              <w:bottom w:w="80" w:type="dxa"/>
              <w:right w:w="120" w:type="dxa"/>
            </w:tcMar>
          </w:tcPr>
          <w:p w14:paraId="7679BD0F" w14:textId="77777777" w:rsidR="007950D0" w:rsidRDefault="002A65AC">
            <w:r>
              <w:rPr>
                <w:sz w:val="19"/>
                <w:szCs w:val="19"/>
              </w:rPr>
              <w:t>Immutable UsageEventMessage record (value equality makes a redelivered message indistinguishable from the original). A JDBC INSERT … ON CONFLICT (tenant_id, idempotency_key) DO NOTHING RETURNING id inside a Spring transaction: the Redis projection is written only after commit and only when a row was actually inserted.</w:t>
            </w:r>
          </w:p>
        </w:tc>
      </w:tr>
      <w:tr w:rsidR="007950D0" w14:paraId="0EA671DF" w14:textId="77777777">
        <w:tblPrEx>
          <w:tblCellMar>
            <w:top w:w="0" w:type="dxa"/>
            <w:bottom w:w="0" w:type="dxa"/>
          </w:tblCellMar>
        </w:tblPrEx>
        <w:tc>
          <w:tcPr>
            <w:tcW w:w="2600" w:type="dxa"/>
            <w:tcMar>
              <w:top w:w="80" w:type="dxa"/>
              <w:left w:w="120" w:type="dxa"/>
              <w:bottom w:w="80" w:type="dxa"/>
              <w:right w:w="120" w:type="dxa"/>
            </w:tcMar>
          </w:tcPr>
          <w:p w14:paraId="1A8D12D6" w14:textId="77777777" w:rsidR="007950D0" w:rsidRDefault="002A65AC">
            <w:r>
              <w:rPr>
                <w:sz w:val="19"/>
                <w:szCs w:val="19"/>
              </w:rPr>
              <w:t>RLS isolation</w:t>
            </w:r>
          </w:p>
        </w:tc>
        <w:tc>
          <w:tcPr>
            <w:tcW w:w="7000" w:type="dxa"/>
            <w:tcMar>
              <w:top w:w="80" w:type="dxa"/>
              <w:left w:w="120" w:type="dxa"/>
              <w:bottom w:w="80" w:type="dxa"/>
              <w:right w:w="120" w:type="dxa"/>
            </w:tcMar>
          </w:tcPr>
          <w:p w14:paraId="31185CA2" w14:textId="77777777" w:rsidR="007950D0" w:rsidRDefault="002A65AC">
            <w:r>
              <w:rPr>
                <w:sz w:val="19"/>
                <w:szCs w:val="19"/>
              </w:rPr>
              <w:t>TenantAwareTransactionManager overrides DataSourceTransactionManager.prepareTransactionalConnection to issue set_config('app.tenant_id', ?, true) right after BEGIN on the pooled connection. The @Around TenantContextAspect binds the tenant from the JWT; ThreadLocal binding is scoped with try/finally.</w:t>
            </w:r>
          </w:p>
        </w:tc>
      </w:tr>
      <w:tr w:rsidR="007950D0" w14:paraId="62831A77" w14:textId="77777777">
        <w:tblPrEx>
          <w:tblCellMar>
            <w:top w:w="0" w:type="dxa"/>
            <w:bottom w:w="0" w:type="dxa"/>
          </w:tblCellMar>
        </w:tblPrEx>
        <w:tc>
          <w:tcPr>
            <w:tcW w:w="2600" w:type="dxa"/>
            <w:tcMar>
              <w:top w:w="80" w:type="dxa"/>
              <w:left w:w="120" w:type="dxa"/>
              <w:bottom w:w="80" w:type="dxa"/>
              <w:right w:w="120" w:type="dxa"/>
            </w:tcMar>
          </w:tcPr>
          <w:p w14:paraId="226B2246" w14:textId="77777777" w:rsidR="007950D0" w:rsidRDefault="002A65AC">
            <w:r>
              <w:rPr>
                <w:sz w:val="19"/>
                <w:szCs w:val="19"/>
              </w:rPr>
              <w:t>Live dashboard latency</w:t>
            </w:r>
          </w:p>
        </w:tc>
        <w:tc>
          <w:tcPr>
            <w:tcW w:w="7000" w:type="dxa"/>
            <w:tcMar>
              <w:top w:w="80" w:type="dxa"/>
              <w:left w:w="120" w:type="dxa"/>
              <w:bottom w:w="80" w:type="dxa"/>
              <w:right w:w="120" w:type="dxa"/>
            </w:tcMar>
          </w:tcPr>
          <w:p w14:paraId="030E9BFE" w14:textId="77777777" w:rsidR="007950D0" w:rsidRDefault="002A65AC">
            <w:r>
              <w:rPr>
                <w:sz w:val="19"/>
                <w:szCs w:val="19"/>
              </w:rPr>
              <w:t>Spring WebSocket/STOMP with JWT-authenticated CONNECT; Redis pub/sub fan-out across replicas; virtual threads keep blocking I/O cheap. The latency harness uses the JDK's built-in java.net.http.WebSocket, speaking STOMP frames directly.</w:t>
            </w:r>
          </w:p>
        </w:tc>
      </w:tr>
      <w:tr w:rsidR="007950D0" w14:paraId="74C95687" w14:textId="77777777">
        <w:tblPrEx>
          <w:tblCellMar>
            <w:top w:w="0" w:type="dxa"/>
            <w:bottom w:w="0" w:type="dxa"/>
          </w:tblCellMar>
        </w:tblPrEx>
        <w:tc>
          <w:tcPr>
            <w:tcW w:w="2600" w:type="dxa"/>
            <w:tcMar>
              <w:top w:w="80" w:type="dxa"/>
              <w:left w:w="120" w:type="dxa"/>
              <w:bottom w:w="80" w:type="dxa"/>
              <w:right w:w="120" w:type="dxa"/>
            </w:tcMar>
          </w:tcPr>
          <w:p w14:paraId="5A9B341A" w14:textId="77777777" w:rsidR="007950D0" w:rsidRDefault="002A65AC">
            <w:r>
              <w:rPr>
                <w:sz w:val="19"/>
                <w:szCs w:val="19"/>
              </w:rPr>
              <w:t>Correct tiered invoice</w:t>
            </w:r>
          </w:p>
        </w:tc>
        <w:tc>
          <w:tcPr>
            <w:tcW w:w="7000" w:type="dxa"/>
            <w:tcMar>
              <w:top w:w="80" w:type="dxa"/>
              <w:left w:w="120" w:type="dxa"/>
              <w:bottom w:w="80" w:type="dxa"/>
              <w:right w:w="120" w:type="dxa"/>
            </w:tcMar>
          </w:tcPr>
          <w:p w14:paraId="0F2AB75E" w14:textId="77777777" w:rsidR="007950D0" w:rsidRDefault="002A65AC">
            <w:r>
              <w:rPr>
                <w:sz w:val="19"/>
                <w:szCs w:val="19"/>
              </w:rPr>
              <w:t>java.math.BigDecimal end to end, RoundingMode.HALF_EVEN applied once per line item; pure-Java pricing domain of records with no Spring dependency; an ArchUnit rule fails the build if float/double appears anywhere in the billing domain.</w:t>
            </w:r>
          </w:p>
        </w:tc>
      </w:tr>
    </w:tbl>
    <w:p w14:paraId="6B0980E3" w14:textId="77777777" w:rsidR="007950D0" w:rsidRDefault="007950D0">
      <w:pPr>
        <w:spacing w:after="120"/>
      </w:pPr>
    </w:p>
    <w:p w14:paraId="66A26A71" w14:textId="77777777" w:rsidR="007950D0" w:rsidRDefault="002A65AC">
      <w:pPr>
        <w:spacing w:after="160"/>
      </w:pPr>
      <w:r>
        <w:t>The full rationale, with pointers into the code, is in docs/why-java.md in the repository.</w:t>
      </w:r>
    </w:p>
    <w:p w14:paraId="7FDA5321" w14:textId="77777777" w:rsidR="007950D0" w:rsidRDefault="002A65AC">
      <w:pPr>
        <w:pStyle w:val="Heading1"/>
        <w:spacing w:before="360" w:after="160"/>
      </w:pPr>
      <w:bookmarkStart w:id="12" w:name="_Toc241071889"/>
      <w:r>
        <w:t>11. Exit-Criteria Results</w:t>
      </w:r>
      <w:bookmarkEnd w:id="12"/>
    </w:p>
    <w:p w14:paraId="75B41045" w14:textId="77777777" w:rsidR="007950D0" w:rsidRDefault="002A65AC">
      <w:pPr>
        <w:spacing w:after="160"/>
      </w:pPr>
      <w:r>
        <w:t>Results from the automated Java harness (meterly-validation) run against the full Docker Compose stack on 2026-09-23, plus the 322 unit and integration tests run across every module in CI.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000"/>
      </w:tblGrid>
      <w:tr w:rsidR="007950D0" w14:paraId="5EA1E3AE" w14:textId="77777777">
        <w:tblPrEx>
          <w:tblCellMar>
            <w:top w:w="0" w:type="dxa"/>
            <w:bottom w:w="0" w:type="dxa"/>
          </w:tblCellMar>
        </w:tblPrEx>
        <w:trPr>
          <w:tblHeader/>
        </w:trPr>
        <w:tc>
          <w:tcPr>
            <w:tcW w:w="2400" w:type="dxa"/>
            <w:shd w:val="clear" w:color="auto" w:fill="1F3B57"/>
            <w:tcMar>
              <w:top w:w="80" w:type="dxa"/>
              <w:left w:w="120" w:type="dxa"/>
              <w:bottom w:w="80" w:type="dxa"/>
              <w:right w:w="120" w:type="dxa"/>
            </w:tcMar>
          </w:tcPr>
          <w:p w14:paraId="17E12DDD" w14:textId="77777777" w:rsidR="007950D0" w:rsidRDefault="002A65AC">
            <w:r>
              <w:rPr>
                <w:b/>
                <w:bCs/>
                <w:color w:val="FFFFFF"/>
                <w:sz w:val="19"/>
                <w:szCs w:val="19"/>
              </w:rPr>
              <w:t>Hypothesis</w:t>
            </w:r>
          </w:p>
        </w:tc>
        <w:tc>
          <w:tcPr>
            <w:tcW w:w="3200" w:type="dxa"/>
            <w:shd w:val="clear" w:color="auto" w:fill="1F3B57"/>
            <w:tcMar>
              <w:top w:w="80" w:type="dxa"/>
              <w:left w:w="120" w:type="dxa"/>
              <w:bottom w:w="80" w:type="dxa"/>
              <w:right w:w="120" w:type="dxa"/>
            </w:tcMar>
          </w:tcPr>
          <w:p w14:paraId="34A9486F" w14:textId="77777777" w:rsidR="007950D0" w:rsidRDefault="002A65AC">
            <w:r>
              <w:rPr>
                <w:b/>
                <w:bCs/>
                <w:color w:val="FFFFFF"/>
                <w:sz w:val="19"/>
                <w:szCs w:val="19"/>
              </w:rPr>
              <w:t>Pass criterion</w:t>
            </w:r>
          </w:p>
        </w:tc>
        <w:tc>
          <w:tcPr>
            <w:tcW w:w="4000" w:type="dxa"/>
            <w:shd w:val="clear" w:color="auto" w:fill="1F3B57"/>
            <w:tcMar>
              <w:top w:w="80" w:type="dxa"/>
              <w:left w:w="120" w:type="dxa"/>
              <w:bottom w:w="80" w:type="dxa"/>
              <w:right w:w="120" w:type="dxa"/>
            </w:tcMar>
          </w:tcPr>
          <w:p w14:paraId="5D4C994C" w14:textId="77777777" w:rsidR="007950D0" w:rsidRDefault="002A65AC">
            <w:r>
              <w:rPr>
                <w:b/>
                <w:bCs/>
                <w:color w:val="FFFFFF"/>
                <w:sz w:val="19"/>
                <w:szCs w:val="19"/>
              </w:rPr>
              <w:t>Result</w:t>
            </w:r>
          </w:p>
        </w:tc>
      </w:tr>
      <w:tr w:rsidR="007950D0" w14:paraId="427EE29B" w14:textId="77777777">
        <w:tblPrEx>
          <w:tblCellMar>
            <w:top w:w="0" w:type="dxa"/>
            <w:bottom w:w="0" w:type="dxa"/>
          </w:tblCellMar>
        </w:tblPrEx>
        <w:tc>
          <w:tcPr>
            <w:tcW w:w="2400" w:type="dxa"/>
            <w:tcMar>
              <w:top w:w="80" w:type="dxa"/>
              <w:left w:w="120" w:type="dxa"/>
              <w:bottom w:w="80" w:type="dxa"/>
              <w:right w:w="120" w:type="dxa"/>
            </w:tcMar>
          </w:tcPr>
          <w:p w14:paraId="03A879B5" w14:textId="77777777" w:rsidR="007950D0" w:rsidRDefault="002A65AC">
            <w:r>
              <w:rPr>
                <w:sz w:val="19"/>
                <w:szCs w:val="19"/>
              </w:rPr>
              <w:t>Idempotent metering</w:t>
            </w:r>
          </w:p>
        </w:tc>
        <w:tc>
          <w:tcPr>
            <w:tcW w:w="3200" w:type="dxa"/>
            <w:tcMar>
              <w:top w:w="80" w:type="dxa"/>
              <w:left w:w="120" w:type="dxa"/>
              <w:bottom w:w="80" w:type="dxa"/>
              <w:right w:w="120" w:type="dxa"/>
            </w:tcMar>
          </w:tcPr>
          <w:p w14:paraId="7151D304" w14:textId="77777777" w:rsidR="007950D0" w:rsidRDefault="002A65AC">
            <w:r>
              <w:rPr>
                <w:sz w:val="19"/>
                <w:szCs w:val="19"/>
              </w:rPr>
              <w:t>Counted events = unique keys exactly</w:t>
            </w:r>
          </w:p>
        </w:tc>
        <w:tc>
          <w:tcPr>
            <w:tcW w:w="4000" w:type="dxa"/>
            <w:tcMar>
              <w:top w:w="80" w:type="dxa"/>
              <w:left w:w="120" w:type="dxa"/>
              <w:bottom w:w="80" w:type="dxa"/>
              <w:right w:w="120" w:type="dxa"/>
            </w:tcMar>
          </w:tcPr>
          <w:p w14:paraId="6B193E7B" w14:textId="77777777" w:rsidR="007950D0" w:rsidRDefault="002A65AC">
            <w:r>
              <w:rPr>
                <w:sz w:val="19"/>
                <w:szCs w:val="19"/>
              </w:rPr>
              <w:t>PASS — exactly 950/950</w:t>
            </w:r>
          </w:p>
        </w:tc>
      </w:tr>
      <w:tr w:rsidR="007950D0" w14:paraId="06609B32" w14:textId="77777777">
        <w:tblPrEx>
          <w:tblCellMar>
            <w:top w:w="0" w:type="dxa"/>
            <w:bottom w:w="0" w:type="dxa"/>
          </w:tblCellMar>
        </w:tblPrEx>
        <w:tc>
          <w:tcPr>
            <w:tcW w:w="2400" w:type="dxa"/>
            <w:tcMar>
              <w:top w:w="80" w:type="dxa"/>
              <w:left w:w="120" w:type="dxa"/>
              <w:bottom w:w="80" w:type="dxa"/>
              <w:right w:w="120" w:type="dxa"/>
            </w:tcMar>
          </w:tcPr>
          <w:p w14:paraId="18C819C5" w14:textId="77777777" w:rsidR="007950D0" w:rsidRDefault="002A65AC">
            <w:r>
              <w:rPr>
                <w:sz w:val="19"/>
                <w:szCs w:val="19"/>
              </w:rPr>
              <w:t>RLS isolation</w:t>
            </w:r>
          </w:p>
        </w:tc>
        <w:tc>
          <w:tcPr>
            <w:tcW w:w="3200" w:type="dxa"/>
            <w:tcMar>
              <w:top w:w="80" w:type="dxa"/>
              <w:left w:w="120" w:type="dxa"/>
              <w:bottom w:w="80" w:type="dxa"/>
              <w:right w:w="120" w:type="dxa"/>
            </w:tcMar>
          </w:tcPr>
          <w:p w14:paraId="4F915CA7" w14:textId="77777777" w:rsidR="007950D0" w:rsidRDefault="002A65AC">
            <w:r>
              <w:rPr>
                <w:sz w:val="19"/>
                <w:szCs w:val="19"/>
              </w:rPr>
              <w:t>Zero rows visible under a different tenant's session</w:t>
            </w:r>
          </w:p>
        </w:tc>
        <w:tc>
          <w:tcPr>
            <w:tcW w:w="4000" w:type="dxa"/>
            <w:tcMar>
              <w:top w:w="80" w:type="dxa"/>
              <w:left w:w="120" w:type="dxa"/>
              <w:bottom w:w="80" w:type="dxa"/>
              <w:right w:w="120" w:type="dxa"/>
            </w:tcMar>
          </w:tcPr>
          <w:p w14:paraId="169C5474" w14:textId="77777777" w:rsidR="007950D0" w:rsidRDefault="002A65AC">
            <w:r>
              <w:rPr>
                <w:sz w:val="19"/>
                <w:szCs w:val="19"/>
              </w:rPr>
              <w:t>PASS</w:t>
            </w:r>
          </w:p>
        </w:tc>
      </w:tr>
      <w:tr w:rsidR="007950D0" w14:paraId="10F1F571" w14:textId="77777777">
        <w:tblPrEx>
          <w:tblCellMar>
            <w:top w:w="0" w:type="dxa"/>
            <w:bottom w:w="0" w:type="dxa"/>
          </w:tblCellMar>
        </w:tblPrEx>
        <w:tc>
          <w:tcPr>
            <w:tcW w:w="2400" w:type="dxa"/>
            <w:tcMar>
              <w:top w:w="80" w:type="dxa"/>
              <w:left w:w="120" w:type="dxa"/>
              <w:bottom w:w="80" w:type="dxa"/>
              <w:right w:w="120" w:type="dxa"/>
            </w:tcMar>
          </w:tcPr>
          <w:p w14:paraId="432E715B" w14:textId="77777777" w:rsidR="007950D0" w:rsidRDefault="002A65AC">
            <w:r>
              <w:rPr>
                <w:sz w:val="19"/>
                <w:szCs w:val="19"/>
              </w:rPr>
              <w:t>Live dashboard latency</w:t>
            </w:r>
          </w:p>
        </w:tc>
        <w:tc>
          <w:tcPr>
            <w:tcW w:w="3200" w:type="dxa"/>
            <w:tcMar>
              <w:top w:w="80" w:type="dxa"/>
              <w:left w:w="120" w:type="dxa"/>
              <w:bottom w:w="80" w:type="dxa"/>
              <w:right w:w="120" w:type="dxa"/>
            </w:tcMar>
          </w:tcPr>
          <w:p w14:paraId="67BF7FA1" w14:textId="77777777" w:rsidR="007950D0" w:rsidRDefault="002A65AC">
            <w:r>
              <w:rPr>
                <w:sz w:val="19"/>
                <w:szCs w:val="19"/>
              </w:rPr>
              <w:t>≥ 18 of 20 within 2 s</w:t>
            </w:r>
          </w:p>
        </w:tc>
        <w:tc>
          <w:tcPr>
            <w:tcW w:w="4000" w:type="dxa"/>
            <w:tcMar>
              <w:top w:w="80" w:type="dxa"/>
              <w:left w:w="120" w:type="dxa"/>
              <w:bottom w:w="80" w:type="dxa"/>
              <w:right w:w="120" w:type="dxa"/>
            </w:tcMar>
          </w:tcPr>
          <w:p w14:paraId="38903FF2" w14:textId="77777777" w:rsidR="007950D0" w:rsidRDefault="002A65AC">
            <w:r>
              <w:rPr>
                <w:sz w:val="19"/>
                <w:szCs w:val="19"/>
              </w:rPr>
              <w:t>PASS — 20/20, p95=0ms</w:t>
            </w:r>
          </w:p>
        </w:tc>
      </w:tr>
      <w:tr w:rsidR="007950D0" w14:paraId="7BF58A8B" w14:textId="77777777">
        <w:tblPrEx>
          <w:tblCellMar>
            <w:top w:w="0" w:type="dxa"/>
            <w:bottom w:w="0" w:type="dxa"/>
          </w:tblCellMar>
        </w:tblPrEx>
        <w:tc>
          <w:tcPr>
            <w:tcW w:w="2400" w:type="dxa"/>
            <w:tcMar>
              <w:top w:w="80" w:type="dxa"/>
              <w:left w:w="120" w:type="dxa"/>
              <w:bottom w:w="80" w:type="dxa"/>
              <w:right w:w="120" w:type="dxa"/>
            </w:tcMar>
          </w:tcPr>
          <w:p w14:paraId="2D61B151" w14:textId="77777777" w:rsidR="007950D0" w:rsidRDefault="002A65AC">
            <w:r>
              <w:rPr>
                <w:sz w:val="19"/>
                <w:szCs w:val="19"/>
              </w:rPr>
              <w:t>Correct tiered invoice</w:t>
            </w:r>
          </w:p>
        </w:tc>
        <w:tc>
          <w:tcPr>
            <w:tcW w:w="3200" w:type="dxa"/>
            <w:tcMar>
              <w:top w:w="80" w:type="dxa"/>
              <w:left w:w="120" w:type="dxa"/>
              <w:bottom w:w="80" w:type="dxa"/>
              <w:right w:w="120" w:type="dxa"/>
            </w:tcMar>
          </w:tcPr>
          <w:p w14:paraId="17DC2BEC" w14:textId="77777777" w:rsidR="007950D0" w:rsidRDefault="002A65AC">
            <w:r>
              <w:rPr>
                <w:sz w:val="19"/>
                <w:szCs w:val="19"/>
              </w:rPr>
              <w:t>Matches hand calculation to the cent</w:t>
            </w:r>
          </w:p>
        </w:tc>
        <w:tc>
          <w:tcPr>
            <w:tcW w:w="4000" w:type="dxa"/>
            <w:tcMar>
              <w:top w:w="80" w:type="dxa"/>
              <w:left w:w="120" w:type="dxa"/>
              <w:bottom w:w="80" w:type="dxa"/>
              <w:right w:w="120" w:type="dxa"/>
            </w:tcMar>
          </w:tcPr>
          <w:p w14:paraId="748DB8C0" w14:textId="77777777" w:rsidR="007950D0" w:rsidRDefault="002A65AC">
            <w:r>
              <w:rPr>
                <w:sz w:val="19"/>
                <w:szCs w:val="19"/>
              </w:rPr>
              <w:t>PASS — 278.69 / 249.00</w:t>
            </w:r>
          </w:p>
        </w:tc>
      </w:tr>
    </w:tbl>
    <w:p w14:paraId="15D0ECD0" w14:textId="77777777" w:rsidR="007950D0" w:rsidRDefault="007950D0">
      <w:pPr>
        <w:spacing w:after="120"/>
      </w:pPr>
    </w:p>
    <w:p w14:paraId="0B1993D9" w14:textId="77777777" w:rsidR="007950D0" w:rsidRDefault="002A65AC">
      <w:pPr>
        <w:spacing w:after="160"/>
      </w:pPr>
      <w:r>
        <w:t xml:space="preserve">All four hypotheses passed against the live implementation, with no exceptions or caveats. The harness itself surfaced two real bugs during development — one in its own concurrency handling (not the application), and a sizing assumption in the rate-limit burst test that didn't account for the configured token-bucket refill rate — both fixed and re-verified; see PDD Section 17.2 for the full account. The riskiest design decision (Section 8, RLS + connection pooling) held under a one-connection HikariCP pool </w:t>
      </w:r>
      <w:r>
        <w:t>reused across two tenants in RowLevelSecurityIT, exactly as planned.</w:t>
      </w:r>
    </w:p>
    <w:p w14:paraId="6F49ACB8" w14:textId="77777777" w:rsidR="007950D0" w:rsidRDefault="002A65AC">
      <w:pPr>
        <w:pStyle w:val="Heading1"/>
        <w:spacing w:before="360" w:after="160"/>
      </w:pPr>
      <w:bookmarkStart w:id="13" w:name="_Toc241071890"/>
      <w:r>
        <w:t>12. Appendix: Glossary</w:t>
      </w:r>
      <w:bookmarkEnd w:id="1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7950D0" w14:paraId="578F0462" w14:textId="77777777">
        <w:tblPrEx>
          <w:tblCellMar>
            <w:top w:w="0" w:type="dxa"/>
            <w:bottom w:w="0" w:type="dxa"/>
          </w:tblCellMar>
        </w:tblPrEx>
        <w:trPr>
          <w:tblHeader/>
        </w:trPr>
        <w:tc>
          <w:tcPr>
            <w:tcW w:w="3000" w:type="dxa"/>
            <w:shd w:val="clear" w:color="auto" w:fill="1F3B57"/>
            <w:tcMar>
              <w:top w:w="80" w:type="dxa"/>
              <w:left w:w="120" w:type="dxa"/>
              <w:bottom w:w="80" w:type="dxa"/>
              <w:right w:w="120" w:type="dxa"/>
            </w:tcMar>
          </w:tcPr>
          <w:p w14:paraId="7873F438" w14:textId="77777777" w:rsidR="007950D0" w:rsidRDefault="002A65AC">
            <w:r>
              <w:rPr>
                <w:b/>
                <w:bCs/>
                <w:color w:val="FFFFFF"/>
              </w:rPr>
              <w:t>Term</w:t>
            </w:r>
          </w:p>
        </w:tc>
        <w:tc>
          <w:tcPr>
            <w:tcW w:w="6600" w:type="dxa"/>
            <w:shd w:val="clear" w:color="auto" w:fill="1F3B57"/>
            <w:tcMar>
              <w:top w:w="80" w:type="dxa"/>
              <w:left w:w="120" w:type="dxa"/>
              <w:bottom w:w="80" w:type="dxa"/>
              <w:right w:w="120" w:type="dxa"/>
            </w:tcMar>
          </w:tcPr>
          <w:p w14:paraId="136CFF68" w14:textId="77777777" w:rsidR="007950D0" w:rsidRDefault="002A65AC">
            <w:r>
              <w:rPr>
                <w:b/>
                <w:bCs/>
                <w:color w:val="FFFFFF"/>
              </w:rPr>
              <w:t>Definition</w:t>
            </w:r>
          </w:p>
        </w:tc>
      </w:tr>
      <w:tr w:rsidR="007950D0" w14:paraId="2CEE4A2E" w14:textId="77777777">
        <w:tblPrEx>
          <w:tblCellMar>
            <w:top w:w="0" w:type="dxa"/>
            <w:bottom w:w="0" w:type="dxa"/>
          </w:tblCellMar>
        </w:tblPrEx>
        <w:tc>
          <w:tcPr>
            <w:tcW w:w="3000" w:type="dxa"/>
            <w:tcMar>
              <w:top w:w="80" w:type="dxa"/>
              <w:left w:w="120" w:type="dxa"/>
              <w:bottom w:w="80" w:type="dxa"/>
              <w:right w:w="120" w:type="dxa"/>
            </w:tcMar>
          </w:tcPr>
          <w:p w14:paraId="24A80802" w14:textId="77777777" w:rsidR="007950D0" w:rsidRDefault="002A65AC">
            <w:r>
              <w:t>Tenant</w:t>
            </w:r>
          </w:p>
        </w:tc>
        <w:tc>
          <w:tcPr>
            <w:tcW w:w="6600" w:type="dxa"/>
            <w:tcMar>
              <w:top w:w="80" w:type="dxa"/>
              <w:left w:w="120" w:type="dxa"/>
              <w:bottom w:w="80" w:type="dxa"/>
              <w:right w:w="120" w:type="dxa"/>
            </w:tcMar>
          </w:tcPr>
          <w:p w14:paraId="5D47F77C" w14:textId="77777777" w:rsidR="007950D0" w:rsidRDefault="002A65AC">
            <w:r>
              <w:t>A customer organization using Meterly; the unit of data isolation.</w:t>
            </w:r>
          </w:p>
        </w:tc>
      </w:tr>
      <w:tr w:rsidR="007950D0" w14:paraId="7F216C6C" w14:textId="77777777">
        <w:tblPrEx>
          <w:tblCellMar>
            <w:top w:w="0" w:type="dxa"/>
            <w:bottom w:w="0" w:type="dxa"/>
          </w:tblCellMar>
        </w:tblPrEx>
        <w:tc>
          <w:tcPr>
            <w:tcW w:w="3000" w:type="dxa"/>
            <w:tcMar>
              <w:top w:w="80" w:type="dxa"/>
              <w:left w:w="120" w:type="dxa"/>
              <w:bottom w:w="80" w:type="dxa"/>
              <w:right w:w="120" w:type="dxa"/>
            </w:tcMar>
          </w:tcPr>
          <w:p w14:paraId="4CA0A366" w14:textId="77777777" w:rsidR="007950D0" w:rsidRDefault="002A65AC">
            <w:r>
              <w:t>Metered resource</w:t>
            </w:r>
          </w:p>
        </w:tc>
        <w:tc>
          <w:tcPr>
            <w:tcW w:w="6600" w:type="dxa"/>
            <w:tcMar>
              <w:top w:w="80" w:type="dxa"/>
              <w:left w:w="120" w:type="dxa"/>
              <w:bottom w:w="80" w:type="dxa"/>
              <w:right w:w="120" w:type="dxa"/>
            </w:tcMar>
          </w:tcPr>
          <w:p w14:paraId="49A94DFB" w14:textId="77777777" w:rsidR="007950D0" w:rsidRDefault="002A65AC">
            <w:r>
              <w:t>The billable unit a tenant's usage is tracked against (e.g., API calls).</w:t>
            </w:r>
          </w:p>
        </w:tc>
      </w:tr>
      <w:tr w:rsidR="007950D0" w14:paraId="7001D1B9" w14:textId="77777777">
        <w:tblPrEx>
          <w:tblCellMar>
            <w:top w:w="0" w:type="dxa"/>
            <w:bottom w:w="0" w:type="dxa"/>
          </w:tblCellMar>
        </w:tblPrEx>
        <w:tc>
          <w:tcPr>
            <w:tcW w:w="3000" w:type="dxa"/>
            <w:tcMar>
              <w:top w:w="80" w:type="dxa"/>
              <w:left w:w="120" w:type="dxa"/>
              <w:bottom w:w="80" w:type="dxa"/>
              <w:right w:w="120" w:type="dxa"/>
            </w:tcMar>
          </w:tcPr>
          <w:p w14:paraId="40496E0F" w14:textId="77777777" w:rsidR="007950D0" w:rsidRDefault="002A65AC">
            <w:r>
              <w:t>Usage event</w:t>
            </w:r>
          </w:p>
        </w:tc>
        <w:tc>
          <w:tcPr>
            <w:tcW w:w="6600" w:type="dxa"/>
            <w:tcMar>
              <w:top w:w="80" w:type="dxa"/>
              <w:left w:w="120" w:type="dxa"/>
              <w:bottom w:w="80" w:type="dxa"/>
              <w:right w:w="120" w:type="dxa"/>
            </w:tcMar>
          </w:tcPr>
          <w:p w14:paraId="5C1014FB" w14:textId="77777777" w:rsidR="007950D0" w:rsidRDefault="002A65AC">
            <w:r>
              <w:t>A single record of consumption of a metered resource, carrying an idempotency key.</w:t>
            </w:r>
          </w:p>
        </w:tc>
      </w:tr>
      <w:tr w:rsidR="007950D0" w14:paraId="359A6007" w14:textId="77777777">
        <w:tblPrEx>
          <w:tblCellMar>
            <w:top w:w="0" w:type="dxa"/>
            <w:bottom w:w="0" w:type="dxa"/>
          </w:tblCellMar>
        </w:tblPrEx>
        <w:tc>
          <w:tcPr>
            <w:tcW w:w="3000" w:type="dxa"/>
            <w:tcMar>
              <w:top w:w="80" w:type="dxa"/>
              <w:left w:w="120" w:type="dxa"/>
              <w:bottom w:w="80" w:type="dxa"/>
              <w:right w:w="120" w:type="dxa"/>
            </w:tcMar>
          </w:tcPr>
          <w:p w14:paraId="10D79FAB" w14:textId="77777777" w:rsidR="007950D0" w:rsidRDefault="002A65AC">
            <w:r>
              <w:t>Idempotency key</w:t>
            </w:r>
          </w:p>
        </w:tc>
        <w:tc>
          <w:tcPr>
            <w:tcW w:w="6600" w:type="dxa"/>
            <w:tcMar>
              <w:top w:w="80" w:type="dxa"/>
              <w:left w:w="120" w:type="dxa"/>
              <w:bottom w:w="80" w:type="dxa"/>
              <w:right w:w="120" w:type="dxa"/>
            </w:tcMar>
          </w:tcPr>
          <w:p w14:paraId="3B152788" w14:textId="77777777" w:rsidR="007950D0" w:rsidRDefault="002A65AC">
            <w:r>
              <w:t>A client-supplied unique token that lets the ingestion endpoint safely ignore duplicate submissions of the same event.</w:t>
            </w:r>
          </w:p>
        </w:tc>
      </w:tr>
      <w:tr w:rsidR="007950D0" w14:paraId="2A417227" w14:textId="77777777">
        <w:tblPrEx>
          <w:tblCellMar>
            <w:top w:w="0" w:type="dxa"/>
            <w:bottom w:w="0" w:type="dxa"/>
          </w:tblCellMar>
        </w:tblPrEx>
        <w:tc>
          <w:tcPr>
            <w:tcW w:w="3000" w:type="dxa"/>
            <w:tcMar>
              <w:top w:w="80" w:type="dxa"/>
              <w:left w:w="120" w:type="dxa"/>
              <w:bottom w:w="80" w:type="dxa"/>
              <w:right w:w="120" w:type="dxa"/>
            </w:tcMar>
          </w:tcPr>
          <w:p w14:paraId="7E62BB4A" w14:textId="77777777" w:rsidR="007950D0" w:rsidRDefault="002A65AC">
            <w:r>
              <w:t>Row-Level Security (RLS)</w:t>
            </w:r>
          </w:p>
        </w:tc>
        <w:tc>
          <w:tcPr>
            <w:tcW w:w="6600" w:type="dxa"/>
            <w:tcMar>
              <w:top w:w="80" w:type="dxa"/>
              <w:left w:w="120" w:type="dxa"/>
              <w:bottom w:w="80" w:type="dxa"/>
              <w:right w:w="120" w:type="dxa"/>
            </w:tcMar>
          </w:tcPr>
          <w:p w14:paraId="2CB8026A" w14:textId="77777777" w:rsidR="007950D0" w:rsidRDefault="002A65AC">
            <w:r>
              <w:t>A PostgreSQL feature that filters query results by a policy evaluated per-row, enforced regardless of the application's own query logic.</w:t>
            </w:r>
          </w:p>
        </w:tc>
      </w:tr>
      <w:tr w:rsidR="007950D0" w14:paraId="4C9387FC" w14:textId="77777777">
        <w:tblPrEx>
          <w:tblCellMar>
            <w:top w:w="0" w:type="dxa"/>
            <w:bottom w:w="0" w:type="dxa"/>
          </w:tblCellMar>
        </w:tblPrEx>
        <w:tc>
          <w:tcPr>
            <w:tcW w:w="3000" w:type="dxa"/>
            <w:tcMar>
              <w:top w:w="80" w:type="dxa"/>
              <w:left w:w="120" w:type="dxa"/>
              <w:bottom w:w="80" w:type="dxa"/>
              <w:right w:w="120" w:type="dxa"/>
            </w:tcMar>
          </w:tcPr>
          <w:p w14:paraId="2BC50D3F" w14:textId="77777777" w:rsidR="007950D0" w:rsidRDefault="002A65AC">
            <w:r>
              <w:t>Proration</w:t>
            </w:r>
          </w:p>
        </w:tc>
        <w:tc>
          <w:tcPr>
            <w:tcW w:w="6600" w:type="dxa"/>
            <w:tcMar>
              <w:top w:w="80" w:type="dxa"/>
              <w:left w:w="120" w:type="dxa"/>
              <w:bottom w:w="80" w:type="dxa"/>
              <w:right w:w="120" w:type="dxa"/>
            </w:tcMar>
          </w:tcPr>
          <w:p w14:paraId="419A03E0" w14:textId="77777777" w:rsidR="007950D0" w:rsidRDefault="002A65AC">
            <w:r>
              <w:t>Adjusting a charge for a partial billing period (explicitly out of scope for the POC).</w:t>
            </w:r>
          </w:p>
        </w:tc>
      </w:tr>
    </w:tbl>
    <w:p w14:paraId="52D49FB2" w14:textId="77777777" w:rsidR="007950D0" w:rsidRDefault="002A65AC">
      <w:pPr>
        <w:pStyle w:val="Heading1"/>
        <w:spacing w:before="360" w:after="160"/>
      </w:pPr>
      <w:bookmarkStart w:id="14" w:name="_Toc241071891"/>
      <w:r>
        <w:t>13. Revision History</w:t>
      </w:r>
      <w:bookmarkEnd w:id="1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6300"/>
      </w:tblGrid>
      <w:tr w:rsidR="007950D0" w14:paraId="54B005B8" w14:textId="77777777">
        <w:tblPrEx>
          <w:tblCellMar>
            <w:top w:w="0" w:type="dxa"/>
            <w:bottom w:w="0" w:type="dxa"/>
          </w:tblCellMar>
        </w:tblPrEx>
        <w:trPr>
          <w:tblHeader/>
        </w:trPr>
        <w:tc>
          <w:tcPr>
            <w:tcW w:w="1300" w:type="dxa"/>
            <w:shd w:val="clear" w:color="auto" w:fill="1F3B57"/>
            <w:tcMar>
              <w:top w:w="80" w:type="dxa"/>
              <w:left w:w="120" w:type="dxa"/>
              <w:bottom w:w="80" w:type="dxa"/>
              <w:right w:w="120" w:type="dxa"/>
            </w:tcMar>
          </w:tcPr>
          <w:p w14:paraId="41FF3EA4" w14:textId="77777777" w:rsidR="007950D0" w:rsidRDefault="002A65AC">
            <w:r>
              <w:rPr>
                <w:b/>
                <w:bCs/>
                <w:color w:val="FFFFFF"/>
                <w:sz w:val="19"/>
                <w:szCs w:val="19"/>
              </w:rPr>
              <w:t>Version</w:t>
            </w:r>
          </w:p>
        </w:tc>
        <w:tc>
          <w:tcPr>
            <w:tcW w:w="2000" w:type="dxa"/>
            <w:shd w:val="clear" w:color="auto" w:fill="1F3B57"/>
            <w:tcMar>
              <w:top w:w="80" w:type="dxa"/>
              <w:left w:w="120" w:type="dxa"/>
              <w:bottom w:w="80" w:type="dxa"/>
              <w:right w:w="120" w:type="dxa"/>
            </w:tcMar>
          </w:tcPr>
          <w:p w14:paraId="7812DE49" w14:textId="77777777" w:rsidR="007950D0" w:rsidRDefault="002A65AC">
            <w:r>
              <w:rPr>
                <w:b/>
                <w:bCs/>
                <w:color w:val="FFFFFF"/>
                <w:sz w:val="19"/>
                <w:szCs w:val="19"/>
              </w:rPr>
              <w:t>Date</w:t>
            </w:r>
          </w:p>
        </w:tc>
        <w:tc>
          <w:tcPr>
            <w:tcW w:w="6300" w:type="dxa"/>
            <w:shd w:val="clear" w:color="auto" w:fill="1F3B57"/>
            <w:tcMar>
              <w:top w:w="80" w:type="dxa"/>
              <w:left w:w="120" w:type="dxa"/>
              <w:bottom w:w="80" w:type="dxa"/>
              <w:right w:w="120" w:type="dxa"/>
            </w:tcMar>
          </w:tcPr>
          <w:p w14:paraId="06E68604" w14:textId="77777777" w:rsidR="007950D0" w:rsidRDefault="002A65AC">
            <w:r>
              <w:rPr>
                <w:b/>
                <w:bCs/>
                <w:color w:val="FFFFFF"/>
                <w:sz w:val="19"/>
                <w:szCs w:val="19"/>
              </w:rPr>
              <w:t>Changes</w:t>
            </w:r>
          </w:p>
        </w:tc>
      </w:tr>
      <w:tr w:rsidR="007950D0" w14:paraId="7131F202" w14:textId="77777777">
        <w:tblPrEx>
          <w:tblCellMar>
            <w:top w:w="0" w:type="dxa"/>
            <w:bottom w:w="0" w:type="dxa"/>
          </w:tblCellMar>
        </w:tblPrEx>
        <w:tc>
          <w:tcPr>
            <w:tcW w:w="1300" w:type="dxa"/>
            <w:tcMar>
              <w:top w:w="80" w:type="dxa"/>
              <w:left w:w="120" w:type="dxa"/>
              <w:bottom w:w="80" w:type="dxa"/>
              <w:right w:w="120" w:type="dxa"/>
            </w:tcMar>
          </w:tcPr>
          <w:p w14:paraId="7FD83B82" w14:textId="77777777" w:rsidR="007950D0" w:rsidRDefault="002A65AC">
            <w:r>
              <w:rPr>
                <w:sz w:val="19"/>
                <w:szCs w:val="19"/>
              </w:rPr>
              <w:t>1.0</w:t>
            </w:r>
          </w:p>
        </w:tc>
        <w:tc>
          <w:tcPr>
            <w:tcW w:w="2000" w:type="dxa"/>
            <w:tcMar>
              <w:top w:w="80" w:type="dxa"/>
              <w:left w:w="120" w:type="dxa"/>
              <w:bottom w:w="80" w:type="dxa"/>
              <w:right w:w="120" w:type="dxa"/>
            </w:tcMar>
          </w:tcPr>
          <w:p w14:paraId="256FD800" w14:textId="77777777" w:rsidR="007950D0" w:rsidRDefault="002A65AC">
            <w:r>
              <w:rPr>
                <w:sz w:val="19"/>
                <w:szCs w:val="19"/>
              </w:rPr>
              <w:t>July 2026</w:t>
            </w:r>
          </w:p>
        </w:tc>
        <w:tc>
          <w:tcPr>
            <w:tcW w:w="6300" w:type="dxa"/>
            <w:tcMar>
              <w:top w:w="80" w:type="dxa"/>
              <w:left w:w="120" w:type="dxa"/>
              <w:bottom w:w="80" w:type="dxa"/>
              <w:right w:w="120" w:type="dxa"/>
            </w:tcMar>
          </w:tcPr>
          <w:p w14:paraId="4EBE2F85" w14:textId="77777777" w:rsidR="007950D0" w:rsidRDefault="002A65AC">
            <w:r>
              <w:rPr>
                <w:sz w:val="19"/>
                <w:szCs w:val="19"/>
              </w:rPr>
              <w:t>Initial POC definition.</w:t>
            </w:r>
          </w:p>
        </w:tc>
      </w:tr>
      <w:tr w:rsidR="007950D0" w14:paraId="261C53CA" w14:textId="77777777">
        <w:tblPrEx>
          <w:tblCellMar>
            <w:top w:w="0" w:type="dxa"/>
            <w:bottom w:w="0" w:type="dxa"/>
          </w:tblCellMar>
        </w:tblPrEx>
        <w:tc>
          <w:tcPr>
            <w:tcW w:w="1300" w:type="dxa"/>
            <w:tcMar>
              <w:top w:w="80" w:type="dxa"/>
              <w:left w:w="120" w:type="dxa"/>
              <w:bottom w:w="80" w:type="dxa"/>
              <w:right w:w="120" w:type="dxa"/>
            </w:tcMar>
          </w:tcPr>
          <w:p w14:paraId="241E17C3" w14:textId="77777777" w:rsidR="007950D0" w:rsidRDefault="002A65AC">
            <w:r>
              <w:rPr>
                <w:sz w:val="19"/>
                <w:szCs w:val="19"/>
              </w:rPr>
              <w:t>1.1</w:t>
            </w:r>
          </w:p>
        </w:tc>
        <w:tc>
          <w:tcPr>
            <w:tcW w:w="2000" w:type="dxa"/>
            <w:tcMar>
              <w:top w:w="80" w:type="dxa"/>
              <w:left w:w="120" w:type="dxa"/>
              <w:bottom w:w="80" w:type="dxa"/>
              <w:right w:w="120" w:type="dxa"/>
            </w:tcMar>
          </w:tcPr>
          <w:p w14:paraId="31825002" w14:textId="77777777" w:rsidR="007950D0" w:rsidRDefault="002A65AC">
            <w:r>
              <w:rPr>
                <w:sz w:val="19"/>
                <w:szCs w:val="19"/>
              </w:rPr>
              <w:t>September 2026</w:t>
            </w:r>
          </w:p>
        </w:tc>
        <w:tc>
          <w:tcPr>
            <w:tcW w:w="6300" w:type="dxa"/>
            <w:tcMar>
              <w:top w:w="80" w:type="dxa"/>
              <w:left w:w="120" w:type="dxa"/>
              <w:bottom w:w="80" w:type="dxa"/>
              <w:right w:w="120" w:type="dxa"/>
            </w:tcMar>
          </w:tcPr>
          <w:p w14:paraId="6F443118" w14:textId="77777777" w:rsidR="007950D0" w:rsidRDefault="002A65AC">
            <w:r>
              <w:rPr>
                <w:sz w:val="19"/>
                <w:szCs w:val="19"/>
              </w:rPr>
              <w:t>Aligned with the Java 21 / Spring Boot 3.5 implementation: stack table updated, Java rationale (Section 10), exit criteria automated in Java with results (Section 11), architecture note on the full PDD service split.</w:t>
            </w:r>
          </w:p>
        </w:tc>
      </w:tr>
    </w:tbl>
    <w:p w14:paraId="27C73FC8" w14:textId="77777777" w:rsidR="007950D0" w:rsidRDefault="007950D0">
      <w:pPr>
        <w:spacing w:after="120"/>
      </w:pPr>
    </w:p>
    <w:sectPr w:rsidR="007950D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F606F" w14:textId="77777777" w:rsidR="002A65AC" w:rsidRDefault="002A65AC">
      <w:r>
        <w:separator/>
      </w:r>
    </w:p>
  </w:endnote>
  <w:endnote w:type="continuationSeparator" w:id="0">
    <w:p w14:paraId="5922D263" w14:textId="77777777" w:rsidR="002A65AC" w:rsidRDefault="002A6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293D" w14:textId="77777777" w:rsidR="007950D0" w:rsidRDefault="002A65AC">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D65F6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9584A" w14:textId="77777777" w:rsidR="002A65AC" w:rsidRDefault="002A65AC">
      <w:r>
        <w:separator/>
      </w:r>
    </w:p>
  </w:footnote>
  <w:footnote w:type="continuationSeparator" w:id="0">
    <w:p w14:paraId="34209AD7" w14:textId="77777777" w:rsidR="002A65AC" w:rsidRDefault="002A6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F4CB1" w14:textId="77777777" w:rsidR="007950D0" w:rsidRDefault="002A65AC">
    <w:pPr>
      <w:jc w:val="right"/>
    </w:pPr>
    <w:r>
      <w:rPr>
        <w:color w:val="888888"/>
        <w:sz w:val="16"/>
        <w:szCs w:val="16"/>
      </w:rPr>
      <w:t>Meterly — Proof of Concept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3093E"/>
    <w:multiLevelType w:val="hybridMultilevel"/>
    <w:tmpl w:val="C3C62C8E"/>
    <w:lvl w:ilvl="0" w:tplc="9674703A">
      <w:start w:val="1"/>
      <w:numFmt w:val="bullet"/>
      <w:lvlText w:val="●"/>
      <w:lvlJc w:val="left"/>
      <w:pPr>
        <w:ind w:left="720" w:hanging="360"/>
      </w:pPr>
    </w:lvl>
    <w:lvl w:ilvl="1" w:tplc="C51C37D4">
      <w:start w:val="1"/>
      <w:numFmt w:val="bullet"/>
      <w:lvlText w:val="○"/>
      <w:lvlJc w:val="left"/>
      <w:pPr>
        <w:ind w:left="1440" w:hanging="360"/>
      </w:pPr>
    </w:lvl>
    <w:lvl w:ilvl="2" w:tplc="07A0C89C">
      <w:start w:val="1"/>
      <w:numFmt w:val="bullet"/>
      <w:lvlText w:val="■"/>
      <w:lvlJc w:val="left"/>
      <w:pPr>
        <w:ind w:left="2160" w:hanging="360"/>
      </w:pPr>
    </w:lvl>
    <w:lvl w:ilvl="3" w:tplc="8A0C7434">
      <w:start w:val="1"/>
      <w:numFmt w:val="bullet"/>
      <w:lvlText w:val="●"/>
      <w:lvlJc w:val="left"/>
      <w:pPr>
        <w:ind w:left="2880" w:hanging="360"/>
      </w:pPr>
    </w:lvl>
    <w:lvl w:ilvl="4" w:tplc="8348D15E">
      <w:start w:val="1"/>
      <w:numFmt w:val="bullet"/>
      <w:lvlText w:val="○"/>
      <w:lvlJc w:val="left"/>
      <w:pPr>
        <w:ind w:left="3600" w:hanging="360"/>
      </w:pPr>
    </w:lvl>
    <w:lvl w:ilvl="5" w:tplc="A41EBC80">
      <w:start w:val="1"/>
      <w:numFmt w:val="bullet"/>
      <w:lvlText w:val="■"/>
      <w:lvlJc w:val="left"/>
      <w:pPr>
        <w:ind w:left="4320" w:hanging="360"/>
      </w:pPr>
    </w:lvl>
    <w:lvl w:ilvl="6" w:tplc="FD487148">
      <w:start w:val="1"/>
      <w:numFmt w:val="bullet"/>
      <w:lvlText w:val="●"/>
      <w:lvlJc w:val="left"/>
      <w:pPr>
        <w:ind w:left="5040" w:hanging="360"/>
      </w:pPr>
    </w:lvl>
    <w:lvl w:ilvl="7" w:tplc="363642F8">
      <w:start w:val="1"/>
      <w:numFmt w:val="bullet"/>
      <w:lvlText w:val="●"/>
      <w:lvlJc w:val="left"/>
      <w:pPr>
        <w:ind w:left="5760" w:hanging="360"/>
      </w:pPr>
    </w:lvl>
    <w:lvl w:ilvl="8" w:tplc="B8C042B6">
      <w:start w:val="1"/>
      <w:numFmt w:val="bullet"/>
      <w:lvlText w:val="●"/>
      <w:lvlJc w:val="left"/>
      <w:pPr>
        <w:ind w:left="6480" w:hanging="360"/>
      </w:pPr>
    </w:lvl>
  </w:abstractNum>
  <w:abstractNum w:abstractNumId="1" w15:restartNumberingAfterBreak="0">
    <w:nsid w:val="2E762639"/>
    <w:multiLevelType w:val="hybridMultilevel"/>
    <w:tmpl w:val="4AEC93E0"/>
    <w:lvl w:ilvl="0" w:tplc="5E3EF05E">
      <w:start w:val="1"/>
      <w:numFmt w:val="bullet"/>
      <w:lvlText w:val="•"/>
      <w:lvlJc w:val="left"/>
      <w:pPr>
        <w:ind w:left="720" w:hanging="360"/>
      </w:pPr>
    </w:lvl>
    <w:lvl w:ilvl="1" w:tplc="D9BA5B12">
      <w:numFmt w:val="decimal"/>
      <w:lvlText w:val=""/>
      <w:lvlJc w:val="left"/>
    </w:lvl>
    <w:lvl w:ilvl="2" w:tplc="5B6CABDE">
      <w:numFmt w:val="decimal"/>
      <w:lvlText w:val=""/>
      <w:lvlJc w:val="left"/>
    </w:lvl>
    <w:lvl w:ilvl="3" w:tplc="CF8E1C4C">
      <w:numFmt w:val="decimal"/>
      <w:lvlText w:val=""/>
      <w:lvlJc w:val="left"/>
    </w:lvl>
    <w:lvl w:ilvl="4" w:tplc="0032DF6E">
      <w:numFmt w:val="decimal"/>
      <w:lvlText w:val=""/>
      <w:lvlJc w:val="left"/>
    </w:lvl>
    <w:lvl w:ilvl="5" w:tplc="08C008C2">
      <w:numFmt w:val="decimal"/>
      <w:lvlText w:val=""/>
      <w:lvlJc w:val="left"/>
    </w:lvl>
    <w:lvl w:ilvl="6" w:tplc="7B5281B6">
      <w:numFmt w:val="decimal"/>
      <w:lvlText w:val=""/>
      <w:lvlJc w:val="left"/>
    </w:lvl>
    <w:lvl w:ilvl="7" w:tplc="81B0BA14">
      <w:numFmt w:val="decimal"/>
      <w:lvlText w:val=""/>
      <w:lvlJc w:val="left"/>
    </w:lvl>
    <w:lvl w:ilvl="8" w:tplc="3936421E">
      <w:numFmt w:val="decimal"/>
      <w:lvlText w:val=""/>
      <w:lvlJc w:val="left"/>
    </w:lvl>
  </w:abstractNum>
  <w:num w:numId="1" w16cid:durableId="1781994708">
    <w:abstractNumId w:val="0"/>
    <w:lvlOverride w:ilvl="0">
      <w:startOverride w:val="1"/>
    </w:lvlOverride>
  </w:num>
  <w:num w:numId="2" w16cid:durableId="8201216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0D0"/>
    <w:rsid w:val="0010290E"/>
    <w:rsid w:val="002A65AC"/>
    <w:rsid w:val="007950D0"/>
    <w:rsid w:val="00D6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67CF"/>
  <w15:docId w15:val="{16C52D2A-66AA-40F3-B1A5-FAC3F0DAF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65F69"/>
    <w:pPr>
      <w:spacing w:after="100"/>
    </w:pPr>
  </w:style>
  <w:style w:type="paragraph" w:styleId="TOC2">
    <w:name w:val="toc 2"/>
    <w:basedOn w:val="Normal"/>
    <w:next w:val="Normal"/>
    <w:autoRedefine/>
    <w:uiPriority w:val="39"/>
    <w:unhideWhenUsed/>
    <w:rsid w:val="00D65F6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2192</Words>
  <Characters>12498</Characters>
  <Application>Microsoft Office Word</Application>
  <DocSecurity>0</DocSecurity>
  <Lines>104</Lines>
  <Paragraphs>29</Paragraphs>
  <ScaleCrop>false</ScaleCrop>
  <Company/>
  <LinksUpToDate>false</LinksUpToDate>
  <CharactersWithSpaces>14661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Arnav</cp:lastModifiedBy>
  <cp:revision>2</cp:revision>
  <dcterms:created xsi:type="dcterms:W3CDTF">2026-07-20T15:11:00Z</dcterms:created>
  <dcterms:modified xsi:type="dcterms:W3CDTF">2026-09-23T21:04:00Z</dcterms:modified>
</cp:coreProperties>
</file>