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853312" w14:textId="77777777" w:rsidR="0059525F" w:rsidRDefault="00E47AAA">
      <w:pPr>
        <w:widowControl w:val="0"/>
        <w:shd w:val="clear" w:color="auto" w:fill="1F497D" w:themeFill="text2"/>
        <w:autoSpaceDE w:val="0"/>
        <w:autoSpaceDN w:val="0"/>
        <w:adjustRightInd w:val="0"/>
        <w:spacing w:after="0" w:line="240" w:lineRule="auto"/>
        <w:jc w:val="center"/>
        <w:rPr>
          <w:b/>
          <w:color w:val="FFFFFF" w:themeColor="background1"/>
          <w:sz w:val="44"/>
          <w:szCs w:val="44"/>
        </w:rPr>
      </w:pPr>
      <w:r>
        <w:rPr>
          <w:b/>
          <w:color w:val="FFFFFF" w:themeColor="background1"/>
          <w:sz w:val="48"/>
          <w:szCs w:val="48"/>
        </w:rPr>
        <w:t>ERNEST ITA</w:t>
      </w:r>
    </w:p>
    <w:p w14:paraId="01050F0A" w14:textId="77777777" w:rsidR="0059525F" w:rsidRDefault="0059525F">
      <w:pPr>
        <w:widowControl w:val="0"/>
        <w:shd w:val="clear" w:color="auto" w:fill="1F497D" w:themeFill="text2"/>
        <w:autoSpaceDE w:val="0"/>
        <w:autoSpaceDN w:val="0"/>
        <w:adjustRightInd w:val="0"/>
        <w:spacing w:after="0" w:line="15" w:lineRule="auto"/>
        <w:jc w:val="center"/>
        <w:rPr>
          <w:b/>
          <w:color w:val="FFFFFF" w:themeColor="background1"/>
          <w:sz w:val="44"/>
          <w:szCs w:val="44"/>
        </w:rPr>
      </w:pPr>
    </w:p>
    <w:p w14:paraId="3A1E94EA" w14:textId="0119FA6C" w:rsidR="0059525F" w:rsidRDefault="00E47AAA">
      <w:pPr>
        <w:widowControl w:val="0"/>
        <w:shd w:val="clear" w:color="auto" w:fill="1F497D" w:themeFill="text2"/>
        <w:autoSpaceDE w:val="0"/>
        <w:autoSpaceDN w:val="0"/>
        <w:adjustRightInd w:val="0"/>
        <w:spacing w:after="0" w:line="240" w:lineRule="auto"/>
        <w:jc w:val="center"/>
        <w:rPr>
          <w:b/>
          <w:color w:val="FFFFFF" w:themeColor="background1"/>
        </w:rPr>
      </w:pPr>
      <w:r>
        <w:rPr>
          <w:b/>
          <w:color w:val="FFFFFF" w:themeColor="background1"/>
          <w:sz w:val="24"/>
          <w:szCs w:val="24"/>
        </w:rPr>
        <w:t xml:space="preserve"> Risk Reporting &amp; Analytics Expert</w:t>
      </w:r>
    </w:p>
    <w:p w14:paraId="42439F86" w14:textId="77777777" w:rsidR="0059525F" w:rsidRDefault="0059525F">
      <w:pPr>
        <w:widowControl w:val="0"/>
        <w:shd w:val="clear" w:color="auto" w:fill="1F497D" w:themeFill="text2"/>
        <w:autoSpaceDE w:val="0"/>
        <w:autoSpaceDN w:val="0"/>
        <w:adjustRightInd w:val="0"/>
        <w:spacing w:after="0" w:line="120" w:lineRule="auto"/>
        <w:jc w:val="center"/>
        <w:rPr>
          <w:b/>
          <w:color w:val="FFFFFF" w:themeColor="background1"/>
        </w:rPr>
      </w:pPr>
    </w:p>
    <w:p w14:paraId="374BC274" w14:textId="77777777" w:rsidR="0059525F" w:rsidRDefault="0059525F">
      <w:pPr>
        <w:widowControl w:val="0"/>
        <w:shd w:val="clear" w:color="auto" w:fill="1F497D" w:themeFill="text2"/>
        <w:autoSpaceDE w:val="0"/>
        <w:autoSpaceDN w:val="0"/>
        <w:adjustRightInd w:val="0"/>
        <w:spacing w:after="0" w:line="15" w:lineRule="auto"/>
        <w:jc w:val="both"/>
        <w:rPr>
          <w:b/>
          <w:color w:val="FFFFFF" w:themeColor="background1"/>
        </w:rPr>
      </w:pPr>
    </w:p>
    <w:p w14:paraId="706FAFC2" w14:textId="77777777" w:rsidR="0059525F" w:rsidRDefault="0059525F">
      <w:pPr>
        <w:widowControl w:val="0"/>
        <w:shd w:val="clear" w:color="auto" w:fill="1F497D" w:themeFill="text2"/>
        <w:autoSpaceDE w:val="0"/>
        <w:autoSpaceDN w:val="0"/>
        <w:adjustRightInd w:val="0"/>
        <w:spacing w:after="0" w:line="15" w:lineRule="auto"/>
        <w:jc w:val="both"/>
        <w:rPr>
          <w:b/>
          <w:color w:val="FFFFFF" w:themeColor="background1"/>
        </w:rPr>
      </w:pPr>
    </w:p>
    <w:p w14:paraId="07B69A98" w14:textId="77777777" w:rsidR="0059525F" w:rsidRDefault="0059525F">
      <w:pPr>
        <w:pStyle w:val="NoSpacing"/>
        <w:spacing w:line="120" w:lineRule="auto"/>
        <w:jc w:val="center"/>
        <w:rPr>
          <w:rFonts w:cstheme="minorHAnsi"/>
          <w:b/>
        </w:rPr>
      </w:pPr>
    </w:p>
    <w:p w14:paraId="0355691A" w14:textId="4A07B328" w:rsidR="0059525F" w:rsidRDefault="00E47AAA">
      <w:pPr>
        <w:pStyle w:val="NoSpacing"/>
        <w:ind w:firstLineChars="350" w:firstLine="984"/>
        <w:jc w:val="both"/>
        <w:rPr>
          <w:b/>
          <w:sz w:val="28"/>
          <w:szCs w:val="28"/>
        </w:rPr>
      </w:pPr>
      <w:r>
        <w:rPr>
          <w:rFonts w:cstheme="minorHAnsi"/>
          <w:b/>
          <w:sz w:val="28"/>
          <w:szCs w:val="28"/>
        </w:rPr>
        <w:t xml:space="preserve">Address: </w:t>
      </w:r>
      <w:r>
        <w:rPr>
          <w:b/>
          <w:sz w:val="28"/>
          <w:szCs w:val="28"/>
        </w:rPr>
        <w:t xml:space="preserve">Charlotte, NC </w:t>
      </w:r>
      <w:r>
        <w:rPr>
          <w:rFonts w:cstheme="minorHAnsi"/>
          <w:b/>
          <w:sz w:val="28"/>
          <w:szCs w:val="28"/>
        </w:rPr>
        <w:t>| Phone: (</w:t>
      </w:r>
      <w:r w:rsidR="00880FE0">
        <w:rPr>
          <w:rFonts w:cstheme="minorHAnsi"/>
          <w:b/>
          <w:sz w:val="28"/>
          <w:szCs w:val="28"/>
        </w:rPr>
        <w:t>502) 807-4444</w:t>
      </w:r>
      <w:r>
        <w:rPr>
          <w:b/>
          <w:sz w:val="28"/>
          <w:szCs w:val="28"/>
        </w:rPr>
        <w:t xml:space="preserve"> </w:t>
      </w:r>
      <w:r>
        <w:rPr>
          <w:b/>
          <w:color w:val="0000FF"/>
          <w:sz w:val="28"/>
          <w:szCs w:val="28"/>
        </w:rPr>
        <w:fldChar w:fldCharType="begin"/>
      </w:r>
      <w:r>
        <w:rPr>
          <w:b/>
          <w:color w:val="0000FF"/>
          <w:sz w:val="28"/>
          <w:szCs w:val="28"/>
        </w:rPr>
        <w:instrText xml:space="preserve"> XE "</w:instrText>
      </w:r>
      <w:r>
        <w:rPr>
          <w:sz w:val="28"/>
          <w:szCs w:val="28"/>
        </w:rPr>
        <w:instrText>http\://linkedin.com/in/mikebrading</w:instrText>
      </w:r>
      <w:r>
        <w:rPr>
          <w:b/>
          <w:color w:val="0000FF"/>
          <w:sz w:val="28"/>
          <w:szCs w:val="28"/>
        </w:rPr>
        <w:instrText xml:space="preserve">" </w:instrText>
      </w:r>
      <w:r>
        <w:rPr>
          <w:b/>
          <w:color w:val="0000FF"/>
          <w:sz w:val="28"/>
          <w:szCs w:val="28"/>
        </w:rPr>
        <w:fldChar w:fldCharType="end"/>
      </w:r>
      <w:r>
        <w:rPr>
          <w:rFonts w:cstheme="minorHAnsi"/>
          <w:b/>
          <w:sz w:val="28"/>
          <w:szCs w:val="28"/>
        </w:rPr>
        <w:t>|Email:</w:t>
      </w:r>
      <w:hyperlink r:id="rId7" w:history="1">
        <w:r w:rsidR="00880FE0" w:rsidRPr="00CC4B14">
          <w:rPr>
            <w:rStyle w:val="Hyperlink"/>
            <w:rFonts w:cstheme="minorHAnsi"/>
            <w:b/>
            <w:sz w:val="28"/>
            <w:szCs w:val="28"/>
          </w:rPr>
          <w:t xml:space="preserve"> </w:t>
        </w:r>
        <w:r w:rsidR="00C84B5C">
          <w:rPr>
            <w:rStyle w:val="Hyperlink"/>
            <w:b/>
            <w:sz w:val="28"/>
            <w:szCs w:val="28"/>
          </w:rPr>
          <w:t>ernestita418</w:t>
        </w:r>
        <w:r w:rsidR="00880FE0" w:rsidRPr="00CC4B14">
          <w:rPr>
            <w:rStyle w:val="Hyperlink"/>
            <w:b/>
            <w:sz w:val="28"/>
            <w:szCs w:val="28"/>
          </w:rPr>
          <w:t>@gmail.com</w:t>
        </w:r>
      </w:hyperlink>
    </w:p>
    <w:p w14:paraId="7EADC08A" w14:textId="77777777" w:rsidR="0059525F" w:rsidRDefault="0059525F">
      <w:pPr>
        <w:pStyle w:val="NoSpacing"/>
        <w:spacing w:line="120" w:lineRule="auto"/>
        <w:ind w:firstLineChars="300" w:firstLine="843"/>
        <w:jc w:val="both"/>
        <w:rPr>
          <w:b/>
          <w:sz w:val="28"/>
          <w:szCs w:val="28"/>
        </w:rPr>
      </w:pPr>
    </w:p>
    <w:p w14:paraId="6AC073E1" w14:textId="77777777" w:rsidR="0059525F" w:rsidRDefault="00E47AAA">
      <w:pPr>
        <w:widowControl w:val="0"/>
        <w:pBdr>
          <w:top w:val="single" w:sz="4" w:space="1" w:color="auto"/>
          <w:bottom w:val="single" w:sz="4" w:space="1" w:color="auto"/>
        </w:pBdr>
        <w:autoSpaceDE w:val="0"/>
        <w:autoSpaceDN w:val="0"/>
        <w:adjustRightInd w:val="0"/>
        <w:spacing w:after="0" w:line="240" w:lineRule="auto"/>
        <w:jc w:val="center"/>
        <w:rPr>
          <w:rFonts w:cstheme="minorHAnsi"/>
          <w:b/>
          <w:color w:val="0070C0"/>
        </w:rPr>
      </w:pPr>
      <w:r>
        <w:rPr>
          <w:rFonts w:cstheme="minorHAnsi"/>
          <w:b/>
          <w:color w:val="0070C0"/>
        </w:rPr>
        <w:t xml:space="preserve"> CAREER PROFILE SUMMARY</w:t>
      </w:r>
    </w:p>
    <w:p w14:paraId="742A7858" w14:textId="02EF7832" w:rsidR="0059525F" w:rsidRDefault="00E47AAA">
      <w:pPr>
        <w:pStyle w:val="NormalWeb"/>
        <w:spacing w:before="240" w:beforeAutospacing="0" w:after="0" w:afterAutospacing="0"/>
        <w:rPr>
          <w:rFonts w:asciiTheme="minorHAnsi" w:hAnsiTheme="minorHAnsi"/>
          <w:color w:val="252525"/>
          <w:sz w:val="19"/>
          <w:szCs w:val="19"/>
        </w:rPr>
      </w:pPr>
      <w:r>
        <w:rPr>
          <w:rFonts w:asciiTheme="minorHAnsi" w:hAnsiTheme="minorHAnsi"/>
          <w:color w:val="252525"/>
          <w:sz w:val="19"/>
          <w:szCs w:val="19"/>
        </w:rPr>
        <w:t>Business Intelligence &amp; Risk Analytics Leader</w:t>
      </w:r>
      <w:r w:rsidR="00786950">
        <w:rPr>
          <w:rFonts w:asciiTheme="minorHAnsi" w:hAnsiTheme="minorHAnsi"/>
          <w:color w:val="252525"/>
          <w:sz w:val="19"/>
          <w:szCs w:val="19"/>
        </w:rPr>
        <w:t xml:space="preserve"> with 15+</w:t>
      </w:r>
      <w:r w:rsidR="000C10EB">
        <w:rPr>
          <w:rFonts w:asciiTheme="minorHAnsi" w:hAnsiTheme="minorHAnsi"/>
          <w:color w:val="252525"/>
          <w:sz w:val="19"/>
          <w:szCs w:val="19"/>
        </w:rPr>
        <w:t xml:space="preserve"> years</w:t>
      </w:r>
      <w:r w:rsidR="00CC29FF">
        <w:rPr>
          <w:rFonts w:asciiTheme="minorHAnsi" w:hAnsiTheme="minorHAnsi"/>
          <w:color w:val="252525"/>
          <w:sz w:val="19"/>
          <w:szCs w:val="19"/>
        </w:rPr>
        <w:t xml:space="preserve"> of</w:t>
      </w:r>
      <w:r w:rsidR="000D3CF6">
        <w:rPr>
          <w:rFonts w:asciiTheme="minorHAnsi" w:hAnsiTheme="minorHAnsi"/>
          <w:color w:val="252525"/>
          <w:sz w:val="19"/>
          <w:szCs w:val="19"/>
        </w:rPr>
        <w:t xml:space="preserve"> experience</w:t>
      </w:r>
      <w:r w:rsidR="000C10EB">
        <w:rPr>
          <w:rFonts w:asciiTheme="minorHAnsi" w:hAnsiTheme="minorHAnsi"/>
          <w:color w:val="252525"/>
          <w:sz w:val="19"/>
          <w:szCs w:val="19"/>
        </w:rPr>
        <w:t xml:space="preserve"> optimizing data quality</w:t>
      </w:r>
      <w:r w:rsidR="004D516A">
        <w:rPr>
          <w:rFonts w:asciiTheme="minorHAnsi" w:hAnsiTheme="minorHAnsi"/>
          <w:color w:val="252525"/>
          <w:sz w:val="19"/>
          <w:szCs w:val="19"/>
        </w:rPr>
        <w:t>, streamlining ETL pipelines, and</w:t>
      </w:r>
      <w:r>
        <w:rPr>
          <w:rFonts w:asciiTheme="minorHAnsi" w:hAnsiTheme="minorHAnsi"/>
          <w:color w:val="252525"/>
          <w:sz w:val="19"/>
          <w:szCs w:val="19"/>
        </w:rPr>
        <w:t xml:space="preserve"> specializing in data visualization, risk reporting, and predictive analytics within financial services and digital asset markets. Expert in Tableau, Power BI, SQL, Python, and Alteryx, delivering enterprise dashboards, data governance solutions, and high-accuracy risk models that inform executive decision-making. Recognized for transforming complex datasets into strategic intelligence that advances operational efficiency and business growth.</w:t>
      </w:r>
    </w:p>
    <w:p w14:paraId="1C57C09B" w14:textId="77777777" w:rsidR="0059525F" w:rsidRDefault="0059525F">
      <w:pPr>
        <w:pStyle w:val="NormalWeb"/>
        <w:spacing w:before="240" w:beforeAutospacing="0" w:after="0" w:afterAutospacing="0" w:line="120" w:lineRule="auto"/>
        <w:rPr>
          <w:rFonts w:asciiTheme="minorHAnsi" w:hAnsiTheme="minorHAnsi"/>
          <w:color w:val="252525"/>
          <w:sz w:val="19"/>
          <w:szCs w:val="19"/>
        </w:rPr>
      </w:pPr>
    </w:p>
    <w:p w14:paraId="6D84BEDE" w14:textId="77777777" w:rsidR="0059525F" w:rsidRDefault="00E47AAA">
      <w:pPr>
        <w:widowControl w:val="0"/>
        <w:pBdr>
          <w:top w:val="single" w:sz="4" w:space="0" w:color="auto"/>
          <w:bottom w:val="single" w:sz="4" w:space="1" w:color="auto"/>
        </w:pBdr>
        <w:autoSpaceDE w:val="0"/>
        <w:autoSpaceDN w:val="0"/>
        <w:adjustRightInd w:val="0"/>
        <w:spacing w:after="0" w:line="240" w:lineRule="auto"/>
        <w:ind w:firstLineChars="2000" w:firstLine="4417"/>
        <w:jc w:val="both"/>
        <w:rPr>
          <w:rFonts w:cstheme="minorHAnsi"/>
          <w:b/>
          <w:color w:val="0070C0"/>
        </w:rPr>
      </w:pPr>
      <w:r>
        <w:rPr>
          <w:rFonts w:cstheme="minorHAnsi"/>
          <w:b/>
          <w:color w:val="0070C0"/>
        </w:rPr>
        <w:t>CORE COMPETENCIES</w:t>
      </w:r>
    </w:p>
    <w:p w14:paraId="189B2C35" w14:textId="77777777" w:rsidR="0059525F" w:rsidRDefault="0059525F">
      <w:pPr>
        <w:pStyle w:val="NoSpacing"/>
        <w:numPr>
          <w:ilvl w:val="0"/>
          <w:numId w:val="1"/>
        </w:numPr>
        <w:rPr>
          <w:rFonts w:eastAsia="Californian FB" w:cstheme="minorHAnsi"/>
          <w:sz w:val="19"/>
          <w:szCs w:val="19"/>
        </w:rPr>
        <w:sectPr w:rsidR="0059525F">
          <w:pgSz w:w="12240" w:h="15840"/>
          <w:pgMar w:top="630" w:right="720" w:bottom="720" w:left="720" w:header="720" w:footer="720" w:gutter="0"/>
          <w:pgBorders w:offsetFrom="page">
            <w:top w:val="single" w:sz="12" w:space="24" w:color="1F497D" w:themeColor="text2"/>
            <w:left w:val="single" w:sz="12" w:space="24" w:color="1F497D" w:themeColor="text2"/>
            <w:bottom w:val="single" w:sz="12" w:space="24" w:color="1F497D" w:themeColor="text2"/>
            <w:right w:val="single" w:sz="12" w:space="24" w:color="1F497D" w:themeColor="text2"/>
          </w:pgBorders>
          <w:cols w:space="720"/>
          <w:docGrid w:linePitch="360"/>
        </w:sectPr>
      </w:pPr>
    </w:p>
    <w:p w14:paraId="13FBB3EA" w14:textId="77777777" w:rsidR="0059525F" w:rsidRDefault="0059525F">
      <w:pPr>
        <w:pStyle w:val="ListParagraph"/>
        <w:spacing w:line="120" w:lineRule="auto"/>
        <w:ind w:left="0"/>
        <w:rPr>
          <w:rFonts w:eastAsia="Calibri"/>
          <w:b/>
          <w:spacing w:val="-4"/>
          <w:sz w:val="19"/>
          <w:szCs w:val="19"/>
        </w:rPr>
      </w:pPr>
    </w:p>
    <w:p w14:paraId="3A31D680" w14:textId="77777777" w:rsidR="0059525F" w:rsidRDefault="00E47AAA">
      <w:pPr>
        <w:pStyle w:val="ListParagraph"/>
        <w:numPr>
          <w:ilvl w:val="0"/>
          <w:numId w:val="1"/>
        </w:numPr>
        <w:rPr>
          <w:rFonts w:eastAsia="Calibri"/>
          <w:b/>
          <w:spacing w:val="-4"/>
          <w:sz w:val="19"/>
          <w:szCs w:val="19"/>
        </w:rPr>
      </w:pPr>
      <w:r>
        <w:rPr>
          <w:rFonts w:eastAsia="Calibri"/>
          <w:b/>
          <w:spacing w:val="-4"/>
          <w:sz w:val="19"/>
          <w:szCs w:val="19"/>
        </w:rPr>
        <w:t>Data Visualization &amp; Business Intelligence:</w:t>
      </w:r>
      <w:r>
        <w:rPr>
          <w:rFonts w:eastAsia="Calibri"/>
          <w:bCs/>
          <w:spacing w:val="-4"/>
          <w:sz w:val="19"/>
          <w:szCs w:val="19"/>
        </w:rPr>
        <w:t xml:space="preserve"> Designs and delivers high-impact Tableau dashboards and BI solutions that improve decision-making speed by up to 40% and enhance stakeholder engagement across enterprise teams.</w:t>
      </w:r>
    </w:p>
    <w:p w14:paraId="24FEB2B6" w14:textId="77777777" w:rsidR="0059525F" w:rsidRDefault="0059525F">
      <w:pPr>
        <w:pStyle w:val="ListParagraph"/>
        <w:spacing w:line="120" w:lineRule="auto"/>
        <w:ind w:left="0"/>
        <w:rPr>
          <w:rFonts w:eastAsia="Calibri"/>
          <w:b/>
          <w:spacing w:val="-4"/>
          <w:sz w:val="19"/>
          <w:szCs w:val="19"/>
        </w:rPr>
      </w:pPr>
    </w:p>
    <w:p w14:paraId="5A1AAB29" w14:textId="40391262" w:rsidR="0059525F" w:rsidRDefault="00E47AAA">
      <w:pPr>
        <w:pStyle w:val="ListParagraph"/>
        <w:numPr>
          <w:ilvl w:val="0"/>
          <w:numId w:val="1"/>
        </w:numPr>
        <w:rPr>
          <w:rFonts w:eastAsia="Calibri"/>
          <w:b/>
          <w:spacing w:val="-4"/>
          <w:sz w:val="19"/>
          <w:szCs w:val="19"/>
        </w:rPr>
      </w:pPr>
      <w:r>
        <w:rPr>
          <w:rFonts w:eastAsia="Calibri"/>
          <w:b/>
          <w:spacing w:val="-4"/>
          <w:sz w:val="19"/>
          <w:szCs w:val="19"/>
        </w:rPr>
        <w:t xml:space="preserve">Risk Reporting &amp; Analytics: </w:t>
      </w:r>
      <w:r w:rsidRPr="00E47AAA">
        <w:rPr>
          <w:rFonts w:eastAsia="Calibri"/>
          <w:bCs/>
          <w:spacing w:val="-4"/>
          <w:sz w:val="19"/>
          <w:szCs w:val="19"/>
        </w:rPr>
        <w:t>Develops</w:t>
      </w:r>
      <w:r>
        <w:rPr>
          <w:rFonts w:eastAsia="Calibri"/>
          <w:bCs/>
          <w:spacing w:val="-4"/>
          <w:sz w:val="19"/>
          <w:szCs w:val="19"/>
        </w:rPr>
        <w:t xml:space="preserve"> and implements risk models, governance frameworks, and predictive analytics that identify vulnerabilities and reduce exposure, supporting regulatory compliance and strategic planning.</w:t>
      </w:r>
    </w:p>
    <w:p w14:paraId="4C2522D4" w14:textId="77777777" w:rsidR="0059525F" w:rsidRDefault="0059525F">
      <w:pPr>
        <w:pStyle w:val="ListParagraph"/>
        <w:spacing w:line="120" w:lineRule="auto"/>
        <w:ind w:left="0"/>
        <w:rPr>
          <w:rFonts w:eastAsia="Calibri"/>
          <w:b/>
          <w:spacing w:val="-4"/>
          <w:sz w:val="19"/>
          <w:szCs w:val="19"/>
        </w:rPr>
      </w:pPr>
    </w:p>
    <w:p w14:paraId="045AFE10" w14:textId="7EB6D37C" w:rsidR="0059525F" w:rsidRPr="00E21CB4" w:rsidRDefault="00E47AAA" w:rsidP="00E21CB4">
      <w:pPr>
        <w:pStyle w:val="ListParagraph"/>
        <w:numPr>
          <w:ilvl w:val="0"/>
          <w:numId w:val="1"/>
        </w:numPr>
        <w:rPr>
          <w:rFonts w:eastAsia="Calibri"/>
          <w:bCs/>
          <w:spacing w:val="-4"/>
          <w:sz w:val="19"/>
          <w:szCs w:val="19"/>
        </w:rPr>
      </w:pPr>
      <w:r>
        <w:rPr>
          <w:rFonts w:eastAsia="Calibri"/>
          <w:b/>
          <w:spacing w:val="-4"/>
          <w:sz w:val="19"/>
          <w:szCs w:val="19"/>
        </w:rPr>
        <w:t xml:space="preserve">Data Quality &amp; ETL Optimization: </w:t>
      </w:r>
      <w:r>
        <w:rPr>
          <w:rFonts w:eastAsia="Calibri"/>
          <w:bCs/>
          <w:spacing w:val="-4"/>
          <w:sz w:val="19"/>
          <w:szCs w:val="19"/>
        </w:rPr>
        <w:t>Automates validation, cleansing, and ETL processes to increase data accuracy by 30% and save 15+ hours per week in manual processing, ensuring reliable insights for critical business functions.</w:t>
      </w:r>
    </w:p>
    <w:p w14:paraId="31D16E46" w14:textId="77777777" w:rsidR="0059525F" w:rsidRDefault="0059525F">
      <w:pPr>
        <w:pStyle w:val="ListParagraph"/>
        <w:spacing w:line="120" w:lineRule="auto"/>
        <w:ind w:left="0"/>
        <w:rPr>
          <w:rFonts w:eastAsia="Calibri"/>
          <w:bCs/>
          <w:spacing w:val="-4"/>
          <w:sz w:val="19"/>
          <w:szCs w:val="19"/>
        </w:rPr>
      </w:pPr>
    </w:p>
    <w:p w14:paraId="4A8051B0" w14:textId="77777777" w:rsidR="0059525F" w:rsidRDefault="00E47AAA">
      <w:pPr>
        <w:widowControl w:val="0"/>
        <w:pBdr>
          <w:top w:val="single" w:sz="4" w:space="0" w:color="auto"/>
          <w:bottom w:val="single" w:sz="4" w:space="1" w:color="auto"/>
        </w:pBdr>
        <w:autoSpaceDE w:val="0"/>
        <w:autoSpaceDN w:val="0"/>
        <w:adjustRightInd w:val="0"/>
        <w:spacing w:after="0" w:line="240" w:lineRule="auto"/>
        <w:ind w:firstLineChars="2100" w:firstLine="4638"/>
        <w:jc w:val="both"/>
        <w:rPr>
          <w:rFonts w:cstheme="minorHAnsi"/>
          <w:b/>
          <w:color w:val="0070C0"/>
        </w:rPr>
      </w:pPr>
      <w:r>
        <w:rPr>
          <w:rFonts w:cstheme="minorHAnsi"/>
          <w:b/>
          <w:color w:val="0070C0"/>
        </w:rPr>
        <w:t>KEY SKILLS</w:t>
      </w:r>
    </w:p>
    <w:p w14:paraId="37CABA1C" w14:textId="77777777" w:rsidR="0059525F" w:rsidRDefault="0059525F">
      <w:pPr>
        <w:pStyle w:val="NoSpacing"/>
        <w:numPr>
          <w:ilvl w:val="0"/>
          <w:numId w:val="1"/>
        </w:numPr>
        <w:rPr>
          <w:rFonts w:eastAsia="Californian FB" w:cstheme="minorHAnsi"/>
          <w:sz w:val="19"/>
          <w:szCs w:val="19"/>
        </w:rPr>
        <w:sectPr w:rsidR="0059525F">
          <w:type w:val="continuous"/>
          <w:pgSz w:w="12240" w:h="15840"/>
          <w:pgMar w:top="720" w:right="720" w:bottom="720" w:left="720" w:header="720" w:footer="720" w:gutter="0"/>
          <w:pgBorders w:offsetFrom="page">
            <w:top w:val="single" w:sz="12" w:space="24" w:color="1F497D" w:themeColor="text2"/>
            <w:left w:val="single" w:sz="12" w:space="24" w:color="1F497D" w:themeColor="text2"/>
            <w:bottom w:val="single" w:sz="12" w:space="24" w:color="1F497D" w:themeColor="text2"/>
            <w:right w:val="single" w:sz="12" w:space="24" w:color="1F497D" w:themeColor="text2"/>
          </w:pgBorders>
          <w:cols w:space="720"/>
          <w:docGrid w:linePitch="360"/>
        </w:sectPr>
      </w:pPr>
    </w:p>
    <w:p w14:paraId="77529098" w14:textId="77777777" w:rsidR="0059525F" w:rsidRDefault="0059525F">
      <w:pPr>
        <w:pStyle w:val="ListParagraph"/>
        <w:spacing w:line="120" w:lineRule="auto"/>
        <w:ind w:left="0"/>
        <w:rPr>
          <w:rFonts w:eastAsia="Calibri"/>
          <w:spacing w:val="-4"/>
          <w:sz w:val="19"/>
          <w:szCs w:val="19"/>
        </w:rPr>
      </w:pPr>
    </w:p>
    <w:p w14:paraId="358221E9" w14:textId="77777777" w:rsidR="0059525F" w:rsidRDefault="00E47AAA">
      <w:pPr>
        <w:pStyle w:val="ListParagraph"/>
        <w:numPr>
          <w:ilvl w:val="0"/>
          <w:numId w:val="1"/>
        </w:numPr>
        <w:rPr>
          <w:rFonts w:eastAsia="Calibri"/>
          <w:spacing w:val="-4"/>
          <w:sz w:val="19"/>
          <w:szCs w:val="19"/>
        </w:rPr>
      </w:pPr>
      <w:r>
        <w:rPr>
          <w:rFonts w:eastAsia="Calibri"/>
          <w:spacing w:val="-4"/>
          <w:sz w:val="19"/>
          <w:szCs w:val="19"/>
        </w:rPr>
        <w:t>Tableau Development</w:t>
      </w:r>
    </w:p>
    <w:p w14:paraId="5C5BC9E0" w14:textId="77777777" w:rsidR="0059525F" w:rsidRDefault="00E47AAA">
      <w:pPr>
        <w:pStyle w:val="ListParagraph"/>
        <w:numPr>
          <w:ilvl w:val="0"/>
          <w:numId w:val="1"/>
        </w:numPr>
        <w:rPr>
          <w:rFonts w:eastAsia="Calibri"/>
          <w:spacing w:val="-4"/>
          <w:sz w:val="19"/>
          <w:szCs w:val="19"/>
        </w:rPr>
      </w:pPr>
      <w:r>
        <w:rPr>
          <w:rFonts w:eastAsia="Calibri"/>
          <w:spacing w:val="-4"/>
          <w:sz w:val="19"/>
          <w:szCs w:val="19"/>
        </w:rPr>
        <w:t>Power BI Reporting</w:t>
      </w:r>
    </w:p>
    <w:p w14:paraId="485C753C" w14:textId="77777777" w:rsidR="0059525F" w:rsidRDefault="00E47AAA">
      <w:pPr>
        <w:pStyle w:val="ListParagraph"/>
        <w:numPr>
          <w:ilvl w:val="0"/>
          <w:numId w:val="1"/>
        </w:numPr>
        <w:rPr>
          <w:rFonts w:eastAsia="Calibri"/>
          <w:spacing w:val="-4"/>
          <w:sz w:val="19"/>
          <w:szCs w:val="19"/>
        </w:rPr>
      </w:pPr>
      <w:r>
        <w:rPr>
          <w:rFonts w:eastAsia="Calibri"/>
          <w:spacing w:val="-4"/>
          <w:sz w:val="19"/>
          <w:szCs w:val="19"/>
        </w:rPr>
        <w:t>SQL Programming</w:t>
      </w:r>
    </w:p>
    <w:p w14:paraId="1E0A56FD" w14:textId="77777777" w:rsidR="0059525F" w:rsidRDefault="00E47AAA">
      <w:pPr>
        <w:pStyle w:val="ListParagraph"/>
        <w:numPr>
          <w:ilvl w:val="0"/>
          <w:numId w:val="1"/>
        </w:numPr>
        <w:rPr>
          <w:rFonts w:eastAsia="Calibri"/>
          <w:spacing w:val="-4"/>
          <w:sz w:val="19"/>
          <w:szCs w:val="19"/>
        </w:rPr>
      </w:pPr>
      <w:r>
        <w:rPr>
          <w:rFonts w:eastAsia="Calibri"/>
          <w:spacing w:val="-4"/>
          <w:sz w:val="19"/>
          <w:szCs w:val="19"/>
        </w:rPr>
        <w:t>Python Scripting</w:t>
      </w:r>
    </w:p>
    <w:p w14:paraId="0DB7F9BC" w14:textId="77777777" w:rsidR="0059525F" w:rsidRDefault="00E47AAA">
      <w:pPr>
        <w:pStyle w:val="ListParagraph"/>
        <w:numPr>
          <w:ilvl w:val="0"/>
          <w:numId w:val="1"/>
        </w:numPr>
        <w:rPr>
          <w:rFonts w:eastAsia="Calibri"/>
          <w:spacing w:val="-4"/>
          <w:sz w:val="19"/>
          <w:szCs w:val="19"/>
        </w:rPr>
      </w:pPr>
      <w:r>
        <w:rPr>
          <w:rFonts w:eastAsia="Calibri"/>
          <w:spacing w:val="-4"/>
          <w:sz w:val="19"/>
          <w:szCs w:val="19"/>
        </w:rPr>
        <w:t>Alteryx Workflow Automation</w:t>
      </w:r>
    </w:p>
    <w:p w14:paraId="65F46242" w14:textId="77777777" w:rsidR="0059525F" w:rsidRDefault="00E47AAA">
      <w:pPr>
        <w:pStyle w:val="ListParagraph"/>
        <w:numPr>
          <w:ilvl w:val="0"/>
          <w:numId w:val="1"/>
        </w:numPr>
        <w:rPr>
          <w:rFonts w:eastAsia="Calibri"/>
          <w:spacing w:val="-4"/>
          <w:sz w:val="19"/>
          <w:szCs w:val="19"/>
        </w:rPr>
      </w:pPr>
      <w:r>
        <w:rPr>
          <w:rFonts w:eastAsia="Calibri"/>
          <w:spacing w:val="-4"/>
          <w:sz w:val="19"/>
          <w:szCs w:val="19"/>
        </w:rPr>
        <w:t>Salesforce CRMA</w:t>
      </w:r>
    </w:p>
    <w:p w14:paraId="6B6A6A52" w14:textId="77777777" w:rsidR="0059525F" w:rsidRDefault="00E47AAA">
      <w:pPr>
        <w:pStyle w:val="ListParagraph"/>
        <w:numPr>
          <w:ilvl w:val="0"/>
          <w:numId w:val="1"/>
        </w:numPr>
        <w:rPr>
          <w:rFonts w:eastAsia="Calibri"/>
          <w:spacing w:val="-4"/>
          <w:sz w:val="19"/>
          <w:szCs w:val="19"/>
        </w:rPr>
      </w:pPr>
      <w:r>
        <w:rPr>
          <w:rFonts w:eastAsia="Calibri"/>
          <w:spacing w:val="-4"/>
          <w:sz w:val="19"/>
          <w:szCs w:val="19"/>
        </w:rPr>
        <w:t>Data Blending</w:t>
      </w:r>
    </w:p>
    <w:p w14:paraId="6C7DBEA7" w14:textId="77777777" w:rsidR="0059525F" w:rsidRDefault="00E47AAA">
      <w:pPr>
        <w:pStyle w:val="ListParagraph"/>
        <w:numPr>
          <w:ilvl w:val="0"/>
          <w:numId w:val="1"/>
        </w:numPr>
        <w:rPr>
          <w:rFonts w:eastAsia="Calibri"/>
          <w:spacing w:val="-4"/>
          <w:sz w:val="19"/>
          <w:szCs w:val="19"/>
        </w:rPr>
      </w:pPr>
      <w:r>
        <w:rPr>
          <w:rFonts w:eastAsia="Calibri"/>
          <w:spacing w:val="-4"/>
          <w:sz w:val="19"/>
          <w:szCs w:val="19"/>
        </w:rPr>
        <w:t>Database Management</w:t>
      </w:r>
    </w:p>
    <w:p w14:paraId="44D139D0" w14:textId="23965CB8" w:rsidR="002A3CEE" w:rsidRDefault="00E47AAA" w:rsidP="00925128">
      <w:pPr>
        <w:pStyle w:val="ListParagraph"/>
        <w:numPr>
          <w:ilvl w:val="0"/>
          <w:numId w:val="1"/>
        </w:numPr>
        <w:rPr>
          <w:rFonts w:eastAsia="Calibri"/>
          <w:spacing w:val="-4"/>
          <w:sz w:val="19"/>
          <w:szCs w:val="19"/>
        </w:rPr>
      </w:pPr>
      <w:r>
        <w:rPr>
          <w:rFonts w:eastAsia="Calibri"/>
          <w:spacing w:val="-4"/>
          <w:sz w:val="19"/>
          <w:szCs w:val="19"/>
        </w:rPr>
        <w:t>Data Warehousing</w:t>
      </w:r>
    </w:p>
    <w:p w14:paraId="04E5ADD7" w14:textId="0CB539B8" w:rsidR="00FA163C" w:rsidRPr="00925128" w:rsidRDefault="00FA163C" w:rsidP="00925128">
      <w:pPr>
        <w:pStyle w:val="ListParagraph"/>
        <w:numPr>
          <w:ilvl w:val="0"/>
          <w:numId w:val="1"/>
        </w:numPr>
        <w:rPr>
          <w:rFonts w:eastAsia="Calibri"/>
          <w:spacing w:val="-4"/>
          <w:sz w:val="19"/>
          <w:szCs w:val="19"/>
        </w:rPr>
      </w:pPr>
      <w:r>
        <w:rPr>
          <w:rFonts w:eastAsia="Calibri"/>
          <w:spacing w:val="-4"/>
          <w:sz w:val="19"/>
          <w:szCs w:val="19"/>
        </w:rPr>
        <w:t xml:space="preserve">Jira                                                                                                                                 </w:t>
      </w:r>
    </w:p>
    <w:p w14:paraId="69942D3A" w14:textId="77777777" w:rsidR="0059525F" w:rsidRDefault="0059525F">
      <w:pPr>
        <w:pStyle w:val="ListParagraph"/>
        <w:spacing w:line="120" w:lineRule="auto"/>
        <w:ind w:left="0"/>
        <w:rPr>
          <w:rFonts w:eastAsia="Calibri"/>
          <w:spacing w:val="-4"/>
          <w:sz w:val="19"/>
          <w:szCs w:val="19"/>
        </w:rPr>
      </w:pPr>
    </w:p>
    <w:p w14:paraId="099C1522" w14:textId="1FA26753" w:rsidR="00FA163C" w:rsidRDefault="00E74251">
      <w:pPr>
        <w:pStyle w:val="ListParagraph"/>
        <w:numPr>
          <w:ilvl w:val="0"/>
          <w:numId w:val="1"/>
        </w:numPr>
        <w:rPr>
          <w:rFonts w:eastAsia="Calibri"/>
          <w:spacing w:val="-4"/>
          <w:sz w:val="19"/>
          <w:szCs w:val="19"/>
        </w:rPr>
      </w:pPr>
      <w:r>
        <w:rPr>
          <w:rFonts w:eastAsia="Calibri"/>
          <w:spacing w:val="-4"/>
          <w:sz w:val="19"/>
          <w:szCs w:val="19"/>
        </w:rPr>
        <w:t>Investment Banking</w:t>
      </w:r>
    </w:p>
    <w:p w14:paraId="74980579" w14:textId="44D06413" w:rsidR="0059525F" w:rsidRDefault="00E47AAA">
      <w:pPr>
        <w:pStyle w:val="ListParagraph"/>
        <w:numPr>
          <w:ilvl w:val="0"/>
          <w:numId w:val="1"/>
        </w:numPr>
        <w:rPr>
          <w:rFonts w:eastAsia="Calibri"/>
          <w:spacing w:val="-4"/>
          <w:sz w:val="19"/>
          <w:szCs w:val="19"/>
        </w:rPr>
      </w:pPr>
      <w:r>
        <w:rPr>
          <w:rFonts w:eastAsia="Calibri"/>
          <w:spacing w:val="-4"/>
          <w:sz w:val="19"/>
          <w:szCs w:val="19"/>
        </w:rPr>
        <w:t>Advanced Predictive Modeling Techniques</w:t>
      </w:r>
    </w:p>
    <w:p w14:paraId="0716F962" w14:textId="77777777" w:rsidR="0059525F" w:rsidRDefault="00E47AAA">
      <w:pPr>
        <w:pStyle w:val="ListParagraph"/>
        <w:numPr>
          <w:ilvl w:val="0"/>
          <w:numId w:val="1"/>
        </w:numPr>
        <w:rPr>
          <w:rFonts w:eastAsia="Calibri"/>
          <w:spacing w:val="-4"/>
          <w:sz w:val="19"/>
          <w:szCs w:val="19"/>
        </w:rPr>
      </w:pPr>
      <w:r>
        <w:rPr>
          <w:rFonts w:eastAsia="Calibri"/>
          <w:spacing w:val="-4"/>
          <w:sz w:val="19"/>
          <w:szCs w:val="19"/>
        </w:rPr>
        <w:t>Statistical Analysis</w:t>
      </w:r>
    </w:p>
    <w:p w14:paraId="1769D2FC" w14:textId="77777777" w:rsidR="0059525F" w:rsidRDefault="00E47AAA">
      <w:pPr>
        <w:pStyle w:val="ListParagraph"/>
        <w:numPr>
          <w:ilvl w:val="0"/>
          <w:numId w:val="1"/>
        </w:numPr>
        <w:rPr>
          <w:rFonts w:eastAsia="Calibri"/>
          <w:spacing w:val="-4"/>
          <w:sz w:val="19"/>
          <w:szCs w:val="19"/>
        </w:rPr>
      </w:pPr>
      <w:r>
        <w:rPr>
          <w:rFonts w:eastAsia="Calibri"/>
          <w:spacing w:val="-4"/>
          <w:sz w:val="19"/>
          <w:szCs w:val="19"/>
        </w:rPr>
        <w:t>On-Chain Data Analysis</w:t>
      </w:r>
    </w:p>
    <w:p w14:paraId="51CFD1BB" w14:textId="77777777" w:rsidR="0059525F" w:rsidRDefault="00E47AAA">
      <w:pPr>
        <w:pStyle w:val="ListParagraph"/>
        <w:numPr>
          <w:ilvl w:val="0"/>
          <w:numId w:val="1"/>
        </w:numPr>
        <w:rPr>
          <w:rFonts w:eastAsia="Calibri"/>
          <w:spacing w:val="-4"/>
          <w:sz w:val="19"/>
          <w:szCs w:val="19"/>
        </w:rPr>
      </w:pPr>
      <w:r>
        <w:rPr>
          <w:rFonts w:eastAsia="Calibri"/>
          <w:spacing w:val="-4"/>
          <w:sz w:val="19"/>
          <w:szCs w:val="19"/>
        </w:rPr>
        <w:t>Enterprise Data Governance Tools</w:t>
      </w:r>
    </w:p>
    <w:p w14:paraId="2CADD803" w14:textId="77777777" w:rsidR="0059525F" w:rsidRDefault="00E47AAA">
      <w:pPr>
        <w:pStyle w:val="ListParagraph"/>
        <w:numPr>
          <w:ilvl w:val="0"/>
          <w:numId w:val="1"/>
        </w:numPr>
        <w:rPr>
          <w:rFonts w:eastAsia="Calibri"/>
          <w:spacing w:val="-4"/>
          <w:sz w:val="19"/>
          <w:szCs w:val="19"/>
        </w:rPr>
      </w:pPr>
      <w:r>
        <w:rPr>
          <w:rFonts w:eastAsia="Calibri"/>
          <w:spacing w:val="-4"/>
          <w:sz w:val="19"/>
          <w:szCs w:val="19"/>
        </w:rPr>
        <w:t>Quantitative Risk Scoring Systems</w:t>
      </w:r>
    </w:p>
    <w:p w14:paraId="2444C634" w14:textId="77777777" w:rsidR="0059525F" w:rsidRDefault="00E47AAA">
      <w:pPr>
        <w:pStyle w:val="ListParagraph"/>
        <w:numPr>
          <w:ilvl w:val="0"/>
          <w:numId w:val="1"/>
        </w:numPr>
        <w:rPr>
          <w:rFonts w:eastAsia="Calibri"/>
          <w:spacing w:val="-4"/>
          <w:sz w:val="19"/>
          <w:szCs w:val="19"/>
        </w:rPr>
      </w:pPr>
      <w:r>
        <w:rPr>
          <w:rFonts w:eastAsia="Calibri"/>
          <w:spacing w:val="-4"/>
          <w:sz w:val="19"/>
          <w:szCs w:val="19"/>
        </w:rPr>
        <w:t>Compliance Reporting Platforms</w:t>
      </w:r>
    </w:p>
    <w:p w14:paraId="7D748DEE" w14:textId="77777777" w:rsidR="0059525F" w:rsidRDefault="00E47AAA">
      <w:pPr>
        <w:pStyle w:val="ListParagraph"/>
        <w:numPr>
          <w:ilvl w:val="0"/>
          <w:numId w:val="1"/>
        </w:numPr>
        <w:rPr>
          <w:rFonts w:eastAsia="Calibri"/>
          <w:spacing w:val="-4"/>
          <w:sz w:val="19"/>
          <w:szCs w:val="19"/>
        </w:rPr>
      </w:pPr>
      <w:r>
        <w:rPr>
          <w:rFonts w:eastAsia="Calibri"/>
          <w:spacing w:val="-4"/>
          <w:sz w:val="19"/>
          <w:szCs w:val="19"/>
        </w:rPr>
        <w:t>Liquidity Reporting</w:t>
      </w:r>
    </w:p>
    <w:p w14:paraId="7B75E9E1" w14:textId="77777777" w:rsidR="0059525F" w:rsidRDefault="00E47AAA">
      <w:pPr>
        <w:pStyle w:val="ListParagraph"/>
        <w:numPr>
          <w:ilvl w:val="0"/>
          <w:numId w:val="1"/>
        </w:numPr>
        <w:rPr>
          <w:rFonts w:eastAsia="Calibri"/>
          <w:spacing w:val="-4"/>
          <w:sz w:val="19"/>
          <w:szCs w:val="19"/>
        </w:rPr>
      </w:pPr>
      <w:r>
        <w:rPr>
          <w:rFonts w:eastAsia="Calibri"/>
          <w:spacing w:val="-4"/>
          <w:sz w:val="19"/>
          <w:szCs w:val="19"/>
        </w:rPr>
        <w:t>Market Trend Analysis</w:t>
      </w:r>
    </w:p>
    <w:p w14:paraId="759A57D8" w14:textId="17179D3A" w:rsidR="00925128" w:rsidRPr="00925128" w:rsidRDefault="00E47AAA" w:rsidP="00925128">
      <w:pPr>
        <w:pStyle w:val="ListParagraph"/>
        <w:numPr>
          <w:ilvl w:val="0"/>
          <w:numId w:val="1"/>
        </w:numPr>
        <w:rPr>
          <w:rFonts w:eastAsia="Calibri"/>
          <w:bCs/>
          <w:spacing w:val="-4"/>
          <w:sz w:val="19"/>
          <w:szCs w:val="19"/>
        </w:rPr>
        <w:sectPr w:rsidR="00925128" w:rsidRPr="00925128">
          <w:type w:val="continuous"/>
          <w:pgSz w:w="12240" w:h="15840"/>
          <w:pgMar w:top="720" w:right="720" w:bottom="720" w:left="720" w:header="720" w:footer="720" w:gutter="0"/>
          <w:pgBorders w:offsetFrom="page">
            <w:top w:val="single" w:sz="12" w:space="24" w:color="1F497D" w:themeColor="text2"/>
            <w:left w:val="single" w:sz="12" w:space="24" w:color="1F497D" w:themeColor="text2"/>
            <w:bottom w:val="single" w:sz="12" w:space="24" w:color="1F497D" w:themeColor="text2"/>
            <w:right w:val="single" w:sz="12" w:space="24" w:color="1F497D" w:themeColor="text2"/>
          </w:pgBorders>
          <w:cols w:num="2" w:space="720"/>
          <w:docGrid w:linePitch="360"/>
        </w:sectPr>
      </w:pPr>
      <w:r>
        <w:rPr>
          <w:rFonts w:eastAsia="Calibri"/>
          <w:spacing w:val="-4"/>
          <w:sz w:val="19"/>
          <w:szCs w:val="19"/>
        </w:rPr>
        <w:t>Dashboard Customizatio</w:t>
      </w:r>
      <w:r w:rsidR="00064D4E">
        <w:rPr>
          <w:rFonts w:eastAsia="Calibri"/>
          <w:spacing w:val="-4"/>
          <w:sz w:val="19"/>
          <w:szCs w:val="19"/>
        </w:rPr>
        <w:t>n</w:t>
      </w:r>
    </w:p>
    <w:p w14:paraId="3D28E418" w14:textId="77777777" w:rsidR="0059525F" w:rsidRDefault="0059525F">
      <w:pPr>
        <w:spacing w:after="0" w:line="120" w:lineRule="auto"/>
        <w:rPr>
          <w:rFonts w:cstheme="minorHAnsi"/>
          <w:b/>
          <w:color w:val="0070C0"/>
          <w:sz w:val="19"/>
          <w:szCs w:val="19"/>
        </w:rPr>
      </w:pPr>
    </w:p>
    <w:p w14:paraId="64C3327A" w14:textId="77777777" w:rsidR="0059525F" w:rsidRDefault="0059525F">
      <w:pPr>
        <w:spacing w:after="0" w:line="120" w:lineRule="auto"/>
        <w:rPr>
          <w:rFonts w:cstheme="minorHAnsi"/>
          <w:b/>
          <w:color w:val="0070C0"/>
          <w:sz w:val="19"/>
          <w:szCs w:val="19"/>
        </w:rPr>
      </w:pPr>
    </w:p>
    <w:p w14:paraId="2F745048" w14:textId="77777777" w:rsidR="0059525F" w:rsidRDefault="0059525F">
      <w:pPr>
        <w:spacing w:after="0" w:line="360" w:lineRule="auto"/>
        <w:rPr>
          <w:rFonts w:cstheme="minorHAnsi"/>
          <w:b/>
          <w:color w:val="0070C0"/>
          <w:sz w:val="19"/>
          <w:szCs w:val="19"/>
        </w:rPr>
        <w:sectPr w:rsidR="0059525F">
          <w:type w:val="continuous"/>
          <w:pgSz w:w="12240" w:h="15840"/>
          <w:pgMar w:top="720" w:right="720" w:bottom="720" w:left="720" w:header="720" w:footer="720" w:gutter="0"/>
          <w:pgBorders w:offsetFrom="page">
            <w:top w:val="single" w:sz="12" w:space="24" w:color="1F497D" w:themeColor="text2"/>
            <w:left w:val="single" w:sz="12" w:space="24" w:color="1F497D" w:themeColor="text2"/>
            <w:bottom w:val="single" w:sz="12" w:space="24" w:color="1F497D" w:themeColor="text2"/>
            <w:right w:val="single" w:sz="12" w:space="24" w:color="1F497D" w:themeColor="text2"/>
          </w:pgBorders>
          <w:cols w:num="2" w:space="720"/>
          <w:docGrid w:linePitch="360"/>
        </w:sectPr>
      </w:pPr>
    </w:p>
    <w:p w14:paraId="1C38AB75" w14:textId="77777777" w:rsidR="0059525F" w:rsidRDefault="00E47AAA">
      <w:pPr>
        <w:widowControl w:val="0"/>
        <w:pBdr>
          <w:top w:val="single" w:sz="4" w:space="0" w:color="auto"/>
          <w:bottom w:val="single" w:sz="4" w:space="1" w:color="auto"/>
        </w:pBdr>
        <w:autoSpaceDE w:val="0"/>
        <w:autoSpaceDN w:val="0"/>
        <w:adjustRightInd w:val="0"/>
        <w:spacing w:after="0" w:line="240" w:lineRule="auto"/>
        <w:jc w:val="center"/>
        <w:rPr>
          <w:rStyle w:val="selectable-text1"/>
          <w:b/>
          <w:color w:val="0070C0"/>
          <w:sz w:val="19"/>
          <w:szCs w:val="19"/>
        </w:rPr>
      </w:pPr>
      <w:r>
        <w:rPr>
          <w:rFonts w:cstheme="minorHAnsi"/>
          <w:b/>
          <w:color w:val="0070C0"/>
        </w:rPr>
        <w:t>PROFESSIONAL EXPERIENCE</w:t>
      </w:r>
    </w:p>
    <w:p w14:paraId="45165E0D" w14:textId="77777777" w:rsidR="0059525F" w:rsidRDefault="00E47AAA">
      <w:pPr>
        <w:pStyle w:val="ListParagraph"/>
        <w:widowControl w:val="0"/>
        <w:autoSpaceDE w:val="0"/>
        <w:autoSpaceDN w:val="0"/>
        <w:adjustRightInd w:val="0"/>
        <w:spacing w:after="0" w:line="240" w:lineRule="auto"/>
        <w:ind w:left="0"/>
        <w:rPr>
          <w:rFonts w:cstheme="minorHAnsi"/>
          <w:sz w:val="19"/>
          <w:szCs w:val="19"/>
        </w:rPr>
      </w:pPr>
      <w:r>
        <w:rPr>
          <w:rStyle w:val="selectable-text1"/>
          <w:b/>
          <w:color w:val="0070C0"/>
          <w:sz w:val="19"/>
          <w:szCs w:val="19"/>
        </w:rPr>
        <w:t>Fidelity Investments                                                                                                                                                Durham, NC</w:t>
      </w:r>
    </w:p>
    <w:p w14:paraId="0622FB8F" w14:textId="679B7133" w:rsidR="0059525F" w:rsidRDefault="00E47AAA">
      <w:pPr>
        <w:widowControl w:val="0"/>
        <w:autoSpaceDE w:val="0"/>
        <w:autoSpaceDN w:val="0"/>
        <w:adjustRightInd w:val="0"/>
        <w:spacing w:after="0" w:line="240" w:lineRule="auto"/>
        <w:rPr>
          <w:rStyle w:val="selectable-text1"/>
          <w:rFonts w:cstheme="minorHAnsi"/>
          <w:sz w:val="19"/>
          <w:szCs w:val="19"/>
        </w:rPr>
      </w:pPr>
      <w:r>
        <w:rPr>
          <w:rStyle w:val="selectable-text1"/>
          <w:b/>
          <w:color w:val="0070C0"/>
          <w:sz w:val="19"/>
          <w:szCs w:val="19"/>
        </w:rPr>
        <w:t xml:space="preserve">Senior Risk &amp; Data Quality Analyst </w:t>
      </w:r>
      <w:r>
        <w:rPr>
          <w:rStyle w:val="selectable-text1"/>
          <w:rFonts w:cstheme="minorHAnsi"/>
          <w:b/>
          <w:color w:val="0070C0"/>
          <w:sz w:val="19"/>
          <w:szCs w:val="19"/>
        </w:rPr>
        <w:t xml:space="preserve">                                                                                       </w:t>
      </w:r>
      <w:r w:rsidR="008A26C6">
        <w:rPr>
          <w:rStyle w:val="selectable-text1"/>
          <w:rFonts w:cstheme="minorHAnsi"/>
          <w:b/>
          <w:color w:val="0070C0"/>
          <w:sz w:val="19"/>
          <w:szCs w:val="19"/>
        </w:rPr>
        <w:t xml:space="preserve">                             </w:t>
      </w:r>
      <w:r>
        <w:rPr>
          <w:rStyle w:val="selectable-text1"/>
          <w:rFonts w:cstheme="minorHAnsi"/>
          <w:b/>
          <w:color w:val="0070C0"/>
          <w:sz w:val="19"/>
          <w:szCs w:val="19"/>
        </w:rPr>
        <w:t xml:space="preserve"> </w:t>
      </w:r>
      <w:r>
        <w:rPr>
          <w:rStyle w:val="selectable-text1"/>
          <w:b/>
          <w:color w:val="0070C0"/>
          <w:sz w:val="19"/>
          <w:szCs w:val="19"/>
        </w:rPr>
        <w:t>Jan 2022 – Jun 2025</w:t>
      </w:r>
    </w:p>
    <w:p w14:paraId="07194078" w14:textId="276A29EB" w:rsidR="0059525F" w:rsidRDefault="00C6702B">
      <w:pPr>
        <w:pStyle w:val="ListParagraph"/>
        <w:widowControl w:val="0"/>
        <w:numPr>
          <w:ilvl w:val="0"/>
          <w:numId w:val="2"/>
        </w:numPr>
        <w:autoSpaceDE w:val="0"/>
        <w:autoSpaceDN w:val="0"/>
        <w:adjustRightInd w:val="0"/>
        <w:spacing w:after="0" w:line="240" w:lineRule="auto"/>
        <w:rPr>
          <w:sz w:val="19"/>
          <w:szCs w:val="19"/>
        </w:rPr>
      </w:pPr>
      <w:r>
        <w:rPr>
          <w:sz w:val="19"/>
          <w:szCs w:val="19"/>
        </w:rPr>
        <w:t>Developed SQL queries to a</w:t>
      </w:r>
      <w:r w:rsidR="00E47AAA">
        <w:rPr>
          <w:sz w:val="19"/>
          <w:szCs w:val="19"/>
        </w:rPr>
        <w:t>utomate ETL workflows, cutting manual errors by 95% and freeing analysts for deeper insights in less time.</w:t>
      </w:r>
    </w:p>
    <w:p w14:paraId="3E2D6B80" w14:textId="374BBA3F" w:rsidR="00C6702B" w:rsidRDefault="00C6702B">
      <w:pPr>
        <w:pStyle w:val="ListParagraph"/>
        <w:widowControl w:val="0"/>
        <w:numPr>
          <w:ilvl w:val="0"/>
          <w:numId w:val="2"/>
        </w:numPr>
        <w:autoSpaceDE w:val="0"/>
        <w:autoSpaceDN w:val="0"/>
        <w:adjustRightInd w:val="0"/>
        <w:spacing w:after="0" w:line="240" w:lineRule="auto"/>
        <w:rPr>
          <w:sz w:val="19"/>
          <w:szCs w:val="19"/>
        </w:rPr>
      </w:pPr>
      <w:r>
        <w:rPr>
          <w:sz w:val="19"/>
          <w:szCs w:val="19"/>
        </w:rPr>
        <w:t xml:space="preserve">Analyzed and assessed potential risks associated with cryptocurrencies, </w:t>
      </w:r>
      <w:r w:rsidR="008A26C6">
        <w:rPr>
          <w:sz w:val="19"/>
          <w:szCs w:val="19"/>
        </w:rPr>
        <w:t>by building predictive models in</w:t>
      </w:r>
      <w:r>
        <w:rPr>
          <w:sz w:val="19"/>
          <w:szCs w:val="19"/>
        </w:rPr>
        <w:t xml:space="preserve"> Tableau to identify vulnerabilities, monitor market trends, and provide insights to inform investment decisions and risk mitigation strategies within Fidelity Digital Assets business unit.</w:t>
      </w:r>
    </w:p>
    <w:p w14:paraId="6ECAF2D0" w14:textId="77777777" w:rsidR="0059525F" w:rsidRDefault="00E47AAA">
      <w:pPr>
        <w:pStyle w:val="ListParagraph"/>
        <w:widowControl w:val="0"/>
        <w:numPr>
          <w:ilvl w:val="0"/>
          <w:numId w:val="2"/>
        </w:numPr>
        <w:autoSpaceDE w:val="0"/>
        <w:autoSpaceDN w:val="0"/>
        <w:adjustRightInd w:val="0"/>
        <w:spacing w:after="0" w:line="240" w:lineRule="auto"/>
        <w:rPr>
          <w:sz w:val="19"/>
          <w:szCs w:val="19"/>
        </w:rPr>
      </w:pPr>
      <w:r>
        <w:rPr>
          <w:sz w:val="19"/>
          <w:szCs w:val="19"/>
        </w:rPr>
        <w:t>Built executive Tableau dashboards, giving leaders real-time metrics to make confident, rapid strategic decisions.</w:t>
      </w:r>
    </w:p>
    <w:p w14:paraId="13A7A12B" w14:textId="77777777" w:rsidR="0059525F" w:rsidRDefault="00E47AAA">
      <w:pPr>
        <w:pStyle w:val="ListParagraph"/>
        <w:widowControl w:val="0"/>
        <w:numPr>
          <w:ilvl w:val="0"/>
          <w:numId w:val="2"/>
        </w:numPr>
        <w:autoSpaceDE w:val="0"/>
        <w:autoSpaceDN w:val="0"/>
        <w:adjustRightInd w:val="0"/>
        <w:spacing w:after="0" w:line="240" w:lineRule="auto"/>
        <w:rPr>
          <w:sz w:val="19"/>
          <w:szCs w:val="19"/>
        </w:rPr>
      </w:pPr>
      <w:r>
        <w:rPr>
          <w:sz w:val="19"/>
          <w:szCs w:val="19"/>
        </w:rPr>
        <w:t>Standardized risk reporting firmwide, slashing audit prep time while boosting regulatory audit readiness.</w:t>
      </w:r>
    </w:p>
    <w:p w14:paraId="20DEAAB7" w14:textId="77777777" w:rsidR="0059525F" w:rsidRDefault="00E47AAA">
      <w:pPr>
        <w:pStyle w:val="ListParagraph"/>
        <w:widowControl w:val="0"/>
        <w:numPr>
          <w:ilvl w:val="0"/>
          <w:numId w:val="2"/>
        </w:numPr>
        <w:autoSpaceDE w:val="0"/>
        <w:autoSpaceDN w:val="0"/>
        <w:adjustRightInd w:val="0"/>
        <w:spacing w:after="0" w:line="240" w:lineRule="auto"/>
        <w:rPr>
          <w:sz w:val="19"/>
          <w:szCs w:val="19"/>
        </w:rPr>
      </w:pPr>
      <w:r>
        <w:rPr>
          <w:sz w:val="19"/>
          <w:szCs w:val="19"/>
        </w:rPr>
        <w:t>Streamlined multi-system data validation, ensuring unmatched accuracy in high-value operational datasets.</w:t>
      </w:r>
    </w:p>
    <w:p w14:paraId="1947FBE2" w14:textId="35C6DA7C" w:rsidR="0059525F" w:rsidRDefault="00E47AAA">
      <w:pPr>
        <w:pStyle w:val="ListParagraph"/>
        <w:widowControl w:val="0"/>
        <w:numPr>
          <w:ilvl w:val="0"/>
          <w:numId w:val="2"/>
        </w:numPr>
        <w:autoSpaceDE w:val="0"/>
        <w:autoSpaceDN w:val="0"/>
        <w:adjustRightInd w:val="0"/>
        <w:spacing w:after="0" w:line="240" w:lineRule="auto"/>
        <w:rPr>
          <w:sz w:val="19"/>
          <w:szCs w:val="19"/>
        </w:rPr>
      </w:pPr>
      <w:r>
        <w:rPr>
          <w:sz w:val="19"/>
          <w:szCs w:val="19"/>
        </w:rPr>
        <w:t>Championed Agile adoption</w:t>
      </w:r>
      <w:r w:rsidR="008A26C6">
        <w:rPr>
          <w:sz w:val="19"/>
          <w:szCs w:val="19"/>
        </w:rPr>
        <w:t xml:space="preserve"> and led Agile squads on critical initiatives, consistently exceeding performance targets under tight </w:t>
      </w:r>
      <w:r w:rsidR="00E21CB4">
        <w:rPr>
          <w:sz w:val="19"/>
          <w:szCs w:val="19"/>
        </w:rPr>
        <w:t>timeframes, increasing</w:t>
      </w:r>
      <w:r>
        <w:rPr>
          <w:sz w:val="19"/>
          <w:szCs w:val="19"/>
        </w:rPr>
        <w:t xml:space="preserve"> delivery speed, collaboration, and consistency across cross-functional teams.</w:t>
      </w:r>
    </w:p>
    <w:p w14:paraId="7996D8ED" w14:textId="77777777" w:rsidR="0059525F" w:rsidRDefault="0059525F">
      <w:pPr>
        <w:pStyle w:val="ListParagraph"/>
        <w:widowControl w:val="0"/>
        <w:autoSpaceDE w:val="0"/>
        <w:autoSpaceDN w:val="0"/>
        <w:adjustRightInd w:val="0"/>
        <w:spacing w:after="0" w:line="240" w:lineRule="auto"/>
        <w:ind w:left="0"/>
        <w:rPr>
          <w:sz w:val="19"/>
          <w:szCs w:val="19"/>
        </w:rPr>
      </w:pPr>
    </w:p>
    <w:p w14:paraId="2B0CF568" w14:textId="77777777" w:rsidR="0059525F" w:rsidRDefault="00E47AAA">
      <w:pPr>
        <w:pStyle w:val="ListParagraph"/>
        <w:widowControl w:val="0"/>
        <w:autoSpaceDE w:val="0"/>
        <w:autoSpaceDN w:val="0"/>
        <w:adjustRightInd w:val="0"/>
        <w:spacing w:after="0" w:line="240" w:lineRule="auto"/>
        <w:ind w:left="0"/>
        <w:rPr>
          <w:rFonts w:cstheme="minorHAnsi"/>
          <w:sz w:val="19"/>
          <w:szCs w:val="19"/>
        </w:rPr>
      </w:pPr>
      <w:r>
        <w:rPr>
          <w:rStyle w:val="selectable-text1"/>
          <w:b/>
          <w:color w:val="0070C0"/>
          <w:sz w:val="19"/>
          <w:szCs w:val="19"/>
        </w:rPr>
        <w:t>Bank of America                                                                                                                                                       Charlotte, NC</w:t>
      </w:r>
    </w:p>
    <w:p w14:paraId="2B2F739E" w14:textId="14C64D29" w:rsidR="0059525F" w:rsidRDefault="00E47AAA">
      <w:pPr>
        <w:widowControl w:val="0"/>
        <w:autoSpaceDE w:val="0"/>
        <w:autoSpaceDN w:val="0"/>
        <w:adjustRightInd w:val="0"/>
        <w:spacing w:after="0" w:line="240" w:lineRule="auto"/>
        <w:rPr>
          <w:sz w:val="19"/>
          <w:szCs w:val="19"/>
        </w:rPr>
      </w:pPr>
      <w:r>
        <w:rPr>
          <w:rStyle w:val="selectable-text1"/>
          <w:b/>
          <w:color w:val="0070C0"/>
          <w:sz w:val="19"/>
          <w:szCs w:val="19"/>
        </w:rPr>
        <w:t>Data/Risk Analyst – Treasury Data Management</w:t>
      </w:r>
      <w:r>
        <w:rPr>
          <w:rStyle w:val="selectable-text1"/>
          <w:rFonts w:cstheme="minorHAnsi"/>
          <w:b/>
          <w:color w:val="0070C0"/>
          <w:sz w:val="19"/>
          <w:szCs w:val="19"/>
        </w:rPr>
        <w:tab/>
        <w:t xml:space="preserve">                                                                                 </w:t>
      </w:r>
      <w:r w:rsidR="00304A75">
        <w:rPr>
          <w:rStyle w:val="selectable-text1"/>
          <w:b/>
          <w:color w:val="0070C0"/>
          <w:sz w:val="19"/>
          <w:szCs w:val="19"/>
        </w:rPr>
        <w:t>Apr</w:t>
      </w:r>
      <w:r>
        <w:rPr>
          <w:rStyle w:val="selectable-text1"/>
          <w:b/>
          <w:color w:val="0070C0"/>
          <w:sz w:val="19"/>
          <w:szCs w:val="19"/>
        </w:rPr>
        <w:t xml:space="preserve"> 2021 – Dec 2021</w:t>
      </w:r>
    </w:p>
    <w:p w14:paraId="56735042" w14:textId="77777777" w:rsidR="0059525F" w:rsidRDefault="00E47AAA">
      <w:pPr>
        <w:pStyle w:val="ListParagraph"/>
        <w:widowControl w:val="0"/>
        <w:numPr>
          <w:ilvl w:val="0"/>
          <w:numId w:val="3"/>
        </w:numPr>
        <w:autoSpaceDE w:val="0"/>
        <w:autoSpaceDN w:val="0"/>
        <w:adjustRightInd w:val="0"/>
        <w:spacing w:after="0" w:line="240" w:lineRule="auto"/>
        <w:rPr>
          <w:sz w:val="19"/>
          <w:szCs w:val="19"/>
        </w:rPr>
      </w:pPr>
      <w:r>
        <w:rPr>
          <w:sz w:val="19"/>
          <w:szCs w:val="19"/>
        </w:rPr>
        <w:t>Designed risk scoring systems that improved oversight accuracy by 40% and guided data-led treasury actions.</w:t>
      </w:r>
    </w:p>
    <w:p w14:paraId="20DAE858" w14:textId="3B36EF40" w:rsidR="0059525F" w:rsidRDefault="00E47AAA">
      <w:pPr>
        <w:pStyle w:val="ListParagraph"/>
        <w:widowControl w:val="0"/>
        <w:numPr>
          <w:ilvl w:val="0"/>
          <w:numId w:val="3"/>
        </w:numPr>
        <w:autoSpaceDE w:val="0"/>
        <w:autoSpaceDN w:val="0"/>
        <w:adjustRightInd w:val="0"/>
        <w:spacing w:after="0" w:line="240" w:lineRule="auto"/>
        <w:rPr>
          <w:sz w:val="19"/>
          <w:szCs w:val="19"/>
        </w:rPr>
      </w:pPr>
      <w:r>
        <w:rPr>
          <w:sz w:val="19"/>
          <w:szCs w:val="19"/>
        </w:rPr>
        <w:t>Optimized liquidity reporting</w:t>
      </w:r>
      <w:r w:rsidR="005A27E7">
        <w:rPr>
          <w:sz w:val="19"/>
          <w:szCs w:val="19"/>
        </w:rPr>
        <w:t xml:space="preserve"> using </w:t>
      </w:r>
      <w:r w:rsidR="00514A81">
        <w:rPr>
          <w:sz w:val="19"/>
          <w:szCs w:val="19"/>
        </w:rPr>
        <w:t>Tableau</w:t>
      </w:r>
      <w:r>
        <w:rPr>
          <w:sz w:val="19"/>
          <w:szCs w:val="19"/>
        </w:rPr>
        <w:t xml:space="preserve"> </w:t>
      </w:r>
      <w:r w:rsidR="005A27E7">
        <w:rPr>
          <w:sz w:val="19"/>
          <w:szCs w:val="19"/>
        </w:rPr>
        <w:t>to monitor daily data controls</w:t>
      </w:r>
      <w:r>
        <w:rPr>
          <w:sz w:val="19"/>
          <w:szCs w:val="19"/>
        </w:rPr>
        <w:t xml:space="preserve"> ensuring 100% compliance with regulatory standards.</w:t>
      </w:r>
    </w:p>
    <w:p w14:paraId="09102ED2" w14:textId="53D4A7BC" w:rsidR="0059525F" w:rsidRDefault="00E47AAA">
      <w:pPr>
        <w:pStyle w:val="ListParagraph"/>
        <w:widowControl w:val="0"/>
        <w:numPr>
          <w:ilvl w:val="0"/>
          <w:numId w:val="3"/>
        </w:numPr>
        <w:autoSpaceDE w:val="0"/>
        <w:autoSpaceDN w:val="0"/>
        <w:adjustRightInd w:val="0"/>
        <w:spacing w:after="0" w:line="240" w:lineRule="auto"/>
        <w:rPr>
          <w:sz w:val="19"/>
          <w:szCs w:val="19"/>
        </w:rPr>
      </w:pPr>
      <w:r>
        <w:rPr>
          <w:sz w:val="19"/>
          <w:szCs w:val="19"/>
        </w:rPr>
        <w:t>Delivered interactive dashboards</w:t>
      </w:r>
      <w:r w:rsidR="008A26C6">
        <w:rPr>
          <w:sz w:val="19"/>
          <w:szCs w:val="19"/>
        </w:rPr>
        <w:t xml:space="preserve"> using Tableau</w:t>
      </w:r>
      <w:r>
        <w:rPr>
          <w:sz w:val="19"/>
          <w:szCs w:val="19"/>
        </w:rPr>
        <w:t>, giving leadership instant clarity on emerging risks and key financial indicators.</w:t>
      </w:r>
    </w:p>
    <w:p w14:paraId="6A087076" w14:textId="77777777" w:rsidR="0059525F" w:rsidRDefault="00E47AAA">
      <w:pPr>
        <w:pStyle w:val="ListParagraph"/>
        <w:widowControl w:val="0"/>
        <w:numPr>
          <w:ilvl w:val="0"/>
          <w:numId w:val="3"/>
        </w:numPr>
        <w:autoSpaceDE w:val="0"/>
        <w:autoSpaceDN w:val="0"/>
        <w:adjustRightInd w:val="0"/>
        <w:spacing w:after="0" w:line="240" w:lineRule="auto"/>
        <w:rPr>
          <w:sz w:val="19"/>
          <w:szCs w:val="19"/>
        </w:rPr>
      </w:pPr>
      <w:r>
        <w:rPr>
          <w:sz w:val="19"/>
          <w:szCs w:val="19"/>
        </w:rPr>
        <w:lastRenderedPageBreak/>
        <w:t>Led focused quality reviews that eliminated recurring errors, restoring trust in treasury data integrity.</w:t>
      </w:r>
    </w:p>
    <w:p w14:paraId="60CF3DF3" w14:textId="77777777" w:rsidR="0059525F" w:rsidRDefault="00E47AAA">
      <w:pPr>
        <w:pStyle w:val="ListParagraph"/>
        <w:widowControl w:val="0"/>
        <w:numPr>
          <w:ilvl w:val="0"/>
          <w:numId w:val="3"/>
        </w:numPr>
        <w:autoSpaceDE w:val="0"/>
        <w:autoSpaceDN w:val="0"/>
        <w:adjustRightInd w:val="0"/>
        <w:spacing w:after="0" w:line="240" w:lineRule="auto"/>
        <w:rPr>
          <w:sz w:val="19"/>
          <w:szCs w:val="19"/>
        </w:rPr>
      </w:pPr>
      <w:r>
        <w:rPr>
          <w:sz w:val="19"/>
          <w:szCs w:val="19"/>
        </w:rPr>
        <w:t>Built market trend tools that empowered teams to act swiftly in shifting financial and regulatory climates.</w:t>
      </w:r>
    </w:p>
    <w:p w14:paraId="09888060" w14:textId="77777777" w:rsidR="0059525F" w:rsidRDefault="0059525F">
      <w:pPr>
        <w:pStyle w:val="ListParagraph"/>
        <w:widowControl w:val="0"/>
        <w:autoSpaceDE w:val="0"/>
        <w:autoSpaceDN w:val="0"/>
        <w:adjustRightInd w:val="0"/>
        <w:spacing w:after="0" w:line="240" w:lineRule="auto"/>
        <w:ind w:left="0"/>
        <w:rPr>
          <w:sz w:val="19"/>
          <w:szCs w:val="19"/>
        </w:rPr>
      </w:pPr>
    </w:p>
    <w:p w14:paraId="54B1A855" w14:textId="77777777" w:rsidR="0059525F" w:rsidRDefault="00E47AAA">
      <w:pPr>
        <w:pStyle w:val="ListParagraph"/>
        <w:widowControl w:val="0"/>
        <w:autoSpaceDE w:val="0"/>
        <w:autoSpaceDN w:val="0"/>
        <w:adjustRightInd w:val="0"/>
        <w:spacing w:after="0" w:line="240" w:lineRule="auto"/>
        <w:ind w:left="0"/>
        <w:rPr>
          <w:rFonts w:cstheme="minorHAnsi"/>
          <w:sz w:val="19"/>
          <w:szCs w:val="19"/>
        </w:rPr>
      </w:pPr>
      <w:r>
        <w:rPr>
          <w:rStyle w:val="selectable-text1"/>
          <w:b/>
          <w:color w:val="0070C0"/>
          <w:sz w:val="19"/>
          <w:szCs w:val="19"/>
        </w:rPr>
        <w:t>Wells Fargo                                                                                                                                                                Charlotte, NC</w:t>
      </w:r>
    </w:p>
    <w:p w14:paraId="15E83D87" w14:textId="1BF70BC1" w:rsidR="005A27E7" w:rsidRPr="00E21CB4" w:rsidRDefault="00E47AAA" w:rsidP="00E21CB4">
      <w:pPr>
        <w:widowControl w:val="0"/>
        <w:autoSpaceDE w:val="0"/>
        <w:autoSpaceDN w:val="0"/>
        <w:adjustRightInd w:val="0"/>
        <w:spacing w:after="0" w:line="240" w:lineRule="auto"/>
        <w:rPr>
          <w:sz w:val="19"/>
          <w:szCs w:val="19"/>
        </w:rPr>
      </w:pPr>
      <w:r>
        <w:rPr>
          <w:rStyle w:val="selectable-text1"/>
          <w:b/>
          <w:color w:val="0070C0"/>
          <w:sz w:val="19"/>
          <w:szCs w:val="19"/>
        </w:rPr>
        <w:t>Business Initiatives Consultant – Corp. Risk Investment Reporting and Analytics</w:t>
      </w:r>
      <w:r>
        <w:rPr>
          <w:rStyle w:val="selectable-text1"/>
          <w:rFonts w:cstheme="minorHAnsi"/>
          <w:b/>
          <w:color w:val="0070C0"/>
          <w:sz w:val="19"/>
          <w:szCs w:val="19"/>
        </w:rPr>
        <w:tab/>
        <w:t xml:space="preserve">                               </w:t>
      </w:r>
      <w:r>
        <w:rPr>
          <w:rStyle w:val="selectable-text1"/>
          <w:b/>
          <w:color w:val="0070C0"/>
          <w:sz w:val="19"/>
          <w:szCs w:val="19"/>
        </w:rPr>
        <w:t>Dec 2016 – Dec 2020</w:t>
      </w:r>
    </w:p>
    <w:p w14:paraId="426D514C" w14:textId="3D328A7E" w:rsidR="0059525F" w:rsidRDefault="00E47AAA">
      <w:pPr>
        <w:pStyle w:val="ListParagraph"/>
        <w:widowControl w:val="0"/>
        <w:numPr>
          <w:ilvl w:val="0"/>
          <w:numId w:val="3"/>
        </w:numPr>
        <w:autoSpaceDE w:val="0"/>
        <w:autoSpaceDN w:val="0"/>
        <w:adjustRightInd w:val="0"/>
        <w:spacing w:after="0" w:line="240" w:lineRule="auto"/>
        <w:rPr>
          <w:sz w:val="19"/>
          <w:szCs w:val="19"/>
        </w:rPr>
      </w:pPr>
      <w:r>
        <w:rPr>
          <w:sz w:val="19"/>
          <w:szCs w:val="19"/>
        </w:rPr>
        <w:t>Automated investment reporting</w:t>
      </w:r>
      <w:r w:rsidR="005A27E7">
        <w:rPr>
          <w:sz w:val="19"/>
          <w:szCs w:val="19"/>
        </w:rPr>
        <w:t xml:space="preserve"> from Excel to Tableau</w:t>
      </w:r>
      <w:r>
        <w:rPr>
          <w:sz w:val="19"/>
          <w:szCs w:val="19"/>
        </w:rPr>
        <w:t>, eliminating 100% of manual errors and accelerating delivery of risk metrics</w:t>
      </w:r>
      <w:r w:rsidR="00E21CB4">
        <w:rPr>
          <w:sz w:val="19"/>
          <w:szCs w:val="19"/>
        </w:rPr>
        <w:t xml:space="preserve"> and saving the team an estimated 10 hours per week</w:t>
      </w:r>
      <w:r>
        <w:rPr>
          <w:sz w:val="19"/>
          <w:szCs w:val="19"/>
        </w:rPr>
        <w:t xml:space="preserve">.  </w:t>
      </w:r>
    </w:p>
    <w:p w14:paraId="76D4AC05" w14:textId="70D05E25" w:rsidR="0059525F" w:rsidRDefault="00E47AAA">
      <w:pPr>
        <w:pStyle w:val="ListParagraph"/>
        <w:widowControl w:val="0"/>
        <w:numPr>
          <w:ilvl w:val="0"/>
          <w:numId w:val="3"/>
        </w:numPr>
        <w:autoSpaceDE w:val="0"/>
        <w:autoSpaceDN w:val="0"/>
        <w:adjustRightInd w:val="0"/>
        <w:spacing w:after="0" w:line="240" w:lineRule="auto"/>
        <w:rPr>
          <w:sz w:val="19"/>
          <w:szCs w:val="19"/>
        </w:rPr>
      </w:pPr>
      <w:r>
        <w:rPr>
          <w:sz w:val="19"/>
          <w:szCs w:val="19"/>
        </w:rPr>
        <w:t>Built enterprise dashboards</w:t>
      </w:r>
      <w:r w:rsidR="005A27E7">
        <w:rPr>
          <w:sz w:val="19"/>
          <w:szCs w:val="19"/>
        </w:rPr>
        <w:t xml:space="preserve"> using Tableau,</w:t>
      </w:r>
      <w:r>
        <w:rPr>
          <w:sz w:val="19"/>
          <w:szCs w:val="19"/>
        </w:rPr>
        <w:t xml:space="preserve"> providing executives live insights that drove 25% faster, better-informed risk decisions.  </w:t>
      </w:r>
    </w:p>
    <w:p w14:paraId="57D82CBB" w14:textId="77777777" w:rsidR="0059525F" w:rsidRDefault="00E47AAA">
      <w:pPr>
        <w:pStyle w:val="ListParagraph"/>
        <w:widowControl w:val="0"/>
        <w:numPr>
          <w:ilvl w:val="0"/>
          <w:numId w:val="3"/>
        </w:numPr>
        <w:autoSpaceDE w:val="0"/>
        <w:autoSpaceDN w:val="0"/>
        <w:adjustRightInd w:val="0"/>
        <w:spacing w:after="0" w:line="240" w:lineRule="auto"/>
        <w:rPr>
          <w:sz w:val="19"/>
          <w:szCs w:val="19"/>
        </w:rPr>
      </w:pPr>
      <w:r>
        <w:rPr>
          <w:sz w:val="19"/>
          <w:szCs w:val="19"/>
        </w:rPr>
        <w:t xml:space="preserve">Led cross-functional teams to standardize reporting, improving audit readiness and regulatory compliance.  </w:t>
      </w:r>
    </w:p>
    <w:p w14:paraId="1B38F7F3" w14:textId="77777777" w:rsidR="0059525F" w:rsidRDefault="00E47AAA">
      <w:pPr>
        <w:pStyle w:val="ListParagraph"/>
        <w:widowControl w:val="0"/>
        <w:numPr>
          <w:ilvl w:val="0"/>
          <w:numId w:val="3"/>
        </w:numPr>
        <w:autoSpaceDE w:val="0"/>
        <w:autoSpaceDN w:val="0"/>
        <w:adjustRightInd w:val="0"/>
        <w:spacing w:after="0" w:line="240" w:lineRule="auto"/>
        <w:rPr>
          <w:sz w:val="19"/>
          <w:szCs w:val="19"/>
        </w:rPr>
      </w:pPr>
      <w:r>
        <w:rPr>
          <w:sz w:val="19"/>
          <w:szCs w:val="19"/>
        </w:rPr>
        <w:t xml:space="preserve">Enhanced governance by streamlining data validation, ensuring accuracy across critical reporting systems.  </w:t>
      </w:r>
    </w:p>
    <w:p w14:paraId="738CDBF9" w14:textId="6B755BAA" w:rsidR="0059525F" w:rsidRDefault="00E47AAA">
      <w:pPr>
        <w:pStyle w:val="ListParagraph"/>
        <w:widowControl w:val="0"/>
        <w:numPr>
          <w:ilvl w:val="0"/>
          <w:numId w:val="3"/>
        </w:numPr>
        <w:autoSpaceDE w:val="0"/>
        <w:autoSpaceDN w:val="0"/>
        <w:adjustRightInd w:val="0"/>
        <w:spacing w:after="0" w:line="240" w:lineRule="auto"/>
        <w:rPr>
          <w:sz w:val="19"/>
          <w:szCs w:val="19"/>
        </w:rPr>
      </w:pPr>
      <w:r>
        <w:rPr>
          <w:sz w:val="19"/>
          <w:szCs w:val="19"/>
        </w:rPr>
        <w:t>Designed analytics solutions</w:t>
      </w:r>
      <w:r w:rsidR="005A27E7">
        <w:rPr>
          <w:sz w:val="19"/>
          <w:szCs w:val="19"/>
        </w:rPr>
        <w:t xml:space="preserve"> using Tableau</w:t>
      </w:r>
      <w:r>
        <w:rPr>
          <w:sz w:val="19"/>
          <w:szCs w:val="19"/>
        </w:rPr>
        <w:t xml:space="preserve"> that pinpointed emerging risks, enabling proactive mitigation strategies.  </w:t>
      </w:r>
    </w:p>
    <w:p w14:paraId="7DDFD038" w14:textId="77777777" w:rsidR="0059525F" w:rsidRDefault="00E47AAA">
      <w:pPr>
        <w:pStyle w:val="ListParagraph"/>
        <w:widowControl w:val="0"/>
        <w:numPr>
          <w:ilvl w:val="0"/>
          <w:numId w:val="3"/>
        </w:numPr>
        <w:autoSpaceDE w:val="0"/>
        <w:autoSpaceDN w:val="0"/>
        <w:adjustRightInd w:val="0"/>
        <w:spacing w:after="0" w:line="240" w:lineRule="auto"/>
        <w:rPr>
          <w:sz w:val="19"/>
          <w:szCs w:val="19"/>
        </w:rPr>
      </w:pPr>
      <w:r>
        <w:rPr>
          <w:sz w:val="19"/>
          <w:szCs w:val="19"/>
        </w:rPr>
        <w:t xml:space="preserve">Partnered with senior leaders to align reporting with business goals, strengthening enterprise risk posture.  </w:t>
      </w:r>
    </w:p>
    <w:p w14:paraId="0E4402C9" w14:textId="77777777" w:rsidR="0059525F" w:rsidRDefault="0059525F">
      <w:pPr>
        <w:pStyle w:val="ListParagraph"/>
        <w:widowControl w:val="0"/>
        <w:autoSpaceDE w:val="0"/>
        <w:autoSpaceDN w:val="0"/>
        <w:adjustRightInd w:val="0"/>
        <w:spacing w:after="0" w:line="240" w:lineRule="auto"/>
        <w:ind w:left="0"/>
        <w:rPr>
          <w:sz w:val="19"/>
          <w:szCs w:val="19"/>
        </w:rPr>
      </w:pPr>
    </w:p>
    <w:p w14:paraId="622B9808" w14:textId="77777777" w:rsidR="0059525F" w:rsidRDefault="00E47AAA">
      <w:pPr>
        <w:pStyle w:val="ListParagraph"/>
        <w:widowControl w:val="0"/>
        <w:autoSpaceDE w:val="0"/>
        <w:autoSpaceDN w:val="0"/>
        <w:adjustRightInd w:val="0"/>
        <w:spacing w:after="0" w:line="240" w:lineRule="auto"/>
        <w:ind w:left="0"/>
        <w:rPr>
          <w:rFonts w:cstheme="minorHAnsi"/>
          <w:sz w:val="19"/>
          <w:szCs w:val="19"/>
        </w:rPr>
      </w:pPr>
      <w:r>
        <w:rPr>
          <w:rStyle w:val="selectable-text1"/>
          <w:b/>
          <w:color w:val="0070C0"/>
          <w:sz w:val="19"/>
          <w:szCs w:val="19"/>
        </w:rPr>
        <w:t>Bank of America                                                                                                                                                        Charlotte, NC</w:t>
      </w:r>
    </w:p>
    <w:p w14:paraId="3D7461E5" w14:textId="77777777" w:rsidR="0059525F" w:rsidRDefault="00E47AAA">
      <w:pPr>
        <w:widowControl w:val="0"/>
        <w:autoSpaceDE w:val="0"/>
        <w:autoSpaceDN w:val="0"/>
        <w:adjustRightInd w:val="0"/>
        <w:spacing w:after="0" w:line="240" w:lineRule="auto"/>
        <w:rPr>
          <w:sz w:val="19"/>
          <w:szCs w:val="19"/>
        </w:rPr>
      </w:pPr>
      <w:r>
        <w:rPr>
          <w:rStyle w:val="selectable-text1"/>
          <w:b/>
          <w:color w:val="0070C0"/>
          <w:sz w:val="19"/>
          <w:szCs w:val="19"/>
        </w:rPr>
        <w:t>Project Manager – Market Risk Analytics</w:t>
      </w:r>
      <w:r>
        <w:rPr>
          <w:rStyle w:val="selectable-text1"/>
          <w:rFonts w:cstheme="minorHAnsi"/>
          <w:b/>
          <w:color w:val="0070C0"/>
          <w:sz w:val="19"/>
          <w:szCs w:val="19"/>
        </w:rPr>
        <w:tab/>
        <w:t xml:space="preserve">                                                                                                  </w:t>
      </w:r>
      <w:r>
        <w:rPr>
          <w:rStyle w:val="selectable-text1"/>
          <w:b/>
          <w:color w:val="0070C0"/>
          <w:sz w:val="19"/>
          <w:szCs w:val="19"/>
        </w:rPr>
        <w:t>Feb 2016 – Dec 2016</w:t>
      </w:r>
    </w:p>
    <w:p w14:paraId="5FDB5D79" w14:textId="2EB1F38E" w:rsidR="00E21CB4" w:rsidRDefault="00E21CB4">
      <w:pPr>
        <w:pStyle w:val="ListParagraph"/>
        <w:widowControl w:val="0"/>
        <w:numPr>
          <w:ilvl w:val="0"/>
          <w:numId w:val="3"/>
        </w:numPr>
        <w:autoSpaceDE w:val="0"/>
        <w:autoSpaceDN w:val="0"/>
        <w:adjustRightInd w:val="0"/>
        <w:spacing w:after="0" w:line="240" w:lineRule="auto"/>
        <w:rPr>
          <w:sz w:val="19"/>
          <w:szCs w:val="19"/>
        </w:rPr>
      </w:pPr>
      <w:r>
        <w:rPr>
          <w:sz w:val="19"/>
          <w:szCs w:val="19"/>
        </w:rPr>
        <w:t>Collaborated with senior staff and other team members to produce specific customized reports, ad hoc analyses and Business Intelligence Visualizations using Tableau, as well as reports scheduling using Tableau Server.</w:t>
      </w:r>
    </w:p>
    <w:p w14:paraId="34DC52C0" w14:textId="14AD8531" w:rsidR="0059525F" w:rsidRDefault="00E47AAA">
      <w:pPr>
        <w:pStyle w:val="ListParagraph"/>
        <w:widowControl w:val="0"/>
        <w:numPr>
          <w:ilvl w:val="0"/>
          <w:numId w:val="3"/>
        </w:numPr>
        <w:autoSpaceDE w:val="0"/>
        <w:autoSpaceDN w:val="0"/>
        <w:adjustRightInd w:val="0"/>
        <w:spacing w:after="0" w:line="240" w:lineRule="auto"/>
        <w:rPr>
          <w:sz w:val="19"/>
          <w:szCs w:val="19"/>
        </w:rPr>
      </w:pPr>
      <w:r>
        <w:rPr>
          <w:sz w:val="19"/>
          <w:szCs w:val="19"/>
        </w:rPr>
        <w:t xml:space="preserve">Directed risk analytics projects from concept to delivery, ensuring on-time, compliant, high-impact results.  </w:t>
      </w:r>
    </w:p>
    <w:p w14:paraId="035F7150" w14:textId="77777777" w:rsidR="0059525F" w:rsidRDefault="00E47AAA">
      <w:pPr>
        <w:pStyle w:val="ListParagraph"/>
        <w:widowControl w:val="0"/>
        <w:numPr>
          <w:ilvl w:val="0"/>
          <w:numId w:val="3"/>
        </w:numPr>
        <w:autoSpaceDE w:val="0"/>
        <w:autoSpaceDN w:val="0"/>
        <w:adjustRightInd w:val="0"/>
        <w:spacing w:after="0" w:line="240" w:lineRule="auto"/>
        <w:rPr>
          <w:sz w:val="19"/>
          <w:szCs w:val="19"/>
        </w:rPr>
      </w:pPr>
      <w:r>
        <w:rPr>
          <w:sz w:val="19"/>
          <w:szCs w:val="19"/>
        </w:rPr>
        <w:t xml:space="preserve">Developed reporting tools that gave leadership instant access to compliance data, reducing report prep time by 35%  </w:t>
      </w:r>
    </w:p>
    <w:p w14:paraId="7F8AAA34" w14:textId="77777777" w:rsidR="0059525F" w:rsidRDefault="00E47AAA">
      <w:pPr>
        <w:pStyle w:val="ListParagraph"/>
        <w:widowControl w:val="0"/>
        <w:numPr>
          <w:ilvl w:val="0"/>
          <w:numId w:val="3"/>
        </w:numPr>
        <w:autoSpaceDE w:val="0"/>
        <w:autoSpaceDN w:val="0"/>
        <w:adjustRightInd w:val="0"/>
        <w:spacing w:after="0" w:line="240" w:lineRule="auto"/>
        <w:rPr>
          <w:sz w:val="19"/>
          <w:szCs w:val="19"/>
        </w:rPr>
      </w:pPr>
      <w:r>
        <w:rPr>
          <w:sz w:val="19"/>
          <w:szCs w:val="19"/>
        </w:rPr>
        <w:t xml:space="preserve">Led market risk model implementations, improving accuracy and decision-making in volatile market conditions by 20%  </w:t>
      </w:r>
    </w:p>
    <w:p w14:paraId="05B08A2D" w14:textId="77777777" w:rsidR="0059525F" w:rsidRDefault="00E47AAA">
      <w:pPr>
        <w:pStyle w:val="ListParagraph"/>
        <w:widowControl w:val="0"/>
        <w:numPr>
          <w:ilvl w:val="0"/>
          <w:numId w:val="3"/>
        </w:numPr>
        <w:autoSpaceDE w:val="0"/>
        <w:autoSpaceDN w:val="0"/>
        <w:adjustRightInd w:val="0"/>
        <w:spacing w:after="0" w:line="240" w:lineRule="auto"/>
        <w:rPr>
          <w:sz w:val="19"/>
          <w:szCs w:val="19"/>
        </w:rPr>
      </w:pPr>
      <w:r>
        <w:rPr>
          <w:sz w:val="19"/>
          <w:szCs w:val="19"/>
        </w:rPr>
        <w:t xml:space="preserve">Streamlined regulatory reporting workflows, reducing cycle times while meeting strict compliance standards.  </w:t>
      </w:r>
    </w:p>
    <w:p w14:paraId="60B1886F" w14:textId="77777777" w:rsidR="0059525F" w:rsidRDefault="00E47AAA">
      <w:pPr>
        <w:pStyle w:val="ListParagraph"/>
        <w:widowControl w:val="0"/>
        <w:numPr>
          <w:ilvl w:val="0"/>
          <w:numId w:val="3"/>
        </w:numPr>
        <w:autoSpaceDE w:val="0"/>
        <w:autoSpaceDN w:val="0"/>
        <w:adjustRightInd w:val="0"/>
        <w:spacing w:after="0" w:line="240" w:lineRule="auto"/>
        <w:rPr>
          <w:sz w:val="19"/>
          <w:szCs w:val="19"/>
        </w:rPr>
      </w:pPr>
      <w:r>
        <w:rPr>
          <w:sz w:val="19"/>
          <w:szCs w:val="19"/>
        </w:rPr>
        <w:t xml:space="preserve">Partnered with technology teams to optimize data pipelines, boosting reliability of risk analytics outputs.  </w:t>
      </w:r>
    </w:p>
    <w:p w14:paraId="4B028529" w14:textId="77777777" w:rsidR="0059525F" w:rsidRDefault="0059525F">
      <w:pPr>
        <w:pStyle w:val="ListParagraph"/>
        <w:widowControl w:val="0"/>
        <w:autoSpaceDE w:val="0"/>
        <w:autoSpaceDN w:val="0"/>
        <w:adjustRightInd w:val="0"/>
        <w:spacing w:after="0" w:line="240" w:lineRule="auto"/>
        <w:ind w:left="0"/>
        <w:rPr>
          <w:sz w:val="19"/>
          <w:szCs w:val="19"/>
        </w:rPr>
      </w:pPr>
    </w:p>
    <w:p w14:paraId="3ABB57E7" w14:textId="77777777" w:rsidR="0059525F" w:rsidRDefault="00E47AAA">
      <w:pPr>
        <w:pStyle w:val="ListParagraph"/>
        <w:widowControl w:val="0"/>
        <w:autoSpaceDE w:val="0"/>
        <w:autoSpaceDN w:val="0"/>
        <w:adjustRightInd w:val="0"/>
        <w:spacing w:after="0" w:line="240" w:lineRule="auto"/>
        <w:ind w:left="0"/>
        <w:rPr>
          <w:rFonts w:cstheme="minorHAnsi"/>
          <w:sz w:val="19"/>
          <w:szCs w:val="19"/>
        </w:rPr>
      </w:pPr>
      <w:r>
        <w:rPr>
          <w:rStyle w:val="selectable-text1"/>
          <w:b/>
          <w:color w:val="0070C0"/>
          <w:sz w:val="19"/>
          <w:szCs w:val="19"/>
        </w:rPr>
        <w:t>Republic Bank &amp; Trust Company                                                                                                                           Louisville, KY</w:t>
      </w:r>
    </w:p>
    <w:p w14:paraId="402802DF" w14:textId="71A192BA" w:rsidR="0059525F" w:rsidRDefault="00E47AAA">
      <w:pPr>
        <w:widowControl w:val="0"/>
        <w:autoSpaceDE w:val="0"/>
        <w:autoSpaceDN w:val="0"/>
        <w:adjustRightInd w:val="0"/>
        <w:spacing w:after="0" w:line="240" w:lineRule="auto"/>
        <w:rPr>
          <w:sz w:val="19"/>
          <w:szCs w:val="19"/>
        </w:rPr>
      </w:pPr>
      <w:r>
        <w:rPr>
          <w:rStyle w:val="selectable-text1"/>
          <w:b/>
          <w:color w:val="0070C0"/>
          <w:sz w:val="19"/>
          <w:szCs w:val="19"/>
        </w:rPr>
        <w:t>Market Risk Reporting and Analytics Consultant</w:t>
      </w:r>
      <w:r>
        <w:rPr>
          <w:rStyle w:val="selectable-text1"/>
          <w:rFonts w:cstheme="minorHAnsi"/>
          <w:b/>
          <w:color w:val="0070C0"/>
          <w:sz w:val="19"/>
          <w:szCs w:val="19"/>
        </w:rPr>
        <w:tab/>
        <w:t xml:space="preserve">                                                                                 </w:t>
      </w:r>
      <w:r>
        <w:rPr>
          <w:rStyle w:val="selectable-text1"/>
          <w:b/>
          <w:color w:val="0070C0"/>
          <w:sz w:val="19"/>
          <w:szCs w:val="19"/>
        </w:rPr>
        <w:t>May 2013 – Jan 2016</w:t>
      </w:r>
    </w:p>
    <w:p w14:paraId="5A030990" w14:textId="288D48B0" w:rsidR="0059525F" w:rsidRDefault="00E47AAA">
      <w:pPr>
        <w:pStyle w:val="ListParagraph"/>
        <w:widowControl w:val="0"/>
        <w:numPr>
          <w:ilvl w:val="0"/>
          <w:numId w:val="3"/>
        </w:numPr>
        <w:autoSpaceDE w:val="0"/>
        <w:autoSpaceDN w:val="0"/>
        <w:adjustRightInd w:val="0"/>
        <w:spacing w:after="0" w:line="240" w:lineRule="auto"/>
        <w:rPr>
          <w:sz w:val="19"/>
          <w:szCs w:val="19"/>
        </w:rPr>
      </w:pPr>
      <w:r>
        <w:rPr>
          <w:sz w:val="19"/>
          <w:szCs w:val="19"/>
        </w:rPr>
        <w:t>Automated risk reporting</w:t>
      </w:r>
      <w:r w:rsidR="00E21CB4">
        <w:rPr>
          <w:sz w:val="19"/>
          <w:szCs w:val="19"/>
        </w:rPr>
        <w:t xml:space="preserve"> in Tableau</w:t>
      </w:r>
      <w:r>
        <w:rPr>
          <w:sz w:val="19"/>
          <w:szCs w:val="19"/>
        </w:rPr>
        <w:t xml:space="preserve"> for 12+ portfolios, eliminating manual errors and accelerating delivery of insights.  </w:t>
      </w:r>
    </w:p>
    <w:p w14:paraId="4192D060" w14:textId="65D4B3AA" w:rsidR="0059525F" w:rsidRDefault="00E47AAA">
      <w:pPr>
        <w:pStyle w:val="ListParagraph"/>
        <w:widowControl w:val="0"/>
        <w:numPr>
          <w:ilvl w:val="0"/>
          <w:numId w:val="3"/>
        </w:numPr>
        <w:autoSpaceDE w:val="0"/>
        <w:autoSpaceDN w:val="0"/>
        <w:adjustRightInd w:val="0"/>
        <w:spacing w:after="0" w:line="240" w:lineRule="auto"/>
        <w:rPr>
          <w:sz w:val="19"/>
          <w:szCs w:val="19"/>
        </w:rPr>
      </w:pPr>
      <w:r>
        <w:rPr>
          <w:sz w:val="19"/>
          <w:szCs w:val="19"/>
        </w:rPr>
        <w:t xml:space="preserve">Built </w:t>
      </w:r>
      <w:r w:rsidR="00E21CB4">
        <w:rPr>
          <w:sz w:val="19"/>
          <w:szCs w:val="19"/>
        </w:rPr>
        <w:t xml:space="preserve">Tableau </w:t>
      </w:r>
      <w:r>
        <w:rPr>
          <w:sz w:val="19"/>
          <w:szCs w:val="19"/>
        </w:rPr>
        <w:t xml:space="preserve">dashboards delivering real-time market risk data to executives, enabling faster strategic decisions.  </w:t>
      </w:r>
    </w:p>
    <w:p w14:paraId="3850BE67" w14:textId="77777777" w:rsidR="0059525F" w:rsidRDefault="00E47AAA">
      <w:pPr>
        <w:pStyle w:val="ListParagraph"/>
        <w:widowControl w:val="0"/>
        <w:numPr>
          <w:ilvl w:val="0"/>
          <w:numId w:val="3"/>
        </w:numPr>
        <w:autoSpaceDE w:val="0"/>
        <w:autoSpaceDN w:val="0"/>
        <w:adjustRightInd w:val="0"/>
        <w:spacing w:after="0" w:line="240" w:lineRule="auto"/>
        <w:rPr>
          <w:sz w:val="19"/>
          <w:szCs w:val="19"/>
        </w:rPr>
      </w:pPr>
      <w:r>
        <w:rPr>
          <w:sz w:val="19"/>
          <w:szCs w:val="19"/>
        </w:rPr>
        <w:t xml:space="preserve">Streamlined reporting for 15+ regulatory submissions, ensuring flawless compliance and audit readiness.  </w:t>
      </w:r>
    </w:p>
    <w:p w14:paraId="3D8B63DF" w14:textId="77777777" w:rsidR="006906BC" w:rsidRDefault="00E47AAA">
      <w:pPr>
        <w:pStyle w:val="ListParagraph"/>
        <w:widowControl w:val="0"/>
        <w:numPr>
          <w:ilvl w:val="0"/>
          <w:numId w:val="3"/>
        </w:numPr>
        <w:autoSpaceDE w:val="0"/>
        <w:autoSpaceDN w:val="0"/>
        <w:adjustRightInd w:val="0"/>
        <w:spacing w:after="0" w:line="240" w:lineRule="auto"/>
        <w:rPr>
          <w:sz w:val="19"/>
          <w:szCs w:val="19"/>
        </w:rPr>
      </w:pPr>
      <w:r>
        <w:rPr>
          <w:sz w:val="19"/>
          <w:szCs w:val="19"/>
        </w:rPr>
        <w:t xml:space="preserve">Partnered with cross-functional teams to align analytics with policy, strengthening enterprise risk posture. </w:t>
      </w:r>
    </w:p>
    <w:p w14:paraId="3D686271" w14:textId="77777777" w:rsidR="0059525F" w:rsidRDefault="0059525F">
      <w:pPr>
        <w:pStyle w:val="ListParagraph"/>
        <w:widowControl w:val="0"/>
        <w:autoSpaceDE w:val="0"/>
        <w:autoSpaceDN w:val="0"/>
        <w:adjustRightInd w:val="0"/>
        <w:spacing w:after="0" w:line="240" w:lineRule="auto"/>
        <w:ind w:left="0"/>
        <w:rPr>
          <w:sz w:val="19"/>
          <w:szCs w:val="19"/>
        </w:rPr>
      </w:pPr>
    </w:p>
    <w:p w14:paraId="68955C72" w14:textId="77777777" w:rsidR="0059525F" w:rsidRDefault="00E47AAA">
      <w:pPr>
        <w:pStyle w:val="ListParagraph"/>
        <w:widowControl w:val="0"/>
        <w:autoSpaceDE w:val="0"/>
        <w:autoSpaceDN w:val="0"/>
        <w:adjustRightInd w:val="0"/>
        <w:spacing w:after="0" w:line="240" w:lineRule="auto"/>
        <w:ind w:left="0"/>
        <w:rPr>
          <w:rFonts w:cstheme="minorHAnsi"/>
          <w:sz w:val="19"/>
          <w:szCs w:val="19"/>
        </w:rPr>
      </w:pPr>
      <w:r>
        <w:rPr>
          <w:rStyle w:val="selectable-text1"/>
          <w:b/>
          <w:color w:val="0070C0"/>
          <w:sz w:val="19"/>
          <w:szCs w:val="19"/>
        </w:rPr>
        <w:t>PricewaterhouseCoopers                                                                                                                                        Louisville, KY</w:t>
      </w:r>
    </w:p>
    <w:p w14:paraId="4508619F" w14:textId="77777777" w:rsidR="0059525F" w:rsidRDefault="00E47AAA">
      <w:pPr>
        <w:widowControl w:val="0"/>
        <w:autoSpaceDE w:val="0"/>
        <w:autoSpaceDN w:val="0"/>
        <w:adjustRightInd w:val="0"/>
        <w:spacing w:after="0" w:line="240" w:lineRule="auto"/>
        <w:rPr>
          <w:rStyle w:val="selectable-text1"/>
          <w:b/>
          <w:color w:val="0070C0"/>
          <w:sz w:val="19"/>
          <w:szCs w:val="19"/>
        </w:rPr>
      </w:pPr>
      <w:r>
        <w:rPr>
          <w:rStyle w:val="selectable-text1"/>
          <w:b/>
          <w:color w:val="0070C0"/>
          <w:sz w:val="19"/>
          <w:szCs w:val="19"/>
        </w:rPr>
        <w:t>Financial Consultant, Credit/Market Risk Reporting</w:t>
      </w:r>
      <w:r>
        <w:rPr>
          <w:rStyle w:val="selectable-text1"/>
          <w:rFonts w:cstheme="minorHAnsi"/>
          <w:b/>
          <w:color w:val="0070C0"/>
          <w:sz w:val="19"/>
          <w:szCs w:val="19"/>
        </w:rPr>
        <w:tab/>
        <w:t xml:space="preserve">                                                                                 </w:t>
      </w:r>
      <w:r>
        <w:rPr>
          <w:rStyle w:val="selectable-text1"/>
          <w:b/>
          <w:color w:val="0070C0"/>
          <w:sz w:val="19"/>
          <w:szCs w:val="19"/>
        </w:rPr>
        <w:t>May-2012 – May-2013</w:t>
      </w:r>
    </w:p>
    <w:p w14:paraId="6D95F34A" w14:textId="3C642AFD" w:rsidR="0059525F" w:rsidRDefault="00E47AAA">
      <w:pPr>
        <w:pStyle w:val="ListParagraph"/>
        <w:widowControl w:val="0"/>
        <w:numPr>
          <w:ilvl w:val="0"/>
          <w:numId w:val="3"/>
        </w:numPr>
        <w:autoSpaceDE w:val="0"/>
        <w:autoSpaceDN w:val="0"/>
        <w:adjustRightInd w:val="0"/>
        <w:spacing w:after="0" w:line="240" w:lineRule="auto"/>
        <w:rPr>
          <w:sz w:val="19"/>
          <w:szCs w:val="19"/>
        </w:rPr>
      </w:pPr>
      <w:r>
        <w:rPr>
          <w:sz w:val="19"/>
          <w:szCs w:val="19"/>
        </w:rPr>
        <w:t>Delivered 20+ client risk reports monthly</w:t>
      </w:r>
      <w:r w:rsidR="00E21CB4">
        <w:rPr>
          <w:sz w:val="19"/>
          <w:szCs w:val="19"/>
        </w:rPr>
        <w:t xml:space="preserve"> using Tableau</w:t>
      </w:r>
      <w:r>
        <w:rPr>
          <w:sz w:val="19"/>
          <w:szCs w:val="19"/>
        </w:rPr>
        <w:t xml:space="preserve">, improving decision-making speed for global banking partners.  </w:t>
      </w:r>
    </w:p>
    <w:p w14:paraId="2CA3589E" w14:textId="77777777" w:rsidR="0059525F" w:rsidRDefault="00E47AAA">
      <w:pPr>
        <w:pStyle w:val="ListParagraph"/>
        <w:widowControl w:val="0"/>
        <w:numPr>
          <w:ilvl w:val="0"/>
          <w:numId w:val="3"/>
        </w:numPr>
        <w:autoSpaceDE w:val="0"/>
        <w:autoSpaceDN w:val="0"/>
        <w:adjustRightInd w:val="0"/>
        <w:spacing w:after="0" w:line="240" w:lineRule="auto"/>
        <w:rPr>
          <w:sz w:val="19"/>
          <w:szCs w:val="19"/>
        </w:rPr>
      </w:pPr>
      <w:r>
        <w:rPr>
          <w:sz w:val="19"/>
          <w:szCs w:val="19"/>
        </w:rPr>
        <w:t xml:space="preserve">Designed tools to flag credit exposure shifts across 10+ markets, enabling proactive risk mitigation.  </w:t>
      </w:r>
    </w:p>
    <w:p w14:paraId="118B6D42" w14:textId="05A8DC7A" w:rsidR="0059525F" w:rsidRDefault="00E47AAA">
      <w:pPr>
        <w:pStyle w:val="ListParagraph"/>
        <w:widowControl w:val="0"/>
        <w:numPr>
          <w:ilvl w:val="0"/>
          <w:numId w:val="3"/>
        </w:numPr>
        <w:autoSpaceDE w:val="0"/>
        <w:autoSpaceDN w:val="0"/>
        <w:adjustRightInd w:val="0"/>
        <w:spacing w:after="0" w:line="240" w:lineRule="auto"/>
        <w:rPr>
          <w:sz w:val="19"/>
          <w:szCs w:val="19"/>
        </w:rPr>
      </w:pPr>
      <w:r>
        <w:rPr>
          <w:sz w:val="19"/>
          <w:szCs w:val="19"/>
        </w:rPr>
        <w:t xml:space="preserve">Coordinated </w:t>
      </w:r>
      <w:r w:rsidR="00514A81">
        <w:rPr>
          <w:sz w:val="19"/>
          <w:szCs w:val="19"/>
        </w:rPr>
        <w:t>with teams</w:t>
      </w:r>
      <w:r>
        <w:rPr>
          <w:sz w:val="19"/>
          <w:szCs w:val="19"/>
        </w:rPr>
        <w:t xml:space="preserve"> </w:t>
      </w:r>
      <w:r w:rsidR="00514A81">
        <w:rPr>
          <w:sz w:val="19"/>
          <w:szCs w:val="19"/>
        </w:rPr>
        <w:t xml:space="preserve">to </w:t>
      </w:r>
      <w:r>
        <w:rPr>
          <w:sz w:val="19"/>
          <w:szCs w:val="19"/>
        </w:rPr>
        <w:t>standardize reporting, meeting all regulatory filing deadlines.</w:t>
      </w:r>
    </w:p>
    <w:p w14:paraId="2CEB37DF" w14:textId="77777777" w:rsidR="0059525F" w:rsidRDefault="0059525F">
      <w:pPr>
        <w:pStyle w:val="ListParagraph"/>
        <w:widowControl w:val="0"/>
        <w:autoSpaceDE w:val="0"/>
        <w:autoSpaceDN w:val="0"/>
        <w:adjustRightInd w:val="0"/>
        <w:spacing w:after="0" w:line="240" w:lineRule="auto"/>
        <w:ind w:left="0"/>
        <w:rPr>
          <w:sz w:val="19"/>
          <w:szCs w:val="19"/>
        </w:rPr>
      </w:pPr>
    </w:p>
    <w:p w14:paraId="56CB3702" w14:textId="77777777" w:rsidR="0059525F" w:rsidRDefault="00E47AAA">
      <w:pPr>
        <w:pStyle w:val="ListParagraph"/>
        <w:widowControl w:val="0"/>
        <w:autoSpaceDE w:val="0"/>
        <w:autoSpaceDN w:val="0"/>
        <w:adjustRightInd w:val="0"/>
        <w:spacing w:after="0" w:line="240" w:lineRule="auto"/>
        <w:ind w:left="0"/>
        <w:rPr>
          <w:rFonts w:cstheme="minorHAnsi"/>
          <w:sz w:val="19"/>
          <w:szCs w:val="19"/>
        </w:rPr>
      </w:pPr>
      <w:r>
        <w:rPr>
          <w:rStyle w:val="selectable-text1"/>
          <w:b/>
          <w:color w:val="0070C0"/>
          <w:sz w:val="19"/>
          <w:szCs w:val="19"/>
        </w:rPr>
        <w:t>University of Louisville                                                                                                                                            Louisville, KY</w:t>
      </w:r>
    </w:p>
    <w:p w14:paraId="4D0A2F21" w14:textId="77777777" w:rsidR="0059525F" w:rsidRDefault="00E47AAA">
      <w:pPr>
        <w:widowControl w:val="0"/>
        <w:autoSpaceDE w:val="0"/>
        <w:autoSpaceDN w:val="0"/>
        <w:adjustRightInd w:val="0"/>
        <w:spacing w:after="0" w:line="240" w:lineRule="auto"/>
        <w:rPr>
          <w:rStyle w:val="selectable-text1"/>
          <w:b/>
          <w:color w:val="0070C0"/>
          <w:sz w:val="19"/>
          <w:szCs w:val="19"/>
        </w:rPr>
      </w:pPr>
      <w:r>
        <w:rPr>
          <w:rStyle w:val="selectable-text1"/>
          <w:b/>
          <w:color w:val="0070C0"/>
          <w:sz w:val="19"/>
          <w:szCs w:val="19"/>
        </w:rPr>
        <w:t>Graduate Student Assistant (GSA) IT Coordinator / Reporting Analyst</w:t>
      </w:r>
      <w:r>
        <w:rPr>
          <w:rStyle w:val="selectable-text1"/>
          <w:rFonts w:cstheme="minorHAnsi"/>
          <w:b/>
          <w:color w:val="0070C0"/>
          <w:sz w:val="19"/>
          <w:szCs w:val="19"/>
        </w:rPr>
        <w:tab/>
        <w:t xml:space="preserve">                                               </w:t>
      </w:r>
      <w:r>
        <w:rPr>
          <w:rStyle w:val="selectable-text1"/>
          <w:b/>
          <w:color w:val="0070C0"/>
          <w:sz w:val="19"/>
          <w:szCs w:val="19"/>
        </w:rPr>
        <w:t>Aug-2010 – May-2012</w:t>
      </w:r>
    </w:p>
    <w:p w14:paraId="1ABED1F1" w14:textId="7F8C7AA5" w:rsidR="0059525F" w:rsidRDefault="00E47AAA">
      <w:pPr>
        <w:pStyle w:val="ListParagraph"/>
        <w:widowControl w:val="0"/>
        <w:numPr>
          <w:ilvl w:val="0"/>
          <w:numId w:val="3"/>
        </w:numPr>
        <w:autoSpaceDE w:val="0"/>
        <w:autoSpaceDN w:val="0"/>
        <w:adjustRightInd w:val="0"/>
        <w:spacing w:after="0" w:line="240" w:lineRule="auto"/>
        <w:rPr>
          <w:sz w:val="19"/>
          <w:szCs w:val="19"/>
        </w:rPr>
      </w:pPr>
      <w:r>
        <w:rPr>
          <w:sz w:val="19"/>
          <w:szCs w:val="19"/>
        </w:rPr>
        <w:t>Automated student data reports</w:t>
      </w:r>
      <w:r w:rsidR="00E21CB4">
        <w:rPr>
          <w:sz w:val="19"/>
          <w:szCs w:val="19"/>
        </w:rPr>
        <w:t xml:space="preserve"> from Excel to Tableau</w:t>
      </w:r>
      <w:r>
        <w:rPr>
          <w:sz w:val="19"/>
          <w:szCs w:val="19"/>
        </w:rPr>
        <w:t xml:space="preserve">, improving accuracy and cutting delivery time for academic departments.  </w:t>
      </w:r>
    </w:p>
    <w:p w14:paraId="2588D2EF" w14:textId="2FD0919E" w:rsidR="0059525F" w:rsidRDefault="00E47AAA">
      <w:pPr>
        <w:pStyle w:val="ListParagraph"/>
        <w:widowControl w:val="0"/>
        <w:numPr>
          <w:ilvl w:val="0"/>
          <w:numId w:val="3"/>
        </w:numPr>
        <w:autoSpaceDE w:val="0"/>
        <w:autoSpaceDN w:val="0"/>
        <w:adjustRightInd w:val="0"/>
        <w:spacing w:after="0" w:line="240" w:lineRule="auto"/>
        <w:rPr>
          <w:sz w:val="19"/>
          <w:szCs w:val="19"/>
        </w:rPr>
      </w:pPr>
      <w:r>
        <w:rPr>
          <w:sz w:val="19"/>
          <w:szCs w:val="19"/>
        </w:rPr>
        <w:t>Developed</w:t>
      </w:r>
      <w:r w:rsidR="00E21CB4">
        <w:rPr>
          <w:sz w:val="19"/>
          <w:szCs w:val="19"/>
        </w:rPr>
        <w:t xml:space="preserve"> Tableau</w:t>
      </w:r>
      <w:r>
        <w:rPr>
          <w:sz w:val="19"/>
          <w:szCs w:val="19"/>
        </w:rPr>
        <w:t xml:space="preserve"> reporting dashboards, giving faculty instant access to performance and enrollment trends.  </w:t>
      </w:r>
    </w:p>
    <w:p w14:paraId="0D10E023" w14:textId="77777777" w:rsidR="0059525F" w:rsidRDefault="00E47AAA">
      <w:pPr>
        <w:pStyle w:val="ListParagraph"/>
        <w:widowControl w:val="0"/>
        <w:numPr>
          <w:ilvl w:val="0"/>
          <w:numId w:val="3"/>
        </w:numPr>
        <w:autoSpaceDE w:val="0"/>
        <w:autoSpaceDN w:val="0"/>
        <w:adjustRightInd w:val="0"/>
        <w:spacing w:after="0" w:line="240" w:lineRule="auto"/>
        <w:rPr>
          <w:sz w:val="19"/>
          <w:szCs w:val="19"/>
        </w:rPr>
      </w:pPr>
      <w:r>
        <w:rPr>
          <w:sz w:val="19"/>
          <w:szCs w:val="19"/>
        </w:rPr>
        <w:t>Partnered with IT and admin teams to streamline data workflows, enhancing decision-making across programs.</w:t>
      </w:r>
    </w:p>
    <w:p w14:paraId="5B7352DD" w14:textId="77777777" w:rsidR="0059525F" w:rsidRDefault="0059525F">
      <w:pPr>
        <w:pStyle w:val="ListParagraph"/>
        <w:widowControl w:val="0"/>
        <w:autoSpaceDE w:val="0"/>
        <w:autoSpaceDN w:val="0"/>
        <w:adjustRightInd w:val="0"/>
        <w:spacing w:after="0" w:line="240" w:lineRule="auto"/>
        <w:ind w:left="0"/>
        <w:rPr>
          <w:sz w:val="19"/>
          <w:szCs w:val="19"/>
        </w:rPr>
      </w:pPr>
    </w:p>
    <w:p w14:paraId="723ED24E" w14:textId="77777777" w:rsidR="0059525F" w:rsidRDefault="0059525F">
      <w:pPr>
        <w:pStyle w:val="ListParagraph"/>
        <w:widowControl w:val="0"/>
        <w:autoSpaceDE w:val="0"/>
        <w:autoSpaceDN w:val="0"/>
        <w:adjustRightInd w:val="0"/>
        <w:spacing w:after="0" w:line="120" w:lineRule="auto"/>
        <w:ind w:left="0"/>
        <w:rPr>
          <w:sz w:val="19"/>
          <w:szCs w:val="19"/>
        </w:rPr>
      </w:pPr>
    </w:p>
    <w:p w14:paraId="6F16FB5C" w14:textId="77777777" w:rsidR="0059525F" w:rsidRDefault="00E47AAA">
      <w:pPr>
        <w:widowControl w:val="0"/>
        <w:pBdr>
          <w:top w:val="single" w:sz="4" w:space="0" w:color="auto"/>
          <w:bottom w:val="single" w:sz="4" w:space="1" w:color="auto"/>
        </w:pBdr>
        <w:autoSpaceDE w:val="0"/>
        <w:autoSpaceDN w:val="0"/>
        <w:adjustRightInd w:val="0"/>
        <w:spacing w:after="0" w:line="240" w:lineRule="auto"/>
        <w:ind w:firstLineChars="1850" w:firstLine="4086"/>
        <w:jc w:val="both"/>
        <w:rPr>
          <w:rFonts w:eastAsia="Californian FB" w:cstheme="minorHAnsi"/>
          <w:sz w:val="19"/>
          <w:szCs w:val="19"/>
        </w:rPr>
        <w:sectPr w:rsidR="0059525F">
          <w:type w:val="continuous"/>
          <w:pgSz w:w="12240" w:h="15840"/>
          <w:pgMar w:top="720" w:right="720" w:bottom="720" w:left="720" w:header="720" w:footer="720" w:gutter="0"/>
          <w:pgBorders w:offsetFrom="page">
            <w:top w:val="single" w:sz="12" w:space="24" w:color="1F497D" w:themeColor="text2"/>
            <w:left w:val="single" w:sz="12" w:space="24" w:color="1F497D" w:themeColor="text2"/>
            <w:bottom w:val="single" w:sz="12" w:space="24" w:color="1F497D" w:themeColor="text2"/>
            <w:right w:val="single" w:sz="12" w:space="24" w:color="1F497D" w:themeColor="text2"/>
          </w:pgBorders>
          <w:cols w:space="720"/>
          <w:docGrid w:linePitch="360"/>
        </w:sectPr>
      </w:pPr>
      <w:r>
        <w:rPr>
          <w:b/>
          <w:color w:val="0070C0"/>
        </w:rPr>
        <w:t>EDUCATION BACKGROUND</w:t>
      </w:r>
    </w:p>
    <w:p w14:paraId="5FB5F088" w14:textId="77777777" w:rsidR="0059525F" w:rsidRDefault="0059525F">
      <w:pPr>
        <w:pStyle w:val="ListParagraph"/>
        <w:widowControl w:val="0"/>
        <w:autoSpaceDE w:val="0"/>
        <w:autoSpaceDN w:val="0"/>
        <w:adjustRightInd w:val="0"/>
        <w:spacing w:after="0" w:line="96" w:lineRule="auto"/>
        <w:ind w:left="0"/>
        <w:rPr>
          <w:sz w:val="19"/>
          <w:szCs w:val="19"/>
        </w:rPr>
      </w:pPr>
    </w:p>
    <w:p w14:paraId="61D971D6" w14:textId="77777777" w:rsidR="0059525F" w:rsidRDefault="0059525F">
      <w:pPr>
        <w:pStyle w:val="ListParagraph"/>
        <w:widowControl w:val="0"/>
        <w:autoSpaceDE w:val="0"/>
        <w:autoSpaceDN w:val="0"/>
        <w:adjustRightInd w:val="0"/>
        <w:spacing w:after="0" w:line="120" w:lineRule="auto"/>
        <w:ind w:left="0"/>
        <w:rPr>
          <w:sz w:val="19"/>
          <w:szCs w:val="19"/>
        </w:rPr>
      </w:pPr>
    </w:p>
    <w:p w14:paraId="6DF1162D" w14:textId="1C2D6962" w:rsidR="0059525F" w:rsidRDefault="00E47AAA">
      <w:pPr>
        <w:pStyle w:val="ListParagraph"/>
        <w:widowControl w:val="0"/>
        <w:numPr>
          <w:ilvl w:val="0"/>
          <w:numId w:val="3"/>
        </w:numPr>
        <w:autoSpaceDE w:val="0"/>
        <w:autoSpaceDN w:val="0"/>
        <w:adjustRightInd w:val="0"/>
        <w:spacing w:after="0" w:line="240" w:lineRule="auto"/>
        <w:rPr>
          <w:b/>
          <w:bCs/>
          <w:sz w:val="19"/>
          <w:szCs w:val="19"/>
        </w:rPr>
      </w:pPr>
      <w:r>
        <w:rPr>
          <w:b/>
          <w:bCs/>
          <w:sz w:val="19"/>
          <w:szCs w:val="19"/>
        </w:rPr>
        <w:t>Master of Business Administration (MBA), Strategy &amp; Global Business-</w:t>
      </w:r>
      <w:r>
        <w:rPr>
          <w:sz w:val="19"/>
          <w:szCs w:val="19"/>
        </w:rPr>
        <w:t xml:space="preserve"> University of </w:t>
      </w:r>
      <w:r w:rsidR="007B2D46">
        <w:rPr>
          <w:sz w:val="19"/>
          <w:szCs w:val="19"/>
        </w:rPr>
        <w:t>Louisville,</w:t>
      </w:r>
      <w:r>
        <w:rPr>
          <w:sz w:val="19"/>
          <w:szCs w:val="19"/>
        </w:rPr>
        <w:t xml:space="preserve"> Louisville, KY (</w:t>
      </w:r>
      <w:r w:rsidR="007B2D46">
        <w:rPr>
          <w:sz w:val="19"/>
          <w:szCs w:val="19"/>
        </w:rPr>
        <w:t>May 2012</w:t>
      </w:r>
      <w:r>
        <w:rPr>
          <w:sz w:val="19"/>
          <w:szCs w:val="19"/>
        </w:rPr>
        <w:t>)</w:t>
      </w:r>
    </w:p>
    <w:p w14:paraId="54ECAAB7" w14:textId="77777777" w:rsidR="0059525F" w:rsidRDefault="0059525F">
      <w:pPr>
        <w:pStyle w:val="ListParagraph"/>
        <w:widowControl w:val="0"/>
        <w:autoSpaceDE w:val="0"/>
        <w:autoSpaceDN w:val="0"/>
        <w:adjustRightInd w:val="0"/>
        <w:spacing w:after="0" w:line="120" w:lineRule="auto"/>
        <w:ind w:left="0"/>
        <w:rPr>
          <w:b/>
          <w:bCs/>
          <w:sz w:val="19"/>
          <w:szCs w:val="19"/>
        </w:rPr>
      </w:pPr>
    </w:p>
    <w:p w14:paraId="165E1DC0" w14:textId="77777777" w:rsidR="0059525F" w:rsidRDefault="00E47AAA">
      <w:pPr>
        <w:pStyle w:val="ListParagraph"/>
        <w:widowControl w:val="0"/>
        <w:numPr>
          <w:ilvl w:val="0"/>
          <w:numId w:val="3"/>
        </w:numPr>
        <w:autoSpaceDE w:val="0"/>
        <w:autoSpaceDN w:val="0"/>
        <w:adjustRightInd w:val="0"/>
        <w:spacing w:after="0" w:line="240" w:lineRule="auto"/>
        <w:rPr>
          <w:sz w:val="19"/>
          <w:szCs w:val="19"/>
        </w:rPr>
      </w:pPr>
      <w:r>
        <w:rPr>
          <w:b/>
          <w:bCs/>
          <w:sz w:val="19"/>
          <w:szCs w:val="19"/>
        </w:rPr>
        <w:t xml:space="preserve">Master of Accountancy- </w:t>
      </w:r>
      <w:r>
        <w:rPr>
          <w:sz w:val="19"/>
          <w:szCs w:val="19"/>
        </w:rPr>
        <w:t>University of Louisville, Louisville, KY (May 2012)</w:t>
      </w:r>
    </w:p>
    <w:p w14:paraId="33A81E7A" w14:textId="77777777" w:rsidR="0059525F" w:rsidRDefault="00E47AAA">
      <w:pPr>
        <w:pStyle w:val="ListParagraph"/>
        <w:widowControl w:val="0"/>
        <w:autoSpaceDE w:val="0"/>
        <w:autoSpaceDN w:val="0"/>
        <w:adjustRightInd w:val="0"/>
        <w:spacing w:after="0" w:line="120" w:lineRule="auto"/>
        <w:ind w:left="0"/>
        <w:rPr>
          <w:sz w:val="19"/>
          <w:szCs w:val="19"/>
        </w:rPr>
      </w:pPr>
      <w:r>
        <w:rPr>
          <w:b/>
          <w:bCs/>
          <w:sz w:val="19"/>
          <w:szCs w:val="19"/>
        </w:rPr>
        <w:t xml:space="preserve"> </w:t>
      </w:r>
    </w:p>
    <w:p w14:paraId="53A5EBFC" w14:textId="4381B40C" w:rsidR="0059525F" w:rsidRDefault="00E47AAA">
      <w:pPr>
        <w:pStyle w:val="ListParagraph"/>
        <w:widowControl w:val="0"/>
        <w:numPr>
          <w:ilvl w:val="0"/>
          <w:numId w:val="3"/>
        </w:numPr>
        <w:autoSpaceDE w:val="0"/>
        <w:autoSpaceDN w:val="0"/>
        <w:adjustRightInd w:val="0"/>
        <w:spacing w:after="0" w:line="240" w:lineRule="auto"/>
        <w:rPr>
          <w:sz w:val="19"/>
          <w:szCs w:val="19"/>
        </w:rPr>
      </w:pPr>
      <w:r>
        <w:rPr>
          <w:b/>
          <w:bCs/>
          <w:sz w:val="19"/>
          <w:szCs w:val="19"/>
        </w:rPr>
        <w:t>Bachelor of Business Administration in Accounting</w:t>
      </w:r>
      <w:r>
        <w:rPr>
          <w:sz w:val="19"/>
          <w:szCs w:val="19"/>
        </w:rPr>
        <w:t xml:space="preserve"> Lindsey Wilson </w:t>
      </w:r>
      <w:r w:rsidR="007B2D46">
        <w:rPr>
          <w:sz w:val="19"/>
          <w:szCs w:val="19"/>
        </w:rPr>
        <w:t>College, Columbia</w:t>
      </w:r>
      <w:r>
        <w:rPr>
          <w:sz w:val="19"/>
          <w:szCs w:val="19"/>
        </w:rPr>
        <w:t>, KY (May 2004)</w:t>
      </w:r>
    </w:p>
    <w:p w14:paraId="1F5B0F32" w14:textId="77777777" w:rsidR="0059525F" w:rsidRDefault="0059525F">
      <w:pPr>
        <w:pStyle w:val="ListParagraph"/>
        <w:widowControl w:val="0"/>
        <w:autoSpaceDE w:val="0"/>
        <w:autoSpaceDN w:val="0"/>
        <w:adjustRightInd w:val="0"/>
        <w:spacing w:after="0" w:line="240" w:lineRule="auto"/>
        <w:ind w:left="0"/>
        <w:rPr>
          <w:sz w:val="19"/>
          <w:szCs w:val="19"/>
        </w:rPr>
      </w:pPr>
    </w:p>
    <w:p w14:paraId="0362B32E" w14:textId="77777777" w:rsidR="0059525F" w:rsidRDefault="0059525F">
      <w:pPr>
        <w:pStyle w:val="ListParagraph"/>
        <w:widowControl w:val="0"/>
        <w:autoSpaceDE w:val="0"/>
        <w:autoSpaceDN w:val="0"/>
        <w:adjustRightInd w:val="0"/>
        <w:spacing w:after="0" w:line="120" w:lineRule="auto"/>
        <w:ind w:left="0"/>
        <w:rPr>
          <w:sz w:val="19"/>
          <w:szCs w:val="19"/>
        </w:rPr>
      </w:pPr>
    </w:p>
    <w:p w14:paraId="7C80A028" w14:textId="77777777" w:rsidR="0059525F" w:rsidRDefault="0059525F">
      <w:pPr>
        <w:pStyle w:val="ListParagraph"/>
        <w:widowControl w:val="0"/>
        <w:autoSpaceDE w:val="0"/>
        <w:autoSpaceDN w:val="0"/>
        <w:adjustRightInd w:val="0"/>
        <w:spacing w:after="0" w:line="120" w:lineRule="auto"/>
        <w:ind w:left="0"/>
        <w:rPr>
          <w:sz w:val="19"/>
          <w:szCs w:val="19"/>
        </w:rPr>
      </w:pPr>
    </w:p>
    <w:p w14:paraId="6D8D246D" w14:textId="77777777" w:rsidR="0059525F" w:rsidRDefault="00E47AAA">
      <w:pPr>
        <w:widowControl w:val="0"/>
        <w:pBdr>
          <w:top w:val="single" w:sz="4" w:space="0" w:color="auto"/>
          <w:bottom w:val="single" w:sz="4" w:space="1" w:color="auto"/>
        </w:pBdr>
        <w:autoSpaceDE w:val="0"/>
        <w:autoSpaceDN w:val="0"/>
        <w:adjustRightInd w:val="0"/>
        <w:spacing w:after="0" w:line="240" w:lineRule="auto"/>
        <w:ind w:firstLineChars="2050" w:firstLine="4528"/>
        <w:jc w:val="both"/>
        <w:rPr>
          <w:rFonts w:eastAsia="Californian FB" w:cstheme="minorHAnsi"/>
          <w:sz w:val="19"/>
          <w:szCs w:val="19"/>
        </w:rPr>
        <w:sectPr w:rsidR="0059525F">
          <w:type w:val="continuous"/>
          <w:pgSz w:w="12240" w:h="15840"/>
          <w:pgMar w:top="720" w:right="720" w:bottom="720" w:left="720" w:header="720" w:footer="720" w:gutter="0"/>
          <w:pgBorders w:offsetFrom="page">
            <w:top w:val="single" w:sz="12" w:space="24" w:color="1F497D" w:themeColor="text2"/>
            <w:left w:val="single" w:sz="12" w:space="24" w:color="1F497D" w:themeColor="text2"/>
            <w:bottom w:val="single" w:sz="12" w:space="24" w:color="1F497D" w:themeColor="text2"/>
            <w:right w:val="single" w:sz="12" w:space="24" w:color="1F497D" w:themeColor="text2"/>
          </w:pgBorders>
          <w:cols w:space="720"/>
          <w:docGrid w:linePitch="360"/>
        </w:sectPr>
      </w:pPr>
      <w:r>
        <w:rPr>
          <w:b/>
          <w:color w:val="0070C0"/>
        </w:rPr>
        <w:t>CERTIFICATIONS</w:t>
      </w:r>
    </w:p>
    <w:p w14:paraId="5ABB5A37" w14:textId="77777777" w:rsidR="0059525F" w:rsidRDefault="0059525F">
      <w:pPr>
        <w:pStyle w:val="ListParagraph"/>
        <w:widowControl w:val="0"/>
        <w:autoSpaceDE w:val="0"/>
        <w:autoSpaceDN w:val="0"/>
        <w:adjustRightInd w:val="0"/>
        <w:spacing w:after="0" w:line="96" w:lineRule="auto"/>
        <w:ind w:left="0"/>
        <w:rPr>
          <w:sz w:val="19"/>
          <w:szCs w:val="19"/>
        </w:rPr>
      </w:pPr>
    </w:p>
    <w:p w14:paraId="6080CA1E" w14:textId="77777777" w:rsidR="0059525F" w:rsidRDefault="0059525F">
      <w:pPr>
        <w:pStyle w:val="ListParagraph"/>
        <w:widowControl w:val="0"/>
        <w:autoSpaceDE w:val="0"/>
        <w:autoSpaceDN w:val="0"/>
        <w:adjustRightInd w:val="0"/>
        <w:spacing w:after="0" w:line="120" w:lineRule="auto"/>
        <w:ind w:left="0"/>
        <w:rPr>
          <w:sz w:val="19"/>
          <w:szCs w:val="19"/>
        </w:rPr>
      </w:pPr>
    </w:p>
    <w:p w14:paraId="4973E945" w14:textId="77777777" w:rsidR="00E21CB4" w:rsidRDefault="00E21CB4" w:rsidP="00E21CB4">
      <w:pPr>
        <w:pStyle w:val="ListParagraph"/>
        <w:widowControl w:val="0"/>
        <w:numPr>
          <w:ilvl w:val="0"/>
          <w:numId w:val="3"/>
        </w:numPr>
        <w:autoSpaceDE w:val="0"/>
        <w:autoSpaceDN w:val="0"/>
        <w:adjustRightInd w:val="0"/>
        <w:spacing w:after="0" w:line="240" w:lineRule="auto"/>
        <w:rPr>
          <w:b/>
          <w:bCs/>
          <w:sz w:val="19"/>
          <w:szCs w:val="19"/>
        </w:rPr>
      </w:pPr>
      <w:r>
        <w:rPr>
          <w:sz w:val="19"/>
          <w:szCs w:val="19"/>
        </w:rPr>
        <w:t>Tableau Certified Data Analyst</w:t>
      </w:r>
    </w:p>
    <w:p w14:paraId="14B3022F" w14:textId="77777777" w:rsidR="00E21CB4" w:rsidRDefault="00E21CB4" w:rsidP="00E21CB4">
      <w:pPr>
        <w:pStyle w:val="ListParagraph"/>
        <w:widowControl w:val="0"/>
        <w:autoSpaceDE w:val="0"/>
        <w:autoSpaceDN w:val="0"/>
        <w:adjustRightInd w:val="0"/>
        <w:spacing w:after="0" w:line="240" w:lineRule="auto"/>
        <w:ind w:left="360"/>
        <w:rPr>
          <w:sz w:val="19"/>
          <w:szCs w:val="19"/>
        </w:rPr>
      </w:pPr>
    </w:p>
    <w:p w14:paraId="47D6CE72" w14:textId="6F6F1CDB" w:rsidR="0059525F" w:rsidRDefault="00E47AAA">
      <w:pPr>
        <w:pStyle w:val="ListParagraph"/>
        <w:widowControl w:val="0"/>
        <w:numPr>
          <w:ilvl w:val="0"/>
          <w:numId w:val="3"/>
        </w:numPr>
        <w:autoSpaceDE w:val="0"/>
        <w:autoSpaceDN w:val="0"/>
        <w:adjustRightInd w:val="0"/>
        <w:spacing w:after="0" w:line="240" w:lineRule="auto"/>
        <w:rPr>
          <w:sz w:val="19"/>
          <w:szCs w:val="19"/>
        </w:rPr>
      </w:pPr>
      <w:r>
        <w:rPr>
          <w:sz w:val="19"/>
          <w:szCs w:val="19"/>
        </w:rPr>
        <w:t>SAFe® 5.0 Certified Scrum Master (SSM)</w:t>
      </w:r>
    </w:p>
    <w:p w14:paraId="286FEE9F" w14:textId="77777777" w:rsidR="0059525F" w:rsidRDefault="0059525F">
      <w:pPr>
        <w:pStyle w:val="ListParagraph"/>
        <w:widowControl w:val="0"/>
        <w:autoSpaceDE w:val="0"/>
        <w:autoSpaceDN w:val="0"/>
        <w:adjustRightInd w:val="0"/>
        <w:spacing w:after="0" w:line="120" w:lineRule="auto"/>
        <w:ind w:left="0"/>
        <w:rPr>
          <w:sz w:val="19"/>
          <w:szCs w:val="19"/>
        </w:rPr>
      </w:pPr>
    </w:p>
    <w:p w14:paraId="6922100B" w14:textId="77777777" w:rsidR="0059525F" w:rsidRDefault="00E47AAA">
      <w:pPr>
        <w:pStyle w:val="ListParagraph"/>
        <w:widowControl w:val="0"/>
        <w:numPr>
          <w:ilvl w:val="0"/>
          <w:numId w:val="3"/>
        </w:numPr>
        <w:autoSpaceDE w:val="0"/>
        <w:autoSpaceDN w:val="0"/>
        <w:adjustRightInd w:val="0"/>
        <w:spacing w:after="0" w:line="240" w:lineRule="auto"/>
        <w:rPr>
          <w:sz w:val="19"/>
          <w:szCs w:val="19"/>
        </w:rPr>
      </w:pPr>
      <w:r>
        <w:rPr>
          <w:sz w:val="19"/>
          <w:szCs w:val="19"/>
        </w:rPr>
        <w:t>Professional Scrum Master™ I (PSM I)</w:t>
      </w:r>
    </w:p>
    <w:p w14:paraId="5ACE5E5F" w14:textId="77777777" w:rsidR="0059525F" w:rsidRDefault="0059525F">
      <w:pPr>
        <w:pStyle w:val="ListParagraph"/>
        <w:widowControl w:val="0"/>
        <w:autoSpaceDE w:val="0"/>
        <w:autoSpaceDN w:val="0"/>
        <w:adjustRightInd w:val="0"/>
        <w:spacing w:after="0" w:line="120" w:lineRule="auto"/>
        <w:ind w:left="0"/>
        <w:rPr>
          <w:sz w:val="19"/>
          <w:szCs w:val="19"/>
        </w:rPr>
      </w:pPr>
    </w:p>
    <w:p w14:paraId="42C878B0" w14:textId="77777777" w:rsidR="0059525F" w:rsidRDefault="0059525F">
      <w:pPr>
        <w:pStyle w:val="ListParagraph"/>
        <w:widowControl w:val="0"/>
        <w:autoSpaceDE w:val="0"/>
        <w:autoSpaceDN w:val="0"/>
        <w:adjustRightInd w:val="0"/>
        <w:spacing w:after="0" w:line="240" w:lineRule="auto"/>
        <w:ind w:left="0"/>
        <w:rPr>
          <w:b/>
          <w:bCs/>
          <w:sz w:val="19"/>
          <w:szCs w:val="19"/>
        </w:rPr>
      </w:pPr>
    </w:p>
    <w:p w14:paraId="1FCAC21E" w14:textId="77777777" w:rsidR="0059525F" w:rsidRDefault="0059525F">
      <w:pPr>
        <w:pStyle w:val="ListParagraph"/>
        <w:widowControl w:val="0"/>
        <w:autoSpaceDE w:val="0"/>
        <w:autoSpaceDN w:val="0"/>
        <w:adjustRightInd w:val="0"/>
        <w:spacing w:after="0" w:line="240" w:lineRule="auto"/>
        <w:ind w:left="0"/>
        <w:rPr>
          <w:b/>
          <w:bCs/>
          <w:sz w:val="19"/>
          <w:szCs w:val="19"/>
        </w:rPr>
      </w:pPr>
    </w:p>
    <w:sectPr w:rsidR="0059525F">
      <w:type w:val="continuous"/>
      <w:pgSz w:w="12240" w:h="15840"/>
      <w:pgMar w:top="720" w:right="720" w:bottom="634" w:left="720" w:header="720" w:footer="720" w:gutter="0"/>
      <w:pgBorders w:offsetFrom="page">
        <w:top w:val="single" w:sz="12" w:space="24" w:color="1F497D" w:themeColor="text2"/>
        <w:left w:val="single" w:sz="12" w:space="24" w:color="1F497D" w:themeColor="text2"/>
        <w:bottom w:val="single" w:sz="12" w:space="24" w:color="1F497D" w:themeColor="text2"/>
        <w:right w:val="single" w:sz="12" w:space="24" w:color="1F497D" w:themeColor="text2"/>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CCDE63" w14:textId="77777777" w:rsidR="006A3EB1" w:rsidRDefault="006A3EB1">
      <w:pPr>
        <w:spacing w:line="240" w:lineRule="auto"/>
      </w:pPr>
      <w:r>
        <w:separator/>
      </w:r>
    </w:p>
  </w:endnote>
  <w:endnote w:type="continuationSeparator" w:id="0">
    <w:p w14:paraId="07766E39" w14:textId="77777777" w:rsidR="006A3EB1" w:rsidRDefault="006A3E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fornian FB">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077351" w14:textId="77777777" w:rsidR="006A3EB1" w:rsidRDefault="006A3EB1">
      <w:pPr>
        <w:spacing w:after="0"/>
      </w:pPr>
      <w:r>
        <w:separator/>
      </w:r>
    </w:p>
  </w:footnote>
  <w:footnote w:type="continuationSeparator" w:id="0">
    <w:p w14:paraId="3BC344F9" w14:textId="77777777" w:rsidR="006A3EB1" w:rsidRDefault="006A3EB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324DDD"/>
    <w:multiLevelType w:val="multilevel"/>
    <w:tmpl w:val="15324DDD"/>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209C3BEB"/>
    <w:multiLevelType w:val="multilevel"/>
    <w:tmpl w:val="209C3BEB"/>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77DA31A5"/>
    <w:multiLevelType w:val="multilevel"/>
    <w:tmpl w:val="77DA31A5"/>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16cid:durableId="578247270">
    <w:abstractNumId w:val="0"/>
  </w:num>
  <w:num w:numId="2" w16cid:durableId="395128805">
    <w:abstractNumId w:val="2"/>
  </w:num>
  <w:num w:numId="3" w16cid:durableId="2028386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F95"/>
    <w:rsid w:val="00006F95"/>
    <w:rsid w:val="00010447"/>
    <w:rsid w:val="000142E2"/>
    <w:rsid w:val="000158A8"/>
    <w:rsid w:val="00016212"/>
    <w:rsid w:val="00021AD1"/>
    <w:rsid w:val="0002353A"/>
    <w:rsid w:val="0002462B"/>
    <w:rsid w:val="00024886"/>
    <w:rsid w:val="000312C0"/>
    <w:rsid w:val="00032357"/>
    <w:rsid w:val="00034878"/>
    <w:rsid w:val="00041080"/>
    <w:rsid w:val="00043C24"/>
    <w:rsid w:val="00050337"/>
    <w:rsid w:val="00051829"/>
    <w:rsid w:val="00061B4E"/>
    <w:rsid w:val="00064D4E"/>
    <w:rsid w:val="00064E6A"/>
    <w:rsid w:val="00070ED0"/>
    <w:rsid w:val="00074E9A"/>
    <w:rsid w:val="00080051"/>
    <w:rsid w:val="00081E03"/>
    <w:rsid w:val="00082F1E"/>
    <w:rsid w:val="00097093"/>
    <w:rsid w:val="000B1164"/>
    <w:rsid w:val="000B2DC8"/>
    <w:rsid w:val="000B4AFD"/>
    <w:rsid w:val="000B717F"/>
    <w:rsid w:val="000C10EB"/>
    <w:rsid w:val="000C2A60"/>
    <w:rsid w:val="000D0ECF"/>
    <w:rsid w:val="000D1742"/>
    <w:rsid w:val="000D2DA5"/>
    <w:rsid w:val="000D3CF6"/>
    <w:rsid w:val="000D6F1F"/>
    <w:rsid w:val="000E049A"/>
    <w:rsid w:val="000E18BD"/>
    <w:rsid w:val="000E5BC6"/>
    <w:rsid w:val="000E76C5"/>
    <w:rsid w:val="000F30D3"/>
    <w:rsid w:val="000F3C12"/>
    <w:rsid w:val="00105446"/>
    <w:rsid w:val="00106E3C"/>
    <w:rsid w:val="00113E3F"/>
    <w:rsid w:val="00125513"/>
    <w:rsid w:val="001311DB"/>
    <w:rsid w:val="00133FF0"/>
    <w:rsid w:val="00135BDF"/>
    <w:rsid w:val="00140895"/>
    <w:rsid w:val="001430A9"/>
    <w:rsid w:val="001430E1"/>
    <w:rsid w:val="0014624D"/>
    <w:rsid w:val="0015085A"/>
    <w:rsid w:val="00152A1C"/>
    <w:rsid w:val="0015736A"/>
    <w:rsid w:val="00170813"/>
    <w:rsid w:val="00173376"/>
    <w:rsid w:val="00174447"/>
    <w:rsid w:val="00175733"/>
    <w:rsid w:val="001830C1"/>
    <w:rsid w:val="00193525"/>
    <w:rsid w:val="001944E8"/>
    <w:rsid w:val="00197598"/>
    <w:rsid w:val="001A108D"/>
    <w:rsid w:val="001A193B"/>
    <w:rsid w:val="001A1D12"/>
    <w:rsid w:val="001A36F6"/>
    <w:rsid w:val="001A4E1C"/>
    <w:rsid w:val="001A5DB1"/>
    <w:rsid w:val="001A5EF8"/>
    <w:rsid w:val="001A6DDF"/>
    <w:rsid w:val="001A70C3"/>
    <w:rsid w:val="001B2AC4"/>
    <w:rsid w:val="001B4CA2"/>
    <w:rsid w:val="001B6927"/>
    <w:rsid w:val="001B6F72"/>
    <w:rsid w:val="001B761B"/>
    <w:rsid w:val="001C54AD"/>
    <w:rsid w:val="001C67DE"/>
    <w:rsid w:val="001D2FCC"/>
    <w:rsid w:val="001E02B2"/>
    <w:rsid w:val="001E1C8C"/>
    <w:rsid w:val="001F125C"/>
    <w:rsid w:val="001F1ABA"/>
    <w:rsid w:val="001F2C8E"/>
    <w:rsid w:val="001F5E67"/>
    <w:rsid w:val="001F5EDB"/>
    <w:rsid w:val="00202209"/>
    <w:rsid w:val="0020293A"/>
    <w:rsid w:val="00214004"/>
    <w:rsid w:val="00220D2A"/>
    <w:rsid w:val="00231DA1"/>
    <w:rsid w:val="0023206B"/>
    <w:rsid w:val="0023376B"/>
    <w:rsid w:val="00237E99"/>
    <w:rsid w:val="0024266D"/>
    <w:rsid w:val="00242E94"/>
    <w:rsid w:val="00245A29"/>
    <w:rsid w:val="00250D0D"/>
    <w:rsid w:val="00251C75"/>
    <w:rsid w:val="0025240C"/>
    <w:rsid w:val="00254CEA"/>
    <w:rsid w:val="00255365"/>
    <w:rsid w:val="00261520"/>
    <w:rsid w:val="00264DA7"/>
    <w:rsid w:val="00265A33"/>
    <w:rsid w:val="00271CCE"/>
    <w:rsid w:val="00272EED"/>
    <w:rsid w:val="00272F84"/>
    <w:rsid w:val="0027378B"/>
    <w:rsid w:val="0027485F"/>
    <w:rsid w:val="002831B9"/>
    <w:rsid w:val="00283F97"/>
    <w:rsid w:val="00290238"/>
    <w:rsid w:val="0029093E"/>
    <w:rsid w:val="00294C2D"/>
    <w:rsid w:val="002A386A"/>
    <w:rsid w:val="002A3CEE"/>
    <w:rsid w:val="002A6456"/>
    <w:rsid w:val="002B4D88"/>
    <w:rsid w:val="002C123B"/>
    <w:rsid w:val="002D09ED"/>
    <w:rsid w:val="002D667D"/>
    <w:rsid w:val="002E108C"/>
    <w:rsid w:val="002E24AF"/>
    <w:rsid w:val="002E47C5"/>
    <w:rsid w:val="002E4A10"/>
    <w:rsid w:val="002E4A51"/>
    <w:rsid w:val="002E7CBD"/>
    <w:rsid w:val="002F3FCE"/>
    <w:rsid w:val="002F455D"/>
    <w:rsid w:val="002F4DD0"/>
    <w:rsid w:val="002F6275"/>
    <w:rsid w:val="002F6325"/>
    <w:rsid w:val="002F6450"/>
    <w:rsid w:val="003012D1"/>
    <w:rsid w:val="00302EE8"/>
    <w:rsid w:val="00304520"/>
    <w:rsid w:val="00304A75"/>
    <w:rsid w:val="00307E29"/>
    <w:rsid w:val="00310B8D"/>
    <w:rsid w:val="00317665"/>
    <w:rsid w:val="00321256"/>
    <w:rsid w:val="003233D1"/>
    <w:rsid w:val="0032526F"/>
    <w:rsid w:val="00325354"/>
    <w:rsid w:val="003277C3"/>
    <w:rsid w:val="003324AE"/>
    <w:rsid w:val="00335439"/>
    <w:rsid w:val="00344B75"/>
    <w:rsid w:val="00346F37"/>
    <w:rsid w:val="00347FDC"/>
    <w:rsid w:val="003646B5"/>
    <w:rsid w:val="00365266"/>
    <w:rsid w:val="0036676C"/>
    <w:rsid w:val="00366C13"/>
    <w:rsid w:val="003743A7"/>
    <w:rsid w:val="003807D1"/>
    <w:rsid w:val="00380BBF"/>
    <w:rsid w:val="00383528"/>
    <w:rsid w:val="00396F22"/>
    <w:rsid w:val="00397B35"/>
    <w:rsid w:val="00397BAD"/>
    <w:rsid w:val="003A0B3E"/>
    <w:rsid w:val="003A4DEE"/>
    <w:rsid w:val="003A5C19"/>
    <w:rsid w:val="003B0286"/>
    <w:rsid w:val="003B088A"/>
    <w:rsid w:val="003C0C15"/>
    <w:rsid w:val="003C2BB4"/>
    <w:rsid w:val="003C39C5"/>
    <w:rsid w:val="003C42E8"/>
    <w:rsid w:val="003D7873"/>
    <w:rsid w:val="003E2326"/>
    <w:rsid w:val="003E7BDB"/>
    <w:rsid w:val="003F1899"/>
    <w:rsid w:val="003F23DF"/>
    <w:rsid w:val="003F4BF3"/>
    <w:rsid w:val="003F6098"/>
    <w:rsid w:val="00404A78"/>
    <w:rsid w:val="00410237"/>
    <w:rsid w:val="00421AE5"/>
    <w:rsid w:val="00425F0F"/>
    <w:rsid w:val="00427B10"/>
    <w:rsid w:val="00433028"/>
    <w:rsid w:val="00437301"/>
    <w:rsid w:val="004437F6"/>
    <w:rsid w:val="00447ABF"/>
    <w:rsid w:val="00454AC0"/>
    <w:rsid w:val="00456A7C"/>
    <w:rsid w:val="00456B84"/>
    <w:rsid w:val="00464BCE"/>
    <w:rsid w:val="00467F28"/>
    <w:rsid w:val="0047017B"/>
    <w:rsid w:val="00471E64"/>
    <w:rsid w:val="0047359B"/>
    <w:rsid w:val="00483D71"/>
    <w:rsid w:val="004877DB"/>
    <w:rsid w:val="00493C6E"/>
    <w:rsid w:val="004952BC"/>
    <w:rsid w:val="00495A3C"/>
    <w:rsid w:val="004A55A3"/>
    <w:rsid w:val="004A6D60"/>
    <w:rsid w:val="004B4AD0"/>
    <w:rsid w:val="004B6A2F"/>
    <w:rsid w:val="004B713D"/>
    <w:rsid w:val="004B73D3"/>
    <w:rsid w:val="004C2F5F"/>
    <w:rsid w:val="004C524F"/>
    <w:rsid w:val="004D025C"/>
    <w:rsid w:val="004D47A8"/>
    <w:rsid w:val="004D516A"/>
    <w:rsid w:val="004D53B8"/>
    <w:rsid w:val="004D5B1E"/>
    <w:rsid w:val="004E066D"/>
    <w:rsid w:val="004E0A85"/>
    <w:rsid w:val="004E156B"/>
    <w:rsid w:val="004E200C"/>
    <w:rsid w:val="004E581A"/>
    <w:rsid w:val="005038D8"/>
    <w:rsid w:val="00505EEB"/>
    <w:rsid w:val="005122F7"/>
    <w:rsid w:val="00514890"/>
    <w:rsid w:val="00514A81"/>
    <w:rsid w:val="005162D7"/>
    <w:rsid w:val="00517C62"/>
    <w:rsid w:val="00522E45"/>
    <w:rsid w:val="00546EF7"/>
    <w:rsid w:val="005553E9"/>
    <w:rsid w:val="00557512"/>
    <w:rsid w:val="00565F45"/>
    <w:rsid w:val="00567353"/>
    <w:rsid w:val="0057103B"/>
    <w:rsid w:val="005726A7"/>
    <w:rsid w:val="005771EB"/>
    <w:rsid w:val="0058414C"/>
    <w:rsid w:val="00585A15"/>
    <w:rsid w:val="00585AE6"/>
    <w:rsid w:val="00586921"/>
    <w:rsid w:val="005872F5"/>
    <w:rsid w:val="00592DCE"/>
    <w:rsid w:val="00593012"/>
    <w:rsid w:val="00593C3D"/>
    <w:rsid w:val="0059525F"/>
    <w:rsid w:val="00595F64"/>
    <w:rsid w:val="00595FB1"/>
    <w:rsid w:val="005A27E7"/>
    <w:rsid w:val="005A601A"/>
    <w:rsid w:val="005C5961"/>
    <w:rsid w:val="005D5E04"/>
    <w:rsid w:val="005E2C30"/>
    <w:rsid w:val="005E695D"/>
    <w:rsid w:val="005F0ABF"/>
    <w:rsid w:val="005F2276"/>
    <w:rsid w:val="005F2360"/>
    <w:rsid w:val="005F324D"/>
    <w:rsid w:val="005F44CA"/>
    <w:rsid w:val="005F49FF"/>
    <w:rsid w:val="00607AC5"/>
    <w:rsid w:val="00611B31"/>
    <w:rsid w:val="00613A41"/>
    <w:rsid w:val="006153D4"/>
    <w:rsid w:val="00615B3B"/>
    <w:rsid w:val="00623728"/>
    <w:rsid w:val="0063459E"/>
    <w:rsid w:val="006347E1"/>
    <w:rsid w:val="00644573"/>
    <w:rsid w:val="006447B3"/>
    <w:rsid w:val="00652BBC"/>
    <w:rsid w:val="006657CD"/>
    <w:rsid w:val="00665E9F"/>
    <w:rsid w:val="00667E8F"/>
    <w:rsid w:val="00671871"/>
    <w:rsid w:val="00672B96"/>
    <w:rsid w:val="00675A85"/>
    <w:rsid w:val="00676FCD"/>
    <w:rsid w:val="006840A1"/>
    <w:rsid w:val="00687532"/>
    <w:rsid w:val="006906BC"/>
    <w:rsid w:val="00691AC7"/>
    <w:rsid w:val="00693A0A"/>
    <w:rsid w:val="00695EA3"/>
    <w:rsid w:val="006A3EB1"/>
    <w:rsid w:val="006A4439"/>
    <w:rsid w:val="006A6171"/>
    <w:rsid w:val="006B22F1"/>
    <w:rsid w:val="006C231F"/>
    <w:rsid w:val="006C3147"/>
    <w:rsid w:val="006C4550"/>
    <w:rsid w:val="006C5ACE"/>
    <w:rsid w:val="006C63E3"/>
    <w:rsid w:val="006C6B68"/>
    <w:rsid w:val="006D6BD7"/>
    <w:rsid w:val="006E0F98"/>
    <w:rsid w:val="006E4FC0"/>
    <w:rsid w:val="006F2993"/>
    <w:rsid w:val="006F68D2"/>
    <w:rsid w:val="00701C0B"/>
    <w:rsid w:val="00702897"/>
    <w:rsid w:val="0070563D"/>
    <w:rsid w:val="00712AAF"/>
    <w:rsid w:val="0071721C"/>
    <w:rsid w:val="00724F61"/>
    <w:rsid w:val="00727199"/>
    <w:rsid w:val="00730432"/>
    <w:rsid w:val="0073062A"/>
    <w:rsid w:val="00730953"/>
    <w:rsid w:val="00734BD1"/>
    <w:rsid w:val="00740274"/>
    <w:rsid w:val="00740979"/>
    <w:rsid w:val="00741BE6"/>
    <w:rsid w:val="007438E2"/>
    <w:rsid w:val="007510ED"/>
    <w:rsid w:val="0075488B"/>
    <w:rsid w:val="00754B24"/>
    <w:rsid w:val="007566C7"/>
    <w:rsid w:val="007633E7"/>
    <w:rsid w:val="007636B0"/>
    <w:rsid w:val="00776808"/>
    <w:rsid w:val="00785E1E"/>
    <w:rsid w:val="00786950"/>
    <w:rsid w:val="00796364"/>
    <w:rsid w:val="00796A0B"/>
    <w:rsid w:val="00796C2E"/>
    <w:rsid w:val="007A2439"/>
    <w:rsid w:val="007A50F2"/>
    <w:rsid w:val="007B2D46"/>
    <w:rsid w:val="007C0A61"/>
    <w:rsid w:val="007C69C1"/>
    <w:rsid w:val="007D20ED"/>
    <w:rsid w:val="007D2E91"/>
    <w:rsid w:val="007D567F"/>
    <w:rsid w:val="007D57D4"/>
    <w:rsid w:val="007D669B"/>
    <w:rsid w:val="00813357"/>
    <w:rsid w:val="008317DA"/>
    <w:rsid w:val="00833B73"/>
    <w:rsid w:val="00833CD4"/>
    <w:rsid w:val="00834BB9"/>
    <w:rsid w:val="00840D5D"/>
    <w:rsid w:val="00842EBB"/>
    <w:rsid w:val="008555E1"/>
    <w:rsid w:val="0086181A"/>
    <w:rsid w:val="00864069"/>
    <w:rsid w:val="00864B1B"/>
    <w:rsid w:val="00865362"/>
    <w:rsid w:val="00866CA0"/>
    <w:rsid w:val="0087498E"/>
    <w:rsid w:val="00874D16"/>
    <w:rsid w:val="0087500E"/>
    <w:rsid w:val="00880FE0"/>
    <w:rsid w:val="00882276"/>
    <w:rsid w:val="0088519F"/>
    <w:rsid w:val="008904F6"/>
    <w:rsid w:val="008919F9"/>
    <w:rsid w:val="00891A14"/>
    <w:rsid w:val="008944B4"/>
    <w:rsid w:val="008977AF"/>
    <w:rsid w:val="008A26C6"/>
    <w:rsid w:val="008A4B5C"/>
    <w:rsid w:val="008A67E3"/>
    <w:rsid w:val="008A6DF8"/>
    <w:rsid w:val="008A7011"/>
    <w:rsid w:val="008A78B9"/>
    <w:rsid w:val="008B3E29"/>
    <w:rsid w:val="008C0B64"/>
    <w:rsid w:val="008C3003"/>
    <w:rsid w:val="008C7304"/>
    <w:rsid w:val="008E1D30"/>
    <w:rsid w:val="008E2259"/>
    <w:rsid w:val="008E7BAF"/>
    <w:rsid w:val="008F243F"/>
    <w:rsid w:val="008F75DA"/>
    <w:rsid w:val="00900534"/>
    <w:rsid w:val="0090649D"/>
    <w:rsid w:val="00911A77"/>
    <w:rsid w:val="00914449"/>
    <w:rsid w:val="00925128"/>
    <w:rsid w:val="009263C1"/>
    <w:rsid w:val="009265EB"/>
    <w:rsid w:val="00927165"/>
    <w:rsid w:val="00931342"/>
    <w:rsid w:val="009315B9"/>
    <w:rsid w:val="009356E1"/>
    <w:rsid w:val="009379DE"/>
    <w:rsid w:val="00937E4A"/>
    <w:rsid w:val="00943E80"/>
    <w:rsid w:val="0095478E"/>
    <w:rsid w:val="00962853"/>
    <w:rsid w:val="00964879"/>
    <w:rsid w:val="00970B06"/>
    <w:rsid w:val="009721A4"/>
    <w:rsid w:val="009728AB"/>
    <w:rsid w:val="0097324F"/>
    <w:rsid w:val="009762D6"/>
    <w:rsid w:val="00977FFD"/>
    <w:rsid w:val="0098430E"/>
    <w:rsid w:val="009879C3"/>
    <w:rsid w:val="009944D5"/>
    <w:rsid w:val="00996549"/>
    <w:rsid w:val="009A1971"/>
    <w:rsid w:val="009A419F"/>
    <w:rsid w:val="009A61F3"/>
    <w:rsid w:val="009A7040"/>
    <w:rsid w:val="009B01A0"/>
    <w:rsid w:val="009B1E73"/>
    <w:rsid w:val="009B5079"/>
    <w:rsid w:val="009C3C5F"/>
    <w:rsid w:val="009C4DF9"/>
    <w:rsid w:val="009D4810"/>
    <w:rsid w:val="009D4880"/>
    <w:rsid w:val="009E4017"/>
    <w:rsid w:val="009E7B7A"/>
    <w:rsid w:val="009F14D4"/>
    <w:rsid w:val="009F45BB"/>
    <w:rsid w:val="009F5F19"/>
    <w:rsid w:val="009F77A9"/>
    <w:rsid w:val="00A01444"/>
    <w:rsid w:val="00A01D82"/>
    <w:rsid w:val="00A0272E"/>
    <w:rsid w:val="00A22BB9"/>
    <w:rsid w:val="00A30BDD"/>
    <w:rsid w:val="00A4140B"/>
    <w:rsid w:val="00A47FFB"/>
    <w:rsid w:val="00A52AF7"/>
    <w:rsid w:val="00A52CCF"/>
    <w:rsid w:val="00A56665"/>
    <w:rsid w:val="00A657F3"/>
    <w:rsid w:val="00A74495"/>
    <w:rsid w:val="00A91E05"/>
    <w:rsid w:val="00A94729"/>
    <w:rsid w:val="00A95CFD"/>
    <w:rsid w:val="00A96D62"/>
    <w:rsid w:val="00AA17EA"/>
    <w:rsid w:val="00AA73E3"/>
    <w:rsid w:val="00AB70C7"/>
    <w:rsid w:val="00AB7609"/>
    <w:rsid w:val="00AC2160"/>
    <w:rsid w:val="00AC28D6"/>
    <w:rsid w:val="00AC41EC"/>
    <w:rsid w:val="00AC7B95"/>
    <w:rsid w:val="00AD1CF8"/>
    <w:rsid w:val="00AD4DB9"/>
    <w:rsid w:val="00AD6A5F"/>
    <w:rsid w:val="00AE016D"/>
    <w:rsid w:val="00AE3D4C"/>
    <w:rsid w:val="00AE6ABD"/>
    <w:rsid w:val="00AF33E3"/>
    <w:rsid w:val="00AF3A93"/>
    <w:rsid w:val="00AF3B83"/>
    <w:rsid w:val="00AF62E3"/>
    <w:rsid w:val="00AF7692"/>
    <w:rsid w:val="00AF7EE6"/>
    <w:rsid w:val="00B0725E"/>
    <w:rsid w:val="00B07CFC"/>
    <w:rsid w:val="00B12E62"/>
    <w:rsid w:val="00B13E83"/>
    <w:rsid w:val="00B141BA"/>
    <w:rsid w:val="00B23257"/>
    <w:rsid w:val="00B2396C"/>
    <w:rsid w:val="00B424E3"/>
    <w:rsid w:val="00B441ED"/>
    <w:rsid w:val="00B510DB"/>
    <w:rsid w:val="00B64634"/>
    <w:rsid w:val="00B75DC2"/>
    <w:rsid w:val="00B806DD"/>
    <w:rsid w:val="00B83C59"/>
    <w:rsid w:val="00B83C64"/>
    <w:rsid w:val="00B91000"/>
    <w:rsid w:val="00B92DE2"/>
    <w:rsid w:val="00B93F6C"/>
    <w:rsid w:val="00B95CCE"/>
    <w:rsid w:val="00B9608E"/>
    <w:rsid w:val="00BB139C"/>
    <w:rsid w:val="00BC35BD"/>
    <w:rsid w:val="00BC6251"/>
    <w:rsid w:val="00BD1CC7"/>
    <w:rsid w:val="00BD6D68"/>
    <w:rsid w:val="00BE4674"/>
    <w:rsid w:val="00BE60F0"/>
    <w:rsid w:val="00BF501C"/>
    <w:rsid w:val="00BF6702"/>
    <w:rsid w:val="00C0088E"/>
    <w:rsid w:val="00C02859"/>
    <w:rsid w:val="00C06988"/>
    <w:rsid w:val="00C1163B"/>
    <w:rsid w:val="00C15B0A"/>
    <w:rsid w:val="00C16312"/>
    <w:rsid w:val="00C24A36"/>
    <w:rsid w:val="00C25E77"/>
    <w:rsid w:val="00C27723"/>
    <w:rsid w:val="00C32F06"/>
    <w:rsid w:val="00C330E5"/>
    <w:rsid w:val="00C332F1"/>
    <w:rsid w:val="00C4587B"/>
    <w:rsid w:val="00C47B6E"/>
    <w:rsid w:val="00C47CD7"/>
    <w:rsid w:val="00C53FCD"/>
    <w:rsid w:val="00C560BE"/>
    <w:rsid w:val="00C61410"/>
    <w:rsid w:val="00C62ADC"/>
    <w:rsid w:val="00C6384E"/>
    <w:rsid w:val="00C6702B"/>
    <w:rsid w:val="00C73D70"/>
    <w:rsid w:val="00C75B7B"/>
    <w:rsid w:val="00C75C6D"/>
    <w:rsid w:val="00C82B85"/>
    <w:rsid w:val="00C84B5C"/>
    <w:rsid w:val="00C9268F"/>
    <w:rsid w:val="00CA00AA"/>
    <w:rsid w:val="00CA1B7B"/>
    <w:rsid w:val="00CB1F40"/>
    <w:rsid w:val="00CC03A1"/>
    <w:rsid w:val="00CC29FF"/>
    <w:rsid w:val="00CD5334"/>
    <w:rsid w:val="00CD56E1"/>
    <w:rsid w:val="00CD58E4"/>
    <w:rsid w:val="00CE1936"/>
    <w:rsid w:val="00CE3A89"/>
    <w:rsid w:val="00CE3D3F"/>
    <w:rsid w:val="00CF0D98"/>
    <w:rsid w:val="00CF0F3C"/>
    <w:rsid w:val="00CF4F9A"/>
    <w:rsid w:val="00D06E45"/>
    <w:rsid w:val="00D07CF9"/>
    <w:rsid w:val="00D12232"/>
    <w:rsid w:val="00D12AEB"/>
    <w:rsid w:val="00D12CB1"/>
    <w:rsid w:val="00D1651F"/>
    <w:rsid w:val="00D20D96"/>
    <w:rsid w:val="00D262D0"/>
    <w:rsid w:val="00D3224D"/>
    <w:rsid w:val="00D335C8"/>
    <w:rsid w:val="00D34718"/>
    <w:rsid w:val="00D37C80"/>
    <w:rsid w:val="00D41244"/>
    <w:rsid w:val="00D421D9"/>
    <w:rsid w:val="00D43572"/>
    <w:rsid w:val="00D439F4"/>
    <w:rsid w:val="00D44587"/>
    <w:rsid w:val="00D47C21"/>
    <w:rsid w:val="00D54C7E"/>
    <w:rsid w:val="00D62DB2"/>
    <w:rsid w:val="00D63089"/>
    <w:rsid w:val="00D70E0F"/>
    <w:rsid w:val="00D754D3"/>
    <w:rsid w:val="00D83287"/>
    <w:rsid w:val="00D9112E"/>
    <w:rsid w:val="00D91846"/>
    <w:rsid w:val="00DA246B"/>
    <w:rsid w:val="00DA2D83"/>
    <w:rsid w:val="00DA4ACF"/>
    <w:rsid w:val="00DB35F2"/>
    <w:rsid w:val="00DB42DF"/>
    <w:rsid w:val="00DB75B1"/>
    <w:rsid w:val="00DC1C82"/>
    <w:rsid w:val="00DC6734"/>
    <w:rsid w:val="00DC7CF1"/>
    <w:rsid w:val="00DD2CC8"/>
    <w:rsid w:val="00DD2D99"/>
    <w:rsid w:val="00DD646C"/>
    <w:rsid w:val="00DE1D8A"/>
    <w:rsid w:val="00DE5C1E"/>
    <w:rsid w:val="00DF0A3C"/>
    <w:rsid w:val="00DF3C49"/>
    <w:rsid w:val="00DF6085"/>
    <w:rsid w:val="00DF67CC"/>
    <w:rsid w:val="00E01ED6"/>
    <w:rsid w:val="00E0632C"/>
    <w:rsid w:val="00E14169"/>
    <w:rsid w:val="00E165EC"/>
    <w:rsid w:val="00E16655"/>
    <w:rsid w:val="00E21988"/>
    <w:rsid w:val="00E21CB4"/>
    <w:rsid w:val="00E22D3B"/>
    <w:rsid w:val="00E344E5"/>
    <w:rsid w:val="00E47AAA"/>
    <w:rsid w:val="00E52E2C"/>
    <w:rsid w:val="00E556BB"/>
    <w:rsid w:val="00E615B5"/>
    <w:rsid w:val="00E74251"/>
    <w:rsid w:val="00E74956"/>
    <w:rsid w:val="00E75AD0"/>
    <w:rsid w:val="00E878C8"/>
    <w:rsid w:val="00E90378"/>
    <w:rsid w:val="00E90D86"/>
    <w:rsid w:val="00EA5973"/>
    <w:rsid w:val="00EB112A"/>
    <w:rsid w:val="00EB1400"/>
    <w:rsid w:val="00EB48E1"/>
    <w:rsid w:val="00EB4B91"/>
    <w:rsid w:val="00EB7F6C"/>
    <w:rsid w:val="00EC2D8D"/>
    <w:rsid w:val="00EC65F3"/>
    <w:rsid w:val="00ED4724"/>
    <w:rsid w:val="00EE335C"/>
    <w:rsid w:val="00EE3DDB"/>
    <w:rsid w:val="00EF78FC"/>
    <w:rsid w:val="00F024BE"/>
    <w:rsid w:val="00F07067"/>
    <w:rsid w:val="00F07F92"/>
    <w:rsid w:val="00F1112B"/>
    <w:rsid w:val="00F171DE"/>
    <w:rsid w:val="00F227A6"/>
    <w:rsid w:val="00F30924"/>
    <w:rsid w:val="00F36445"/>
    <w:rsid w:val="00F3796A"/>
    <w:rsid w:val="00F404CD"/>
    <w:rsid w:val="00F44E2A"/>
    <w:rsid w:val="00F474EB"/>
    <w:rsid w:val="00F54312"/>
    <w:rsid w:val="00F546B9"/>
    <w:rsid w:val="00F54C89"/>
    <w:rsid w:val="00F57538"/>
    <w:rsid w:val="00F62B64"/>
    <w:rsid w:val="00F642C4"/>
    <w:rsid w:val="00F720DF"/>
    <w:rsid w:val="00F72309"/>
    <w:rsid w:val="00F83097"/>
    <w:rsid w:val="00F83B1A"/>
    <w:rsid w:val="00F8578C"/>
    <w:rsid w:val="00F878DE"/>
    <w:rsid w:val="00F90206"/>
    <w:rsid w:val="00F91D27"/>
    <w:rsid w:val="00F91F84"/>
    <w:rsid w:val="00F95EDD"/>
    <w:rsid w:val="00F960C3"/>
    <w:rsid w:val="00F97544"/>
    <w:rsid w:val="00FA1080"/>
    <w:rsid w:val="00FA163C"/>
    <w:rsid w:val="00FA7DF9"/>
    <w:rsid w:val="00FB4840"/>
    <w:rsid w:val="00FB53D6"/>
    <w:rsid w:val="00FB6760"/>
    <w:rsid w:val="00FC1ADE"/>
    <w:rsid w:val="00FC4C41"/>
    <w:rsid w:val="00FD3569"/>
    <w:rsid w:val="00FE2C27"/>
    <w:rsid w:val="00FE5F63"/>
    <w:rsid w:val="00FF3A07"/>
    <w:rsid w:val="02B62AFF"/>
    <w:rsid w:val="038D75FF"/>
    <w:rsid w:val="061E1B41"/>
    <w:rsid w:val="062D29DD"/>
    <w:rsid w:val="08AF5E6B"/>
    <w:rsid w:val="0D4373D0"/>
    <w:rsid w:val="0DE96552"/>
    <w:rsid w:val="108E10B6"/>
    <w:rsid w:val="11285A31"/>
    <w:rsid w:val="131E2A58"/>
    <w:rsid w:val="148257B3"/>
    <w:rsid w:val="14A04D63"/>
    <w:rsid w:val="150B2427"/>
    <w:rsid w:val="18CC437C"/>
    <w:rsid w:val="19363FD2"/>
    <w:rsid w:val="1C6D1AB1"/>
    <w:rsid w:val="1C8F32EB"/>
    <w:rsid w:val="1F8B1CCE"/>
    <w:rsid w:val="21267EE8"/>
    <w:rsid w:val="22E80690"/>
    <w:rsid w:val="233B79E2"/>
    <w:rsid w:val="24FA50D9"/>
    <w:rsid w:val="2676410A"/>
    <w:rsid w:val="2ACF72FE"/>
    <w:rsid w:val="30B12BF1"/>
    <w:rsid w:val="30CC4A9F"/>
    <w:rsid w:val="32BC3F4B"/>
    <w:rsid w:val="32CA0CE2"/>
    <w:rsid w:val="32E26388"/>
    <w:rsid w:val="339A3939"/>
    <w:rsid w:val="34D73340"/>
    <w:rsid w:val="360949B7"/>
    <w:rsid w:val="3DBE0905"/>
    <w:rsid w:val="3DF51B71"/>
    <w:rsid w:val="41E56529"/>
    <w:rsid w:val="46CB2631"/>
    <w:rsid w:val="49BD3C89"/>
    <w:rsid w:val="4B683CC5"/>
    <w:rsid w:val="4CD6689C"/>
    <w:rsid w:val="4DEE62F5"/>
    <w:rsid w:val="4E192EE4"/>
    <w:rsid w:val="4E861663"/>
    <w:rsid w:val="4F0A22A8"/>
    <w:rsid w:val="50242389"/>
    <w:rsid w:val="5171202B"/>
    <w:rsid w:val="523836B9"/>
    <w:rsid w:val="53A000C2"/>
    <w:rsid w:val="53AF2487"/>
    <w:rsid w:val="54994CDE"/>
    <w:rsid w:val="54D24A0E"/>
    <w:rsid w:val="55AA20FE"/>
    <w:rsid w:val="55DA76CD"/>
    <w:rsid w:val="58044A73"/>
    <w:rsid w:val="592353EE"/>
    <w:rsid w:val="59491EC3"/>
    <w:rsid w:val="5A6048D2"/>
    <w:rsid w:val="5AB533B5"/>
    <w:rsid w:val="5DAC36DA"/>
    <w:rsid w:val="5EAF1FE5"/>
    <w:rsid w:val="5F5C6189"/>
    <w:rsid w:val="5F6E5CF2"/>
    <w:rsid w:val="621B5792"/>
    <w:rsid w:val="62212AA8"/>
    <w:rsid w:val="6245207C"/>
    <w:rsid w:val="646F255D"/>
    <w:rsid w:val="65577329"/>
    <w:rsid w:val="674647FB"/>
    <w:rsid w:val="688A44A8"/>
    <w:rsid w:val="6B917708"/>
    <w:rsid w:val="6C4E4B32"/>
    <w:rsid w:val="6E423106"/>
    <w:rsid w:val="72C4788F"/>
    <w:rsid w:val="72DA05FA"/>
    <w:rsid w:val="731F45B2"/>
    <w:rsid w:val="75FE5CA3"/>
    <w:rsid w:val="76824776"/>
    <w:rsid w:val="76DE2D93"/>
    <w:rsid w:val="774B5B49"/>
    <w:rsid w:val="791374B0"/>
    <w:rsid w:val="79395171"/>
    <w:rsid w:val="7B5909EE"/>
    <w:rsid w:val="7C050B07"/>
    <w:rsid w:val="7D9A5243"/>
    <w:rsid w:val="7DE57D18"/>
    <w:rsid w:val="7EAA7B04"/>
    <w:rsid w:val="7EEE18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EC2F6"/>
  <w15:docId w15:val="{79D450AD-4343-41D9-B5D6-5D76143B6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0" w:qFormat="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paragraph" w:styleId="Heading2">
    <w:name w:val="heading 2"/>
    <w:basedOn w:val="Normal"/>
    <w:next w:val="BodyText"/>
    <w:link w:val="Heading2Char"/>
    <w:semiHidden/>
    <w:unhideWhenUsed/>
    <w:qFormat/>
    <w:pPr>
      <w:spacing w:before="120" w:after="60" w:line="220" w:lineRule="atLeast"/>
      <w:outlineLvl w:val="1"/>
    </w:pPr>
    <w:rPr>
      <w:rFonts w:ascii="Tahoma" w:eastAsia="Times New Roman" w:hAnsi="Tahoma" w:cs="Times New Roman"/>
      <w:b/>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qFormat/>
    <w:pPr>
      <w:spacing w:after="120"/>
    </w:pPr>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lockText">
    <w:name w:val="Block Text"/>
    <w:basedOn w:val="Normal"/>
    <w:qFormat/>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370"/>
      </w:tabs>
      <w:overflowPunct w:val="0"/>
      <w:autoSpaceDE w:val="0"/>
      <w:autoSpaceDN w:val="0"/>
      <w:adjustRightInd w:val="0"/>
      <w:spacing w:after="0" w:line="192" w:lineRule="auto"/>
      <w:ind w:left="1440" w:right="360"/>
      <w:textAlignment w:val="baseline"/>
    </w:pPr>
    <w:rPr>
      <w:rFonts w:ascii="Times New Roman" w:eastAsia="Times New Roman" w:hAnsi="Times New Roman" w:cs="Times New Roman"/>
      <w:sz w:val="20"/>
      <w:szCs w:val="20"/>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15">
    <w:name w:val="15"/>
    <w:basedOn w:val="DefaultParagraphFont"/>
    <w:qFormat/>
    <w:rPr>
      <w:rFonts w:ascii="Calibri" w:hAnsi="Calibri" w:cs="Calibri" w:hint="default"/>
      <w:color w:val="0000FF"/>
      <w:u w:val="single"/>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2Char">
    <w:name w:val="Heading 2 Char"/>
    <w:basedOn w:val="DefaultParagraphFont"/>
    <w:link w:val="Heading2"/>
    <w:semiHidden/>
    <w:qFormat/>
    <w:rPr>
      <w:rFonts w:ascii="Tahoma" w:eastAsia="Times New Roman" w:hAnsi="Tahoma" w:cs="Times New Roman"/>
      <w:b/>
      <w:spacing w:val="10"/>
    </w:rPr>
  </w:style>
  <w:style w:type="character" w:customStyle="1" w:styleId="BodyTextChar">
    <w:name w:val="Body Text Char"/>
    <w:basedOn w:val="DefaultParagraphFont"/>
    <w:link w:val="BodyText"/>
    <w:uiPriority w:val="99"/>
    <w:semiHidden/>
    <w:qFormat/>
  </w:style>
  <w:style w:type="paragraph" w:customStyle="1" w:styleId="selectable-text">
    <w:name w:val="selectable-text"/>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able-text1">
    <w:name w:val="selectable-text1"/>
    <w:basedOn w:val="DefaultParagraphFont"/>
    <w:qFormat/>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styleId="NoSpacing">
    <w:name w:val="No Spacing"/>
    <w:uiPriority w:val="1"/>
    <w:qFormat/>
    <w:pPr>
      <w:widowControl w:val="0"/>
    </w:pPr>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1B4C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20agbor.it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1356</Words>
  <Characters>7732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dc:creator>
  <cp:lastModifiedBy>Ernest Ita</cp:lastModifiedBy>
  <cp:revision>3</cp:revision>
  <cp:lastPrinted>2024-02-05T04:13:00Z</cp:lastPrinted>
  <dcterms:created xsi:type="dcterms:W3CDTF">2025-08-14T17:04:00Z</dcterms:created>
  <dcterms:modified xsi:type="dcterms:W3CDTF">2025-08-14T17:07:00Z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0A9D02EE6D7C47939B828BE24DC4B0AA_13</vt:lpwstr>
  </property>
  <property fmtid="{D5CDD505-2E9C-101B-9397-08002B2CF9AE}" pid="3" name="KSOProductBuildVer">
    <vt:lpwstr>1033-12.2.0.21931</vt:lpwstr>
  </property>
  <property fmtid="{D5CDD505-2E9C-101B-9397-08002B2CF9AE}" pid="4" name="_DocHome">
    <vt:i4>1838919072</vt:i4>
  </property>
</Properties>
</file>